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6"/>
          <w:szCs w:val="16"/>
          <w:color w:val="auto"/>
        </w:rPr>
        <w:t>As filed with the Securities and Exchange Commission on May 1, 2020</w:t>
      </w:r>
    </w:p>
    <w:p>
      <w:pPr>
        <w:spacing w:after="0" w:line="248" w:lineRule="exact"/>
        <w:rPr>
          <w:sz w:val="24"/>
          <w:szCs w:val="24"/>
          <w:color w:val="auto"/>
        </w:rPr>
      </w:pPr>
    </w:p>
    <w:p>
      <w:pPr>
        <w:ind w:left="9720"/>
        <w:spacing w:after="0"/>
        <w:rPr>
          <w:sz w:val="20"/>
          <w:szCs w:val="20"/>
          <w:color w:val="auto"/>
        </w:rPr>
      </w:pPr>
      <w:r>
        <w:rPr>
          <w:rFonts w:ascii="Arial" w:cs="Arial" w:eastAsia="Arial" w:hAnsi="Arial"/>
          <w:sz w:val="16"/>
          <w:szCs w:val="16"/>
          <w:color w:val="auto"/>
        </w:rPr>
        <w:t>Registration No. 333-</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87" w:orient="portrait"/>
          <w:cols w:equalWidth="0" w:num="1">
            <w:col w:w="11240"/>
          </w:cols>
          <w:pgMar w:left="320" w:top="712" w:right="339" w:bottom="0" w:gutter="0" w:footer="0" w:header="0"/>
        </w:sectPr>
      </w:pPr>
    </w:p>
    <w:p>
      <w:pPr>
        <w:spacing w:after="0" w:line="213"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ind w:left="8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2834</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(Primary Standard Industrial</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Classification Code Number)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87" w:orient="portrait"/>
          <w:cols w:equalWidth="0" w:num="3">
            <w:col w:w="3760" w:space="720"/>
            <w:col w:w="3260" w:space="720"/>
            <w:col w:w="2780"/>
          </w:cols>
          <w:pgMar w:left="320" w:top="712" w:right="339" w:bottom="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(650) 577-3600</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(Address, including zip code, and telephone number,</w:t>
      </w:r>
    </w:p>
    <w:p>
      <w:pPr>
        <w:spacing w:after="0" w:line="32"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including area code, of registrant’s principal executive offices)</w:t>
      </w:r>
    </w:p>
    <w:p>
      <w:pPr>
        <w:spacing w:after="0" w:line="236"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Shawn K. Singh</w:t>
      </w:r>
    </w:p>
    <w:p>
      <w:pPr>
        <w:spacing w:after="0" w:line="21"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(650) 577-3600</w:t>
      </w:r>
    </w:p>
    <w:p>
      <w:pPr>
        <w:spacing w:after="0" w:line="9"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(Name, address, including zip code, and telephone number,</w:t>
      </w:r>
    </w:p>
    <w:p>
      <w:pPr>
        <w:spacing w:after="0" w:line="32" w:lineRule="exact"/>
        <w:rPr>
          <w:sz w:val="24"/>
          <w:szCs w:val="24"/>
          <w:color w:val="auto"/>
        </w:rPr>
      </w:pPr>
    </w:p>
    <w:p>
      <w:pPr>
        <w:ind w:left="4180"/>
        <w:spacing w:after="0"/>
        <w:rPr>
          <w:sz w:val="20"/>
          <w:szCs w:val="20"/>
          <w:color w:val="auto"/>
        </w:rPr>
      </w:pPr>
      <w:r>
        <w:rPr>
          <w:rFonts w:ascii="Arial" w:cs="Arial" w:eastAsia="Arial" w:hAnsi="Arial"/>
          <w:sz w:val="18"/>
          <w:szCs w:val="18"/>
          <w:color w:val="auto"/>
        </w:rPr>
        <w:t>including area code, of agent for service)</w:t>
      </w:r>
    </w:p>
    <w:p>
      <w:pPr>
        <w:sectPr>
          <w:pgSz w:w="11900" w:h="16887" w:orient="portrait"/>
          <w:cols w:equalWidth="0" w:num="1">
            <w:col w:w="11240"/>
          </w:cols>
          <w:pgMar w:left="320" w:top="712" w:right="339" w:bottom="0" w:gutter="0" w:footer="0" w:header="0"/>
          <w:type w:val="continuous"/>
        </w:sect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Daniel W. Rumsey,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Jessica R. Sudweeks,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Disclosure Law Group, a Professional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655 West Broadway, Suite 870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(619) 272-7050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(619) 330-2101</w:t>
      </w:r>
    </w:p>
    <w:p>
      <w:pPr>
        <w:spacing w:after="0" w:line="21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this registration statement becomes effective.</w:t>
      </w:r>
    </w:p>
    <w:p>
      <w:pPr>
        <w:spacing w:after="0" w:line="22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29"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91"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91" w:lineRule="exact"/>
        <w:rPr>
          <w:sz w:val="24"/>
          <w:szCs w:val="24"/>
          <w:color w:val="auto"/>
        </w:rPr>
      </w:pPr>
    </w:p>
    <w:p>
      <w:pPr>
        <w:jc w:val="both"/>
        <w:ind w:right="20"/>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9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10" w:lineRule="exact"/>
        <w:rPr>
          <w:sz w:val="24"/>
          <w:szCs w:val="24"/>
          <w:color w:val="auto"/>
        </w:rPr>
      </w:pPr>
    </w:p>
    <w:p>
      <w:pPr>
        <w:spacing w:after="0"/>
        <w:tabs>
          <w:tab w:leader="none" w:pos="2480" w:val="left"/>
          <w:tab w:leader="none" w:pos="6000" w:val="left"/>
          <w:tab w:leader="none" w:pos="98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8"/>
          <w:szCs w:val="18"/>
          <w:color w:val="auto"/>
        </w:rPr>
        <w:t>[  ]</w:t>
      </w:r>
    </w:p>
    <w:p>
      <w:pPr>
        <w:sectPr>
          <w:pgSz w:w="11900" w:h="16887" w:orient="portrait"/>
          <w:cols w:equalWidth="0" w:num="1">
            <w:col w:w="11240"/>
          </w:cols>
          <w:pgMar w:left="320" w:top="712"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ectPr>
          <w:pgSz w:w="11900" w:h="16838" w:orient="portrait"/>
          <w:cols w:equalWidth="0" w:num="4">
            <w:col w:w="1780" w:space="720"/>
            <w:col w:w="2800" w:space="720"/>
            <w:col w:w="3140" w:space="720"/>
            <w:col w:w="1360"/>
          </w:cols>
          <w:pgMar w:left="320" w:top="131" w:right="339" w:bottom="1440" w:gutter="0" w:footer="0" w:header="0"/>
        </w:sectPr>
      </w:pPr>
    </w:p>
    <w:p>
      <w:pPr>
        <w:spacing w:after="0" w:line="19" w:lineRule="exact"/>
        <w:rPr>
          <w:sz w:val="20"/>
          <w:szCs w:val="20"/>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3700" w:type="dxa"/>
            <w:vAlign w:val="bottom"/>
          </w:tcPr>
          <w:p>
            <w:pPr>
              <w:spacing w:after="0"/>
              <w:rPr>
                <w:sz w:val="19"/>
                <w:szCs w:val="19"/>
                <w:color w:val="auto"/>
              </w:rPr>
            </w:pPr>
          </w:p>
        </w:tc>
        <w:tc>
          <w:tcPr>
            <w:tcW w:w="3620" w:type="dxa"/>
            <w:vAlign w:val="bottom"/>
            <w:gridSpan w:val="3"/>
          </w:tcPr>
          <w:p>
            <w:pPr>
              <w:ind w:left="240"/>
              <w:spacing w:after="0"/>
              <w:rPr>
                <w:sz w:val="20"/>
                <w:szCs w:val="20"/>
                <w:color w:val="auto"/>
              </w:rPr>
            </w:pPr>
            <w:r>
              <w:rPr>
                <w:rFonts w:ascii="Arial" w:cs="Arial" w:eastAsia="Arial" w:hAnsi="Arial"/>
                <w:sz w:val="18"/>
                <w:szCs w:val="18"/>
                <w:b w:val="1"/>
                <w:bCs w:val="1"/>
                <w:color w:val="auto"/>
                <w:w w:val="98"/>
              </w:rPr>
              <w:t>CALCULATION OF REGISTRATION FEE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0"/>
        </w:trPr>
        <w:tc>
          <w:tcPr>
            <w:tcW w:w="3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84"/>
              </w:rPr>
              <w:t>Proposed</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maximum</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4"/>
              </w:rPr>
              <w:t>Proposed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 to</w:t>
            </w:r>
          </w:p>
        </w:tc>
        <w:tc>
          <w:tcPr>
            <w:tcW w:w="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offering price</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maximum</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 of</w:t>
            </w:r>
          </w:p>
        </w:tc>
      </w:tr>
      <w:tr>
        <w:trPr>
          <w:trHeight w:val="215"/>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be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32"/>
              <w:spacing w:after="0"/>
              <w:rPr>
                <w:sz w:val="20"/>
                <w:szCs w:val="20"/>
                <w:color w:val="auto"/>
              </w:rPr>
            </w:pPr>
            <w:r>
              <w:rPr>
                <w:rFonts w:ascii="Arial" w:cs="Arial" w:eastAsia="Arial" w:hAnsi="Arial"/>
                <w:sz w:val="18"/>
                <w:szCs w:val="18"/>
                <w:b w:val="1"/>
                <w:bCs w:val="1"/>
                <w:color w:val="auto"/>
                <w:w w:val="85"/>
              </w:rPr>
              <w:t>per</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5"/>
              </w:rPr>
              <w:t>aggregate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registration</w:t>
            </w:r>
          </w:p>
        </w:tc>
      </w:tr>
      <w:tr>
        <w:trPr>
          <w:trHeight w:val="231"/>
        </w:trPr>
        <w:tc>
          <w:tcPr>
            <w:tcW w:w="3700" w:type="dxa"/>
            <w:vAlign w:val="bottom"/>
          </w:tcPr>
          <w:p>
            <w:pPr>
              <w:spacing w:after="0"/>
              <w:rPr>
                <w:sz w:val="20"/>
                <w:szCs w:val="20"/>
                <w:color w:val="auto"/>
              </w:rPr>
            </w:pPr>
            <w:r>
              <w:rPr>
                <w:rFonts w:ascii="Arial" w:cs="Arial" w:eastAsia="Arial" w:hAnsi="Arial"/>
                <w:sz w:val="18"/>
                <w:szCs w:val="18"/>
                <w:b w:val="1"/>
                <w:bCs w:val="1"/>
                <w:color w:val="auto"/>
                <w:w w:val="90"/>
              </w:rPr>
              <w:t>Title of each class of securities to be registered</w:t>
            </w:r>
          </w:p>
        </w:tc>
        <w:tc>
          <w:tcPr>
            <w:tcW w:w="2280" w:type="dxa"/>
            <w:vAlign w:val="bottom"/>
          </w:tcPr>
          <w:p>
            <w:pPr>
              <w:spacing w:after="0"/>
              <w:rPr>
                <w:sz w:val="20"/>
                <w:szCs w:val="20"/>
                <w:color w:val="auto"/>
              </w:rPr>
            </w:pPr>
          </w:p>
        </w:tc>
        <w:tc>
          <w:tcPr>
            <w:tcW w:w="1340" w:type="dxa"/>
            <w:vAlign w:val="bottom"/>
            <w:gridSpan w:val="2"/>
          </w:tcPr>
          <w:p>
            <w:pPr>
              <w:jc w:val="center"/>
              <w:ind w:right="240"/>
              <w:spacing w:after="0" w:line="232" w:lineRule="exact"/>
              <w:rPr>
                <w:sz w:val="20"/>
                <w:szCs w:val="20"/>
                <w:color w:val="auto"/>
              </w:rPr>
            </w:pPr>
            <w:r>
              <w:rPr>
                <w:rFonts w:ascii="Arial" w:cs="Arial" w:eastAsia="Arial" w:hAnsi="Arial"/>
                <w:sz w:val="18"/>
                <w:szCs w:val="18"/>
                <w:b w:val="1"/>
                <w:bCs w:val="1"/>
                <w:color w:val="auto"/>
                <w:w w:val="80"/>
              </w:rPr>
              <w:t xml:space="preserve">registered </w:t>
            </w:r>
            <w:r>
              <w:rPr>
                <w:rFonts w:ascii="Arial" w:cs="Arial" w:eastAsia="Arial" w:hAnsi="Arial"/>
                <w:sz w:val="24"/>
                <w:szCs w:val="24"/>
                <w:b w:val="1"/>
                <w:bCs w:val="1"/>
                <w:color w:val="auto"/>
                <w:w w:val="80"/>
                <w:vertAlign w:val="superscript"/>
              </w:rPr>
              <w:t>(1)(2)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2"/>
              <w:spacing w:after="0" w:line="232" w:lineRule="exact"/>
              <w:rPr>
                <w:sz w:val="20"/>
                <w:szCs w:val="20"/>
                <w:color w:val="auto"/>
              </w:rPr>
            </w:pPr>
            <w:r>
              <w:rPr>
                <w:rFonts w:ascii="Arial" w:cs="Arial" w:eastAsia="Arial" w:hAnsi="Arial"/>
                <w:sz w:val="18"/>
                <w:szCs w:val="18"/>
                <w:b w:val="1"/>
                <w:bCs w:val="1"/>
                <w:color w:val="auto"/>
                <w:w w:val="82"/>
              </w:rPr>
              <w:t xml:space="preserve">share </w:t>
            </w:r>
            <w:r>
              <w:rPr>
                <w:rFonts w:ascii="Arial" w:cs="Arial" w:eastAsia="Arial" w:hAnsi="Arial"/>
                <w:sz w:val="24"/>
                <w:szCs w:val="24"/>
                <w:b w:val="1"/>
                <w:bCs w:val="1"/>
                <w:color w:val="auto"/>
                <w:w w:val="82"/>
                <w:vertAlign w:val="superscript"/>
              </w:rPr>
              <w:t>(3)</w:t>
            </w:r>
          </w:p>
        </w:tc>
        <w:tc>
          <w:tcPr>
            <w:tcW w:w="2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offering price</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fee</w:t>
            </w:r>
          </w:p>
        </w:tc>
      </w:tr>
      <w:tr>
        <w:trPr>
          <w:trHeight w:val="27"/>
        </w:trPr>
        <w:tc>
          <w:tcPr>
            <w:tcW w:w="37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2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13,082,707</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3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9"/>
              </w:rPr>
              <w:t>$ 5,756,391.08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747.18</w:t>
            </w:r>
          </w:p>
        </w:tc>
      </w:tr>
    </w:tbl>
    <w:p>
      <w:pPr>
        <w:spacing w:after="0" w:line="208" w:lineRule="exact"/>
        <w:rPr>
          <w:sz w:val="20"/>
          <w:szCs w:val="20"/>
          <w:color w:val="auto"/>
        </w:rPr>
      </w:pPr>
    </w:p>
    <w:p>
      <w:pPr>
        <w:jc w:val="both"/>
        <w:ind w:left="340" w:hanging="332"/>
        <w:spacing w:after="0" w:line="235" w:lineRule="auto"/>
        <w:tabs>
          <w:tab w:leader="none" w:pos="340" w:val="left"/>
        </w:tabs>
        <w:numPr>
          <w:ilvl w:val="0"/>
          <w:numId w:val="1"/>
        </w:numPr>
        <w:rPr>
          <w:rFonts w:ascii="Arial" w:cs="Arial" w:eastAsia="Arial" w:hAnsi="Arial"/>
          <w:sz w:val="24"/>
          <w:szCs w:val="24"/>
          <w:color w:val="auto"/>
          <w:vertAlign w:val="superscript"/>
        </w:rPr>
      </w:pPr>
      <w:r>
        <w:rPr>
          <w:rFonts w:ascii="Arial" w:cs="Arial" w:eastAsia="Arial" w:hAnsi="Arial"/>
          <w:sz w:val="17"/>
          <w:szCs w:val="17"/>
          <w:color w:val="auto"/>
        </w:rPr>
        <w:t>Pursuant to Rule 416 under the Securities Act of 1933, as amended, this registration statement shall be deemed to cover the additional securities of the same class as the securities covered by this registration statement issued or issuable prior to completion of the distribution of the securities covered by this registration statement as a result of a split of, or a stock dividend on, the registered securities.</w:t>
      </w:r>
    </w:p>
    <w:p>
      <w:pPr>
        <w:spacing w:after="0" w:line="210" w:lineRule="exact"/>
        <w:rPr>
          <w:rFonts w:ascii="Arial" w:cs="Arial" w:eastAsia="Arial" w:hAnsi="Arial"/>
          <w:sz w:val="24"/>
          <w:szCs w:val="24"/>
          <w:color w:val="auto"/>
          <w:vertAlign w:val="superscript"/>
        </w:rPr>
      </w:pPr>
    </w:p>
    <w:p>
      <w:pPr>
        <w:ind w:left="340" w:hanging="332"/>
        <w:spacing w:after="0" w:line="212" w:lineRule="auto"/>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The amount to be registered includes 945,000 shares of common stock, par value $0.001 per share, and 12,137,707 shares of common stock issuable upon exercise of certain common stock purchase warrants currently held by the selling stockholders identified herein.</w:t>
      </w:r>
    </w:p>
    <w:p>
      <w:pPr>
        <w:spacing w:after="0" w:line="211" w:lineRule="exact"/>
        <w:rPr>
          <w:rFonts w:ascii="Arial" w:cs="Arial" w:eastAsia="Arial" w:hAnsi="Arial"/>
          <w:sz w:val="25"/>
          <w:szCs w:val="25"/>
          <w:color w:val="auto"/>
          <w:vertAlign w:val="superscript"/>
        </w:rPr>
      </w:pPr>
    </w:p>
    <w:p>
      <w:pPr>
        <w:ind w:left="340" w:hanging="332"/>
        <w:spacing w:after="0" w:line="212" w:lineRule="auto"/>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Pursuant to Rule 457(c) of the Securities Act of 1933, as amended, calculated on the basis of the average of the high and low prices per share of the registrant’s common stock as reported by The Nasdaq Capital Market on April 27, 2020.</w:t>
      </w:r>
    </w:p>
    <w:p>
      <w:pPr>
        <w:spacing w:after="0" w:line="205"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3096895</wp:posOffset>
            </wp:positionH>
            <wp:positionV relativeFrom="page">
              <wp:posOffset>517525</wp:posOffset>
            </wp:positionV>
            <wp:extent cx="1362710" cy="951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6271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13,082,707 Shares of Common Stock</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This prospectus relates to the offer and sale, by the selling stockholders identified herein, of up to 13,082,707 shares (the </w:t>
      </w:r>
      <w:r>
        <w:rPr>
          <w:rFonts w:ascii="Arial" w:cs="Arial" w:eastAsia="Arial" w:hAnsi="Arial"/>
          <w:sz w:val="16"/>
          <w:szCs w:val="16"/>
          <w:i w:val="1"/>
          <w:iCs w:val="1"/>
          <w:color w:val="auto"/>
        </w:rPr>
        <w:t>Shares</w:t>
      </w:r>
      <w:r>
        <w:rPr>
          <w:rFonts w:ascii="Arial" w:cs="Arial" w:eastAsia="Arial" w:hAnsi="Arial"/>
          <w:sz w:val="16"/>
          <w:szCs w:val="16"/>
          <w:color w:val="auto"/>
        </w:rPr>
        <w:t xml:space="preserve">) of common stock, par value $0.001, of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xml:space="preserve">), including 12,137,707 shares of common stock issuable upon exercise of certain warrants issued to the selling stockholders (the </w:t>
      </w:r>
      <w:r>
        <w:rPr>
          <w:rFonts w:ascii="Arial" w:cs="Arial" w:eastAsia="Arial" w:hAnsi="Arial"/>
          <w:sz w:val="16"/>
          <w:szCs w:val="16"/>
          <w:i w:val="1"/>
          <w:iCs w:val="1"/>
          <w:color w:val="auto"/>
        </w:rPr>
        <w:t>Warrants</w:t>
      </w:r>
      <w:r>
        <w:rPr>
          <w:rFonts w:ascii="Arial" w:cs="Arial" w:eastAsia="Arial" w:hAnsi="Arial"/>
          <w:sz w:val="16"/>
          <w:szCs w:val="16"/>
          <w:color w:val="auto"/>
        </w:rPr>
        <w:t xml:space="preserve">). The Shares and Warrants were issued by the Company to the selling stockholders in various private placement transactions that occurred from time to time between May 2015 and April 2020 (the </w:t>
      </w:r>
      <w:r>
        <w:rPr>
          <w:rFonts w:ascii="Arial" w:cs="Arial" w:eastAsia="Arial" w:hAnsi="Arial"/>
          <w:sz w:val="16"/>
          <w:szCs w:val="16"/>
          <w:i w:val="1"/>
          <w:iCs w:val="1"/>
          <w:color w:val="auto"/>
        </w:rPr>
        <w:t>Equity Transactions</w:t>
      </w:r>
      <w:r>
        <w:rPr>
          <w:rFonts w:ascii="Arial" w:cs="Arial" w:eastAsia="Arial" w:hAnsi="Arial"/>
          <w:sz w:val="16"/>
          <w:szCs w:val="16"/>
          <w:color w:val="auto"/>
        </w:rPr>
        <w:t xml:space="preserve">). See the section 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Corporate Equity Transactions </w:t>
      </w:r>
      <w:r>
        <w:rPr>
          <w:rFonts w:ascii="Arial" w:cs="Arial" w:eastAsia="Arial" w:hAnsi="Arial"/>
          <w:sz w:val="16"/>
          <w:szCs w:val="16"/>
          <w:color w:val="auto"/>
        </w:rPr>
        <w:t>in this prospectus for a description of these Equity Transactions which resulted in the issuance of such Warrants.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not selling any securities under this prospectus and will not receive any of the proceeds from the sale of shares by the selling stockholder.</w:t>
      </w:r>
    </w:p>
    <w:p>
      <w:pPr>
        <w:spacing w:after="0" w:line="2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The selling stockholders may sell the shares of common stock described in this prospectus in a number of different ways, and the prices at which the selling stockholders may sell the shares will be determined by the prevailing market price for the shares or in negotiated transactions. We will bear the costs relating to the registration of these shares. See </w:t>
      </w:r>
      <w:r>
        <w:rPr>
          <w:rFonts w:ascii="Arial" w:cs="Arial" w:eastAsia="Arial" w:hAnsi="Arial"/>
          <w:sz w:val="18"/>
          <w:szCs w:val="18"/>
          <w:i w:val="1"/>
          <w:iCs w:val="1"/>
          <w:color w:val="auto"/>
        </w:rPr>
        <w:t>Plan of Distribution</w:t>
      </w:r>
      <w:r>
        <w:rPr>
          <w:rFonts w:ascii="Arial" w:cs="Arial" w:eastAsia="Arial" w:hAnsi="Arial"/>
          <w:sz w:val="18"/>
          <w:szCs w:val="18"/>
          <w:color w:val="auto"/>
        </w:rPr>
        <w:t xml:space="preserve"> for more information about how the selling stockholders may sell the shares of common stock being registered pursuant to this prospectus.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common stock is currently listed on The Nasdaq Capital Market under the symbol “VTGN”. On April 30, 2020, the last reported sale price of our common stock on The Nasdaq Capital Market was $0.44 per share.</w:t>
      </w:r>
    </w:p>
    <w:p>
      <w:pPr>
        <w:spacing w:after="0" w:line="186"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b w:val="1"/>
          <w:bCs w:val="1"/>
          <w:i w:val="1"/>
          <w:iCs w:val="1"/>
          <w:color w:val="auto"/>
        </w:rPr>
        <w:t>Investing in our common stock involves a high degree of risk. You should review carefully the risks and uncertainties described under “Risk Factors” beginning on page 6 of this prospectus, and under similar headings in any amendments or supplements to this prospectus.</w:t>
      </w:r>
    </w:p>
    <w:p>
      <w:pPr>
        <w:spacing w:after="0" w:line="135"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0" w:type="dxa"/>
            <w:vAlign w:val="bottom"/>
          </w:tcPr>
          <w:p>
            <w:pPr>
              <w:ind w:left="4040"/>
              <w:spacing w:after="0"/>
              <w:rPr>
                <w:sz w:val="20"/>
                <w:szCs w:val="20"/>
                <w:color w:val="auto"/>
              </w:rPr>
            </w:pPr>
            <w:r>
              <w:rPr>
                <w:rFonts w:ascii="Arial" w:cs="Arial" w:eastAsia="Arial" w:hAnsi="Arial"/>
                <w:sz w:val="18"/>
                <w:szCs w:val="18"/>
                <w:color w:val="auto"/>
                <w:w w:val="99"/>
              </w:rPr>
              <w:t>The date of this prospectus is</w:t>
            </w:r>
          </w:p>
        </w:tc>
        <w:tc>
          <w:tcPr>
            <w:tcW w:w="4840" w:type="dxa"/>
            <w:vAlign w:val="bottom"/>
          </w:tcPr>
          <w:p>
            <w:pPr>
              <w:jc w:val="right"/>
              <w:ind w:right="3952"/>
              <w:spacing w:after="0"/>
              <w:rPr>
                <w:sz w:val="20"/>
                <w:szCs w:val="20"/>
                <w:color w:val="auto"/>
              </w:rPr>
            </w:pPr>
            <w:r>
              <w:rPr>
                <w:rFonts w:ascii="Arial" w:cs="Arial" w:eastAsia="Arial" w:hAnsi="Arial"/>
                <w:sz w:val="18"/>
                <w:szCs w:val="18"/>
                <w:color w:val="auto"/>
              </w:rPr>
              <w:t>, 2020.</w:t>
            </w:r>
          </w:p>
        </w:tc>
      </w:tr>
      <w:tr>
        <w:trPr>
          <w:trHeight w:val="218"/>
        </w:trPr>
        <w:tc>
          <w:tcPr>
            <w:tcW w:w="640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r>
      <w:tr>
        <w:trPr>
          <w:trHeight w:val="136"/>
        </w:trPr>
        <w:tc>
          <w:tcPr>
            <w:tcW w:w="6400" w:type="dxa"/>
            <w:vAlign w:val="bottom"/>
            <w:tcBorders>
              <w:bottom w:val="single" w:sz="8" w:color="auto"/>
            </w:tcBorders>
          </w:tcPr>
          <w:p>
            <w:pPr>
              <w:spacing w:after="0"/>
              <w:rPr>
                <w:sz w:val="11"/>
                <w:szCs w:val="11"/>
                <w:color w:val="auto"/>
              </w:rPr>
            </w:pPr>
          </w:p>
        </w:tc>
        <w:tc>
          <w:tcPr>
            <w:tcW w:w="4840" w:type="dxa"/>
            <w:vAlign w:val="bottom"/>
            <w:tcBorders>
              <w:bottom w:val="single" w:sz="8" w:color="auto"/>
            </w:tcBorders>
          </w:tcPr>
          <w:p>
            <w:pPr>
              <w:spacing w:after="0"/>
              <w:rPr>
                <w:sz w:val="11"/>
                <w:szCs w:val="11"/>
                <w:color w:val="auto"/>
              </w:rPr>
            </w:pPr>
          </w:p>
        </w:tc>
      </w:tr>
      <w:tr>
        <w:trPr>
          <w:trHeight w:val="304"/>
        </w:trPr>
        <w:tc>
          <w:tcPr>
            <w:tcW w:w="64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ind w:left="4680"/>
              <w:spacing w:after="0"/>
              <w:rPr>
                <w:sz w:val="20"/>
                <w:szCs w:val="20"/>
                <w:color w:val="auto"/>
              </w:rPr>
            </w:pPr>
            <w:r>
              <w:rPr>
                <w:rFonts w:ascii="Arial" w:cs="Arial" w:eastAsia="Arial" w:hAnsi="Arial"/>
                <w:sz w:val="18"/>
                <w:szCs w:val="18"/>
                <w:b w:val="1"/>
                <w:bCs w:val="1"/>
                <w:color w:val="auto"/>
              </w:rPr>
              <w:t>TABLE OF CONTENTS</w:t>
            </w:r>
          </w:p>
        </w:tc>
        <w:tc>
          <w:tcPr>
            <w:tcW w:w="2900" w:type="dxa"/>
            <w:vAlign w:val="bottom"/>
          </w:tcPr>
          <w:p>
            <w:pPr>
              <w:spacing w:after="0"/>
              <w:rPr>
                <w:sz w:val="19"/>
                <w:szCs w:val="19"/>
                <w:color w:val="auto"/>
              </w:rPr>
            </w:pPr>
          </w:p>
        </w:tc>
      </w:tr>
      <w:tr>
        <w:trPr>
          <w:trHeight w:val="218"/>
        </w:trPr>
        <w:tc>
          <w:tcPr>
            <w:tcW w:w="834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RISK FACTORS</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6</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CAUTIONARY NOTE REGARDING FORWARD-LOOKING STATEMENTS</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7</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THE CORPORATE EQUITY TRANSACTIONS</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8</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SELLING STOCKHOLDERS</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11</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USE OF PROCEEDS</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13</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DIVIDEND POLICY</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14</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PLAN OF DISTRIBUTION</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15</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DESCRIPTION OF CAPITAL STOCK</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17</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EXECUTIVE COMPENSATION</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19</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BOARD OF DIRECTORS</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30</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LEGAL MATTERS</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36</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EXPERTS</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36</w:t>
            </w:r>
          </w:p>
        </w:tc>
      </w:tr>
      <w:tr>
        <w:trPr>
          <w:trHeight w:val="216"/>
        </w:trPr>
        <w:tc>
          <w:tcPr>
            <w:tcW w:w="834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WHERE YOU CAN FIND MORE INFORMATION</w:t>
              </w:r>
            </w:hyperlink>
          </w:p>
        </w:tc>
        <w:tc>
          <w:tcPr>
            <w:tcW w:w="2900" w:type="dxa"/>
            <w:vAlign w:val="bottom"/>
          </w:tcPr>
          <w:p>
            <w:pPr>
              <w:ind w:left="1780"/>
              <w:spacing w:after="0"/>
              <w:rPr>
                <w:sz w:val="20"/>
                <w:szCs w:val="20"/>
                <w:color w:val="auto"/>
              </w:rPr>
            </w:pPr>
            <w:r>
              <w:rPr>
                <w:rFonts w:ascii="Arial" w:cs="Arial" w:eastAsia="Arial" w:hAnsi="Arial"/>
                <w:sz w:val="18"/>
                <w:szCs w:val="18"/>
                <w:color w:val="auto"/>
              </w:rPr>
              <w:t>37</w:t>
            </w:r>
          </w:p>
        </w:tc>
      </w:tr>
      <w:tr>
        <w:trPr>
          <w:trHeight w:val="216"/>
        </w:trPr>
        <w:tc>
          <w:tcPr>
            <w:tcW w:w="8340" w:type="dxa"/>
            <w:vAlign w:val="bottom"/>
            <w:shd w:val="clear" w:color="auto" w:fill="CCEEFF"/>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INCORPORATION OF CERTAIN INFORMATION BY REFERENCE</w:t>
              </w:r>
            </w:hyperlink>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38</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6471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471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5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jc w:val="both"/>
        <w:ind w:left="120" w:firstLine="648"/>
        <w:spacing w:after="0" w:line="291"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does not contain all of the information you should consider in making your investment decision. Before deciding to invest in our common stock, you should read this entire prospectus carefully, including the sections of this prospectus entitled “Risk Factors” and our consolidated financial statements and related notes incorporated by reference in this prospectus. Unless the context otherwise requires, the words “VistaGen Therapeutics, Inc.” “VistaGen,” “we,” “the Company,” “us” and “our” refer to VistaGen Therapeutics, Inc., a Nevada corporation. “VistaStem Therapeutics, Inc.” and “VistaGen California” refer to our wholly owned subsidiary, VistaGen Therapeutics, Inc., a California corporation doing business as VistaStem Therapeutics, Inc.</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ind w:left="120" w:firstLine="648"/>
        <w:spacing w:after="0" w:line="317" w:lineRule="auto"/>
        <w:rPr>
          <w:sz w:val="20"/>
          <w:szCs w:val="20"/>
          <w:color w:val="auto"/>
        </w:rPr>
      </w:pPr>
      <w:r>
        <w:rPr>
          <w:rFonts w:ascii="Arial" w:cs="Arial" w:eastAsia="Arial" w:hAnsi="Arial"/>
          <w:sz w:val="15"/>
          <w:szCs w:val="15"/>
          <w:color w:val="auto"/>
        </w:rPr>
        <w:t>We are a multi-asset, clinical-stage biopharmaceutical company committed to developing differentiated new generation medications for anxiety, depression and other central nervous system (</w:t>
      </w:r>
      <w:r>
        <w:rPr>
          <w:rFonts w:ascii="Arial" w:cs="Arial" w:eastAsia="Arial" w:hAnsi="Arial"/>
          <w:sz w:val="15"/>
          <w:szCs w:val="15"/>
          <w:i w:val="1"/>
          <w:iCs w:val="1"/>
          <w:color w:val="auto"/>
        </w:rPr>
        <w:t>CNS</w:t>
      </w:r>
      <w:r>
        <w:rPr>
          <w:rFonts w:ascii="Arial" w:cs="Arial" w:eastAsia="Arial" w:hAnsi="Arial"/>
          <w:sz w:val="15"/>
          <w:szCs w:val="15"/>
          <w:color w:val="auto"/>
        </w:rPr>
        <w:t>) diseases and disorders with high unmet need. Our pipeline includes three clinical-stage CNS drug candidates, each with a differentiated mechanism of action, an exceptional safety profile in all clinical studies to date, and therapeutic potential in multiple CNS markets. We aim to become a fully-integrated biopharmaceutical company that develops and commercializes innovative CNS therapies for large and growing mental health and neurology markets where current treatments are inadequate to meet the needs of millions of patients and caregivers worldwide.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PH94B Neuroactive Nasal Spray for Anxiety-related Disorders</w:t>
      </w:r>
    </w:p>
    <w:p>
      <w:pPr>
        <w:spacing w:after="0" w:line="225" w:lineRule="exact"/>
        <w:rPr>
          <w:sz w:val="20"/>
          <w:szCs w:val="20"/>
          <w:color w:val="auto"/>
        </w:rPr>
      </w:pPr>
    </w:p>
    <w:p>
      <w:pPr>
        <w:jc w:val="both"/>
        <w:ind w:left="120" w:firstLine="648"/>
        <w:spacing w:after="0" w:line="285" w:lineRule="auto"/>
        <w:rPr>
          <w:sz w:val="20"/>
          <w:szCs w:val="20"/>
          <w:color w:val="auto"/>
        </w:rPr>
      </w:pPr>
      <w:r>
        <w:rPr>
          <w:rFonts w:ascii="Arial" w:cs="Arial" w:eastAsia="Arial" w:hAnsi="Arial"/>
          <w:sz w:val="16"/>
          <w:szCs w:val="16"/>
          <w:color w:val="auto"/>
        </w:rPr>
        <w:t>PH94B neuroactive nasal spray is an odorless, first-in-class, fast-acting synthetic neurosteroid with therapeutic potential in a wide range of neuropsychiatric indications involving anxiety or phobia. Conveniently self-administered in microgram doses without systemic exposure, we are initially developing PH94B as a potential fast-acting, non-sedating, non-addictive new generation treatment of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SAD affects over 20 million Americans and, according to the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is the third most common psychiatric condition after depression and substance abuse. A person with SAD feels symptoms of anxiety or fear in certain social situations, such as meeting new people, dating, being on a job interview, answering a question in class, or having to talk to a cashier in a store. Doing everyday things in front of people - such as eating or drinking in front of others or using a public restroom - also causes anxiety or fear. A person with SAD is afraid that he or she will be humiliated, judged, and rejected. The fear that people with SAD have in social situations is so strong that they feel it is beyond their ability to control. As a result, SAD gets in the way of going to work, attending school, or doing everyday things in situations with potential for interpersonal interaction. People with SAD may worry about these and other things for weeks before they happen. Sometimes, they end up staying away from places or events where they think they might have to do something that will embarrass or humiliate them. Some people with SAD have performance anxiety. They feel physical symptoms of fear and anxiety in performance situations, such as giving a lecture, a speech or a presentation at school or work, as well as playing a sports game, or dancing or playing a musical instrument on stage. Without treatment, SAD can last for many years or a lifetime and prevent a person from reaching his or her full potential.</w:t>
      </w:r>
    </w:p>
    <w:p>
      <w:pPr>
        <w:spacing w:after="0" w:line="184" w:lineRule="exact"/>
        <w:rPr>
          <w:sz w:val="20"/>
          <w:szCs w:val="20"/>
          <w:color w:val="auto"/>
        </w:rPr>
      </w:pPr>
    </w:p>
    <w:p>
      <w:pPr>
        <w:jc w:val="both"/>
        <w:ind w:left="120" w:firstLine="648"/>
        <w:spacing w:after="0" w:line="287" w:lineRule="auto"/>
        <w:rPr>
          <w:sz w:val="20"/>
          <w:szCs w:val="20"/>
          <w:color w:val="auto"/>
        </w:rPr>
      </w:pPr>
      <w:r>
        <w:rPr>
          <w:rFonts w:ascii="Arial" w:cs="Arial" w:eastAsia="Arial" w:hAnsi="Arial"/>
          <w:sz w:val="16"/>
          <w:szCs w:val="16"/>
          <w:color w:val="auto"/>
        </w:rPr>
        <w:t>Only three drugs, all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are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specifically for treatment of SAD. These FDA-approved chronic ADs have slow onset of therapeutic effect (often taking many weeks to months) and significant side effects (often beginning soon after administration). Slow onset of effect, chronic administration and significant side effects may make the FDA-approved ADs inadequate or inappropriate treatment alternatives for many individuals affected by SAD episodically. VistaGen’s PH94B is fundamentally differentiated from all current anxiolytics, including all ADs approved by the FDA for treatment of SAD. Intranasal self-administration of only approximately 3.2 micrograms of PH94B binds to nasal chemosensory receptors that, in turn, activate key neural circuits in the brain that lead to rapid suppression of fear and anxiety. In Phase 2 and pilot Phase 3 clinical studies to date, PH94B has not shown psychological side effects (such as dissociation or hallucinations), systemic exposure, sedation or other side effects and safety concerns that may be caused by the current ADs approved by the FDA for treatment of SAD, as well as by benzodiazepines and beta blockers, which are not approved by the FDA to treat SAD but which may be prescribed by psychiatrists and physicians for treatment of SAD on an off-label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7020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7020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6"/>
          <w:szCs w:val="16"/>
          <w:color w:val="auto"/>
        </w:rPr>
        <w:t xml:space="preserve">In a peer-reviewed, published double-blind, placebo-controlled Phase 2 clinical trial, PH94B neuroactive nasal spray was significantly more effective than placebo in reducing both public-speaking (performance) anxiety (p=0.002) and social interaction anxiety (p=0.009) in laboratory challenges of individuals with SAD within 15 minutes of self-administration of a non-systemic 1.6 microgram dose of PH94B. Based on its novel mechanism of pharmacological action, rapid-onset of therapeutic effects and exceptional safety and tolerability profile in Phase 2 and pilot Phase 3 clinical trials to date, we are preparing for Phase 3 clinical development of PH94B for treatment of SAD in adults. Our goal is to develop and commercialize PH94B as the first FDA-approved, fast-acting, on-demand, at-home treatment for SAD. Additional potential anxiety-related neuropsychiatric indications for PH94B include general anxiety disorder, peripartum anxiety (pre- and post-partum anxiety), preoperative or pre-testing (e.g., pre-MRI) anxiety, panic disorder, post-traumatic stress disorder and specific social phobias. </w:t>
      </w:r>
      <w:r>
        <w:rPr>
          <w:rFonts w:ascii="Arial" w:cs="Arial" w:eastAsia="Arial" w:hAnsi="Arial"/>
          <w:sz w:val="16"/>
          <w:szCs w:val="16"/>
          <w:color w:val="333333"/>
        </w:rPr>
        <w:t>The FDA has granted Fast Track designation for development of our PH94B neuroactive nasal spray</w:t>
      </w:r>
      <w:r>
        <w:rPr>
          <w:rFonts w:ascii="Arial" w:cs="Arial" w:eastAsia="Arial" w:hAnsi="Arial"/>
          <w:sz w:val="16"/>
          <w:szCs w:val="16"/>
          <w:color w:val="auto"/>
        </w:rPr>
        <w:t xml:space="preserve"> </w:t>
      </w:r>
      <w:r>
        <w:rPr>
          <w:rFonts w:ascii="Arial" w:cs="Arial" w:eastAsia="Arial" w:hAnsi="Arial"/>
          <w:sz w:val="16"/>
          <w:szCs w:val="16"/>
          <w:color w:val="333333"/>
        </w:rPr>
        <w:t>for on-demand treatment of SAD, the FDA’s first such designation for a drug candidate for SAD.</w:t>
      </w:r>
    </w:p>
    <w:p>
      <w:pPr>
        <w:spacing w:after="0" w:line="173" w:lineRule="exact"/>
        <w:rPr>
          <w:sz w:val="20"/>
          <w:szCs w:val="20"/>
          <w:color w:val="auto"/>
        </w:rPr>
      </w:pPr>
    </w:p>
    <w:p>
      <w:pPr>
        <w:jc w:val="both"/>
        <w:ind w:left="120" w:firstLine="648"/>
        <w:spacing w:after="0" w:line="253" w:lineRule="auto"/>
        <w:rPr>
          <w:sz w:val="20"/>
          <w:szCs w:val="20"/>
          <w:color w:val="auto"/>
        </w:rPr>
      </w:pPr>
      <w:r>
        <w:rPr>
          <w:rFonts w:ascii="Arial" w:cs="Arial" w:eastAsia="Arial" w:hAnsi="Arial"/>
          <w:sz w:val="18"/>
          <w:szCs w:val="18"/>
          <w:color w:val="auto"/>
        </w:rPr>
        <w:t>In addition to development of PH94B as a potential treatment for SAD, we announced plans in April 2020 to expand clinical development of PH94B to include treatment of adjustment disorder, an emotional or behavioral reaction considered excessive or out of proportion to a stressful event or major life change, occurring within three months of the stressor, and/or significantly impairing a person’s social, occupational and/or other important areas of functioning. We plan to submit our proposed protocol for an exploratory Phase 2a study of PH94B for treatment of adjustment disorder due to stressors related to the COVID-19 pandemic to the FDA through the Coronavirus Treatment Acceleration Program (</w:t>
      </w:r>
      <w:r>
        <w:rPr>
          <w:rFonts w:ascii="Arial" w:cs="Arial" w:eastAsia="Arial" w:hAnsi="Arial"/>
          <w:sz w:val="18"/>
          <w:szCs w:val="18"/>
          <w:i w:val="1"/>
          <w:iCs w:val="1"/>
          <w:color w:val="auto"/>
        </w:rPr>
        <w:t>CTAP</w:t>
      </w:r>
      <w:r>
        <w:rPr>
          <w:rFonts w:ascii="Arial" w:cs="Arial" w:eastAsia="Arial" w:hAnsi="Arial"/>
          <w:sz w:val="18"/>
          <w:szCs w:val="18"/>
          <w:color w:val="auto"/>
        </w:rPr>
        <w:t>). The proposed Phase 2 study will be conducted in New York City on an open-label basis and involve approximately 30 subjects suffering from adjustment disorder with anxiety from stressors related to the pandemic.</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PH10 Neuroactive Nasal Spray for Depression and Suicidal Ideation</w:t>
      </w:r>
    </w:p>
    <w:p>
      <w:pPr>
        <w:spacing w:after="0" w:line="225" w:lineRule="exact"/>
        <w:rPr>
          <w:sz w:val="20"/>
          <w:szCs w:val="20"/>
          <w:color w:val="auto"/>
        </w:rPr>
      </w:pPr>
    </w:p>
    <w:p>
      <w:pPr>
        <w:jc w:val="both"/>
        <w:ind w:left="120" w:firstLine="648"/>
        <w:spacing w:after="0" w:line="306" w:lineRule="auto"/>
        <w:rPr>
          <w:sz w:val="20"/>
          <w:szCs w:val="20"/>
          <w:color w:val="auto"/>
        </w:rPr>
      </w:pPr>
      <w:r>
        <w:rPr>
          <w:rFonts w:ascii="Arial" w:cs="Arial" w:eastAsia="Arial" w:hAnsi="Arial"/>
          <w:sz w:val="16"/>
          <w:szCs w:val="16"/>
          <w:color w:val="auto"/>
        </w:rPr>
        <w:t>PH10 neuroactive nasal spray is an odorless, first-in-class, fast-acting synthetic neurosteroid with therapeutic potential in a wide range of neuropsychiatric indications involving depression and suicidal ideation. Conveniently self-administered in microgram doses without systemic exposure, we are initially developing PH94B as a potential fast-acting, non-sedating, non-addictive new generation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w:t>
      </w:r>
    </w:p>
    <w:p>
      <w:pPr>
        <w:spacing w:after="0" w:line="160" w:lineRule="exact"/>
        <w:rPr>
          <w:sz w:val="20"/>
          <w:szCs w:val="20"/>
          <w:color w:val="auto"/>
        </w:rPr>
      </w:pPr>
    </w:p>
    <w:p>
      <w:pPr>
        <w:jc w:val="both"/>
        <w:ind w:left="120" w:firstLine="648"/>
        <w:spacing w:after="0" w:line="253" w:lineRule="auto"/>
        <w:rPr>
          <w:sz w:val="20"/>
          <w:szCs w:val="20"/>
          <w:color w:val="auto"/>
        </w:rPr>
      </w:pPr>
      <w:r>
        <w:rPr>
          <w:rFonts w:ascii="Arial" w:cs="Arial" w:eastAsia="Arial" w:hAnsi="Arial"/>
          <w:sz w:val="18"/>
          <w:szCs w:val="18"/>
          <w:color w:val="auto"/>
        </w:rPr>
        <w:t>Depression is a serious medical illness and a global public health concern that can occur at any time over a person's life. While most people will experience depressed mood at some point during their lifetime, MDD is different. MDD is the chronic, pervasive feeling of utter unhappiness and suffering, which impairs daily functioning. Symptoms of MDD include diminished pleasure or loss of interest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Current FDA-approved medications available in the multi-billion-dollar global AD market often fall far short of satisfying the unmet medical needs of millions suffering from the debilitating effects of depression.</w:t>
      </w:r>
    </w:p>
    <w:p>
      <w:pPr>
        <w:spacing w:after="0" w:line="201" w:lineRule="exact"/>
        <w:rPr>
          <w:sz w:val="20"/>
          <w:szCs w:val="20"/>
          <w:color w:val="auto"/>
        </w:rPr>
      </w:pPr>
    </w:p>
    <w:p>
      <w:pPr>
        <w:jc w:val="both"/>
        <w:ind w:left="120" w:firstLine="648"/>
        <w:spacing w:after="0" w:line="306" w:lineRule="auto"/>
        <w:rPr>
          <w:sz w:val="20"/>
          <w:szCs w:val="20"/>
          <w:color w:val="auto"/>
        </w:rPr>
      </w:pPr>
      <w:r>
        <w:rPr>
          <w:rFonts w:ascii="Arial" w:cs="Arial" w:eastAsia="Arial" w:hAnsi="Arial"/>
          <w:sz w:val="16"/>
          <w:szCs w:val="16"/>
          <w:color w:val="auto"/>
        </w:rPr>
        <w:t>While current FDA-approved ADs are widely used, about two-thirds of patients with MDD do not respond to their initial AD treatment. Inadequate response to current ADs is among the key reasons MDD is one of the leading public health concerns in the United States, creating a significant unmet medical need for new agents with fundamentally different mechanisms of action and side effect and safety profiles.</w:t>
      </w:r>
    </w:p>
    <w:p>
      <w:pPr>
        <w:spacing w:after="0" w:line="160" w:lineRule="exact"/>
        <w:rPr>
          <w:sz w:val="20"/>
          <w:szCs w:val="20"/>
          <w:color w:val="auto"/>
        </w:rPr>
      </w:pPr>
    </w:p>
    <w:p>
      <w:pPr>
        <w:jc w:val="both"/>
        <w:ind w:left="120" w:firstLine="648"/>
        <w:spacing w:after="0" w:line="286" w:lineRule="auto"/>
        <w:rPr>
          <w:sz w:val="20"/>
          <w:szCs w:val="20"/>
          <w:color w:val="auto"/>
        </w:rPr>
      </w:pPr>
      <w:r>
        <w:rPr>
          <w:rFonts w:ascii="Arial" w:cs="Arial" w:eastAsia="Arial" w:hAnsi="Arial"/>
          <w:sz w:val="16"/>
          <w:szCs w:val="16"/>
          <w:color w:val="auto"/>
        </w:rPr>
        <w:t>PH10 is a new generation antidepressant with a mechanism of action that is fundamentally different from all current ADs. After self-administration, a non-systemic microgram-level dose of PH10 binds to nasal chemosensory receptors that, in turn, activate key neural circuits in the brain that can lead to rapid-onset antidepressant effects, but without the psychological side effects (such as dissociation and hallucinations) or safety concerns that maybe be caused by ketamine-based therapy (</w:t>
      </w:r>
      <w:r>
        <w:rPr>
          <w:rFonts w:ascii="Arial" w:cs="Arial" w:eastAsia="Arial" w:hAnsi="Arial"/>
          <w:sz w:val="16"/>
          <w:szCs w:val="16"/>
          <w:i w:val="1"/>
          <w:iCs w:val="1"/>
          <w:color w:val="auto"/>
        </w:rPr>
        <w:t>KBT</w:t>
      </w:r>
      <w:r>
        <w:rPr>
          <w:rFonts w:ascii="Arial" w:cs="Arial" w:eastAsia="Arial" w:hAnsi="Arial"/>
          <w:sz w:val="16"/>
          <w:szCs w:val="16"/>
          <w:color w:val="auto"/>
        </w:rPr>
        <w:t>), including intravenous ketamine or esketamine nasal spray, or the significant side effects of current ADs. In an exploratory 30-patient Phase 2a clinical trial, PH10, self-administered at a dose of 6.4 micrograms, was well-tolerated and demonstrated significant (p=0.022) rapid-onset antidepressant effects, which were sustained over an 8-week period, as measured by the Hamilton Depression Rating Scale (HAM-D), without side effects or safety concerns that may be caused by KBT. Based on positive results from this exploratory Phase 2a study, we are preparing for Phase 2b clinical development of PH10 in MDD. With its exceptional safety profile during clinical development to date, we believe PH10, as a convenient at-home therapy, has potential for multiple applications in global depression markets, including as a stand-alone front-line therapy for MDD, as an add-on therapy to augment current FDA-approved ADs for patients with MDD who have an inadequate response to standard ADs, and to prevent relapse following successful treatment with KBT.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4826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82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AV-101, an Oral NMDA Receptor Antagonist</w:t>
      </w:r>
    </w:p>
    <w:p>
      <w:pPr>
        <w:spacing w:after="0" w:line="225"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6"/>
          <w:szCs w:val="16"/>
          <w:color w:val="auto"/>
        </w:rPr>
        <w:t>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In all studies to date, AV-101 has exhibited no dissociative or hallucinogenic psychological side effects or safety concerns similar to those that may be caused by amantadine and KBT. With its exceptionally few side effects and excellent safety profile, AV-101 has potential to be a differentiated oral, new generation treatment for multiple large-market CNS indications where current treatments are inadequate to meet high unmet patient needs. The FDA has granted Fast Track designation for development of AV-101 as both a potential adjunctive treatment for MDD and as a non-opioid treatment for neuropathic pain.</w:t>
      </w:r>
    </w:p>
    <w:p>
      <w:pPr>
        <w:spacing w:after="0" w:line="178" w:lineRule="exact"/>
        <w:rPr>
          <w:sz w:val="20"/>
          <w:szCs w:val="20"/>
          <w:color w:val="auto"/>
        </w:rPr>
      </w:pPr>
    </w:p>
    <w:p>
      <w:pPr>
        <w:jc w:val="both"/>
        <w:ind w:left="120" w:firstLine="648"/>
        <w:spacing w:after="0" w:line="291" w:lineRule="auto"/>
        <w:rPr>
          <w:sz w:val="20"/>
          <w:szCs w:val="20"/>
          <w:color w:val="auto"/>
        </w:rPr>
      </w:pPr>
      <w:r>
        <w:rPr>
          <w:rFonts w:ascii="Arial" w:cs="Arial" w:eastAsia="Arial" w:hAnsi="Arial"/>
          <w:sz w:val="16"/>
          <w:szCs w:val="16"/>
          <w:color w:val="auto"/>
        </w:rPr>
        <w:t>We recently completed a double-blind, placebo-controlled, multi-center Phase 2 clinical trial of AV-101 as a potential adjunctive treatment, together with a standard FDA-approved oral AD (either a selective serotonin reuptake inhibitor (</w:t>
      </w:r>
      <w:r>
        <w:rPr>
          <w:rFonts w:ascii="Arial" w:cs="Arial" w:eastAsia="Arial" w:hAnsi="Arial"/>
          <w:sz w:val="16"/>
          <w:szCs w:val="16"/>
          <w:i w:val="1"/>
          <w:iCs w:val="1"/>
          <w:color w:val="auto"/>
        </w:rPr>
        <w:t>SSRI</w:t>
      </w:r>
      <w:r>
        <w:rPr>
          <w:rFonts w:ascii="Arial" w:cs="Arial" w:eastAsia="Arial" w:hAnsi="Arial"/>
          <w:sz w:val="16"/>
          <w:szCs w:val="16"/>
          <w:color w:val="auto"/>
        </w:rPr>
        <w:t>) or a serotonin norepinephrine reuptake inhibitor (</w:t>
      </w:r>
      <w:r>
        <w:rPr>
          <w:rFonts w:ascii="Arial" w:cs="Arial" w:eastAsia="Arial" w:hAnsi="Arial"/>
          <w:sz w:val="16"/>
          <w:szCs w:val="16"/>
          <w:i w:val="1"/>
          <w:iCs w:val="1"/>
          <w:color w:val="auto"/>
        </w:rPr>
        <w:t>SNRI</w:t>
      </w:r>
      <w:r>
        <w:rPr>
          <w:rFonts w:ascii="Arial" w:cs="Arial" w:eastAsia="Arial" w:hAnsi="Arial"/>
          <w:sz w:val="16"/>
          <w:szCs w:val="16"/>
          <w:color w:val="auto"/>
        </w:rPr>
        <w:t xml:space="preserve">)), in MDD patients who had an inadequate response to a stable dose of a standard AD (the </w:t>
      </w:r>
      <w:r>
        <w:rPr>
          <w:rFonts w:ascii="Arial" w:cs="Arial" w:eastAsia="Arial" w:hAnsi="Arial"/>
          <w:sz w:val="16"/>
          <w:szCs w:val="16"/>
          <w:i w:val="1"/>
          <w:iCs w:val="1"/>
          <w:color w:val="auto"/>
        </w:rPr>
        <w:t>Elevate Study</w:t>
      </w:r>
      <w:r>
        <w:rPr>
          <w:rFonts w:ascii="Arial" w:cs="Arial" w:eastAsia="Arial" w:hAnsi="Arial"/>
          <w:sz w:val="16"/>
          <w:szCs w:val="16"/>
          <w:color w:val="auto"/>
        </w:rPr>
        <w:t>). Topline results of the Elevate Study (n=199) indicated that the AV-101 treatment arm (1440 mg) did not differentiate from placebo on the primary endpoint (change in the Montgomery-Åsberg Depression Rating Scale (MADRS-10) total score compared to baseline), potentially due to sub-therapeutic levels of 7-Cl-KYNA in the brain. As in prior clinical studies, AV-101 was well tolerated, with no psychotomimetic side effects or drug-related serious adverse events.</w:t>
      </w:r>
    </w:p>
    <w:p>
      <w:pPr>
        <w:spacing w:after="0" w:line="174" w:lineRule="exact"/>
        <w:rPr>
          <w:sz w:val="20"/>
          <w:szCs w:val="20"/>
          <w:color w:val="auto"/>
        </w:rPr>
      </w:pPr>
    </w:p>
    <w:p>
      <w:pPr>
        <w:jc w:val="both"/>
        <w:ind w:left="120" w:firstLine="648"/>
        <w:spacing w:after="0" w:line="285" w:lineRule="auto"/>
        <w:rPr>
          <w:sz w:val="20"/>
          <w:szCs w:val="20"/>
          <w:color w:val="auto"/>
        </w:rPr>
      </w:pPr>
      <w:r>
        <w:rPr>
          <w:rFonts w:ascii="Arial" w:cs="Arial" w:eastAsia="Arial" w:hAnsi="Arial"/>
          <w:sz w:val="16"/>
          <w:szCs w:val="16"/>
          <w:color w:val="auto"/>
        </w:rPr>
        <w:t>Recent discoveries from successful AV-101 preclinical studies suggest that there is a substantially increased brain concentration of AV-101 and its active metabolite, 7-Cl-KYNA, when AV-101 is given together with probenecid, a safe and well-known oral anion transport inhibitor used to treat gout. These surprising effects were first revealed in our recent preclinical studies, although they are consistent with well-documented clinical studies of probenecid increasing the therapeutic benefits of several unrelated classes of approved drugs, including certain antibacterial, anticancer and antiviral drugs. When probenecid was administered adjunctively with AV-101 in an animal model, substantially increased brain concentrations of both AV-101 (7-fold) and of 7-Cl-KYNA (35-fold) were discovered. We also recently identified that some of the same kidney transporters that reduce drug concentrations in the blood, by excretion in the urine, are also found in the blood brain barrier and function to reduce 7-Cl-KYNA levels in the brain by pumping it out of the brain and back into the blood. In the recent preclinical studies with AV-101 and probenecid, we discovered that blocking those transporters in the blood brain barrier with probenecid resulted, as noted above, in a substantially increased brain concentration of 7-Cl-KYNA. This 7-Cl-KYNA efflux-blocking effect of probenecid, with the resulting increased brain levels and duration of 7-Cl-KYNA, suggests the potential impact of AV-101 with probenecid could result in far more profound therapeutic benefits for patients with MDD and other NMDAR-focused CNS diseases and disorders than demonstrated in the Elevate Study. Some of the new discoveries from our recent AV-101 preclinical studies with adjunctive probenecid were presented by a collaborator of VistaGen at the British Pharmacological Society’s Pharmacology 2019 annual conference in Edinburgh, UK in December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525145</wp:posOffset>
            </wp:positionV>
            <wp:extent cx="7132320" cy="5923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923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20" w:firstLine="648"/>
        <w:spacing w:after="0" w:line="288" w:lineRule="auto"/>
        <w:rPr>
          <w:sz w:val="20"/>
          <w:szCs w:val="20"/>
          <w:color w:val="auto"/>
        </w:rPr>
      </w:pPr>
      <w:r>
        <w:rPr>
          <w:rFonts w:ascii="Arial" w:cs="Arial" w:eastAsia="Arial" w:hAnsi="Arial"/>
          <w:sz w:val="16"/>
          <w:szCs w:val="16"/>
          <w:color w:val="auto"/>
        </w:rPr>
        <w:t>In addition, a Phase 1b target engagement study completed after the Elevate Study by the Baylor College of Medicine (</w:t>
      </w:r>
      <w:r>
        <w:rPr>
          <w:rFonts w:ascii="Arial" w:cs="Arial" w:eastAsia="Arial" w:hAnsi="Arial"/>
          <w:sz w:val="16"/>
          <w:szCs w:val="16"/>
          <w:i w:val="1"/>
          <w:iCs w:val="1"/>
          <w:color w:val="auto"/>
        </w:rPr>
        <w:t>Baylor</w:t>
      </w:r>
      <w:r>
        <w:rPr>
          <w:rFonts w:ascii="Arial" w:cs="Arial" w:eastAsia="Arial" w:hAnsi="Arial"/>
          <w:sz w:val="16"/>
          <w:szCs w:val="16"/>
          <w:color w:val="auto"/>
        </w:rPr>
        <w:t>) with financial support from the U.S.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involved 10 healthy volunteer U.S. military Veterans who received single doses of AV-101 (720 mg or 1440 mg) or placebo, in a double-blind, randomized, cross-over controlled trial. The primary goal of the study was to identify and define a dose-response relationship between AV-101 and multiple electrophysiological (</w:t>
      </w:r>
      <w:r>
        <w:rPr>
          <w:rFonts w:ascii="Arial" w:cs="Arial" w:eastAsia="Arial" w:hAnsi="Arial"/>
          <w:sz w:val="16"/>
          <w:szCs w:val="16"/>
          <w:i w:val="1"/>
          <w:iCs w:val="1"/>
          <w:color w:val="auto"/>
        </w:rPr>
        <w:t>EEG</w:t>
      </w:r>
      <w:r>
        <w:rPr>
          <w:rFonts w:ascii="Arial" w:cs="Arial" w:eastAsia="Arial" w:hAnsi="Arial"/>
          <w:sz w:val="16"/>
          <w:szCs w:val="16"/>
          <w:color w:val="auto"/>
        </w:rPr>
        <w:t xml:space="preserve">) biomarkers related to NMDAR function, as well as blood biomarkers associated with suicidality (the </w:t>
      </w:r>
      <w:r>
        <w:rPr>
          <w:rFonts w:ascii="Arial" w:cs="Arial" w:eastAsia="Arial" w:hAnsi="Arial"/>
          <w:sz w:val="16"/>
          <w:szCs w:val="16"/>
          <w:i w:val="1"/>
          <w:iCs w:val="1"/>
          <w:color w:val="auto"/>
        </w:rPr>
        <w:t>Baylor Study</w:t>
      </w:r>
      <w:r>
        <w:rPr>
          <w:rFonts w:ascii="Arial" w:cs="Arial" w:eastAsia="Arial" w:hAnsi="Arial"/>
          <w:sz w:val="16"/>
          <w:szCs w:val="16"/>
          <w:color w:val="auto"/>
        </w:rPr>
        <w:t>). The findings from the Baylor Study suggest that, in healthy Veterans, the higher dose of AV-101 (1440 mg) was associated with dose-related increase in the 40 Hz Auditory Steady State Response (</w:t>
      </w:r>
      <w:r>
        <w:rPr>
          <w:rFonts w:ascii="Arial" w:cs="Arial" w:eastAsia="Arial" w:hAnsi="Arial"/>
          <w:sz w:val="16"/>
          <w:szCs w:val="16"/>
          <w:i w:val="1"/>
          <w:iCs w:val="1"/>
          <w:color w:val="auto"/>
        </w:rPr>
        <w:t>ASSR</w:t>
      </w:r>
      <w:r>
        <w:rPr>
          <w:rFonts w:ascii="Arial" w:cs="Arial" w:eastAsia="Arial" w:hAnsi="Arial"/>
          <w:sz w:val="16"/>
          <w:szCs w:val="16"/>
          <w:color w:val="auto"/>
        </w:rPr>
        <w:t>), a robust measure of the integrity of inhibitory interneuron synchronization that is associated with NMDAR inhibition. Findings from the successful Baylor Study were presented at the 58th Annual Meeting of the American College of Neuropsychopharmacology (</w:t>
      </w:r>
      <w:r>
        <w:rPr>
          <w:rFonts w:ascii="Arial" w:cs="Arial" w:eastAsia="Arial" w:hAnsi="Arial"/>
          <w:sz w:val="16"/>
          <w:szCs w:val="16"/>
          <w:i w:val="1"/>
          <w:iCs w:val="1"/>
          <w:color w:val="auto"/>
        </w:rPr>
        <w:t>ACNP</w:t>
      </w:r>
      <w:r>
        <w:rPr>
          <w:rFonts w:ascii="Arial" w:cs="Arial" w:eastAsia="Arial" w:hAnsi="Arial"/>
          <w:sz w:val="16"/>
          <w:szCs w:val="16"/>
          <w:color w:val="auto"/>
        </w:rPr>
        <w:t>) in Orlando, Florida in December 2019.</w:t>
      </w:r>
    </w:p>
    <w:p>
      <w:pPr>
        <w:spacing w:after="0" w:line="178" w:lineRule="exact"/>
        <w:rPr>
          <w:sz w:val="20"/>
          <w:szCs w:val="20"/>
          <w:color w:val="auto"/>
        </w:rPr>
      </w:pPr>
    </w:p>
    <w:p>
      <w:pPr>
        <w:jc w:val="both"/>
        <w:ind w:left="120" w:firstLine="648"/>
        <w:spacing w:after="0" w:line="291" w:lineRule="auto"/>
        <w:rPr>
          <w:sz w:val="20"/>
          <w:szCs w:val="20"/>
          <w:color w:val="auto"/>
        </w:rPr>
      </w:pPr>
      <w:r>
        <w:rPr>
          <w:rFonts w:ascii="Arial" w:cs="Arial" w:eastAsia="Arial" w:hAnsi="Arial"/>
          <w:sz w:val="16"/>
          <w:szCs w:val="16"/>
          <w:color w:val="auto"/>
        </w:rPr>
        <w:t>The successful Baylor Study and the recent discoveries in our preclinical studies involving AV-101 and adjunctive probenecid suggest that it may be possible to increase therapeutic concentrations and duration of 7-Cl-KYNA in the brain, and thus increase NMDAR antagonism in MDD patients with an inadequate response to standard ADs when AV-101 and probenecid are combined. During 2020, we plan to conduct additional AV-101 preclinical studies with adjunctive probenecid to evaluate its potential applicability to MDD, suicidal ideation and other NMDAR-focused CNS indications for which we have existing preclinical data with AV-101 as a monotherapy, including epilepsy, levodopa-induced dyskinesia, and neuropathic pain, to determine the most appropriate path forward for potential future clinical development and commercialization of AV-101.</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VistaStem Therapeutics – Stem Cell Technology for Drug Rescue and Regenerative Medicine</w:t>
      </w:r>
    </w:p>
    <w:p>
      <w:pPr>
        <w:spacing w:after="0" w:line="225" w:lineRule="exact"/>
        <w:rPr>
          <w:sz w:val="20"/>
          <w:szCs w:val="20"/>
          <w:color w:val="auto"/>
        </w:rPr>
      </w:pPr>
    </w:p>
    <w:p>
      <w:pPr>
        <w:jc w:val="both"/>
        <w:ind w:left="120" w:firstLine="648"/>
        <w:spacing w:after="0" w:line="254" w:lineRule="auto"/>
        <w:rPr>
          <w:sz w:val="20"/>
          <w:szCs w:val="20"/>
          <w:color w:val="auto"/>
        </w:rPr>
      </w:pPr>
      <w:r>
        <w:rPr>
          <w:rFonts w:ascii="Arial" w:cs="Arial" w:eastAsia="Arial" w:hAnsi="Arial"/>
          <w:sz w:val="18"/>
          <w:szCs w:val="18"/>
          <w:color w:val="auto"/>
        </w:rPr>
        <w:t>In addition to our current CNS drug candidates, we have stem cell technology-based, pipeline-enabling programs through our wholly-owned subsidiary, VistaStem Therapeutics (</w:t>
      </w:r>
      <w:r>
        <w:rPr>
          <w:rFonts w:ascii="Arial" w:cs="Arial" w:eastAsia="Arial" w:hAnsi="Arial"/>
          <w:sz w:val="18"/>
          <w:szCs w:val="18"/>
          <w:i w:val="1"/>
          <w:iCs w:val="1"/>
          <w:color w:val="auto"/>
        </w:rPr>
        <w:t>VistaStem</w:t>
      </w:r>
      <w:r>
        <w:rPr>
          <w:rFonts w:ascii="Arial" w:cs="Arial" w:eastAsia="Arial" w:hAnsi="Arial"/>
          <w:sz w:val="18"/>
          <w:szCs w:val="18"/>
          <w:color w:val="auto"/>
        </w:rPr>
        <w:t>). VistaStem is focused on applying human pluripotent stem cell (</w:t>
      </w:r>
      <w:r>
        <w:rPr>
          <w:rFonts w:ascii="Arial" w:cs="Arial" w:eastAsia="Arial" w:hAnsi="Arial"/>
          <w:sz w:val="18"/>
          <w:szCs w:val="18"/>
          <w:i w:val="1"/>
          <w:iCs w:val="1"/>
          <w:color w:val="auto"/>
        </w:rPr>
        <w:t>hPSC</w:t>
      </w:r>
      <w:r>
        <w:rPr>
          <w:rFonts w:ascii="Arial" w:cs="Arial" w:eastAsia="Arial" w:hAnsi="Arial"/>
          <w:sz w:val="18"/>
          <w:szCs w:val="18"/>
          <w:color w:val="auto"/>
        </w:rPr>
        <w:t xml:space="preserve">) technologies, including our customized cardiac bioassay system, </w:t>
      </w:r>
      <w:r>
        <w:rPr>
          <w:rFonts w:ascii="Arial" w:cs="Arial" w:eastAsia="Arial" w:hAnsi="Arial"/>
          <w:sz w:val="18"/>
          <w:szCs w:val="18"/>
          <w:i w:val="1"/>
          <w:iCs w:val="1"/>
          <w:color w:val="auto"/>
        </w:rPr>
        <w:t>CardioSafe 3D</w:t>
      </w:r>
      <w:r>
        <w:rPr>
          <w:rFonts w:ascii="Arial" w:cs="Arial" w:eastAsia="Arial" w:hAnsi="Arial"/>
          <w:sz w:val="18"/>
          <w:szCs w:val="18"/>
          <w:color w:val="auto"/>
        </w:rPr>
        <w:t>, to discover and develop small molecule New Chemical Entities (</w:t>
      </w:r>
      <w:r>
        <w:rPr>
          <w:rFonts w:ascii="Arial" w:cs="Arial" w:eastAsia="Arial" w:hAnsi="Arial"/>
          <w:sz w:val="18"/>
          <w:szCs w:val="18"/>
          <w:i w:val="1"/>
          <w:iCs w:val="1"/>
          <w:color w:val="auto"/>
        </w:rPr>
        <w:t>NCEs</w:t>
      </w:r>
      <w:r>
        <w:rPr>
          <w:rFonts w:ascii="Arial" w:cs="Arial" w:eastAsia="Arial" w:hAnsi="Arial"/>
          <w:sz w:val="18"/>
          <w:szCs w:val="18"/>
          <w:color w:val="auto"/>
        </w:rPr>
        <w:t>) for our CNS pipeline or out-licensing. In addition, VistaStem’s stem cell technologies involving hPSC-derived blood, cartilage, heart and liver cells have multiple potential applications in the cell therapy (</w:t>
      </w:r>
      <w:r>
        <w:rPr>
          <w:rFonts w:ascii="Arial" w:cs="Arial" w:eastAsia="Arial" w:hAnsi="Arial"/>
          <w:sz w:val="18"/>
          <w:szCs w:val="18"/>
          <w:i w:val="1"/>
          <w:iCs w:val="1"/>
          <w:color w:val="auto"/>
        </w:rPr>
        <w:t>CT</w:t>
      </w:r>
      <w:r>
        <w:rPr>
          <w:rFonts w:ascii="Arial" w:cs="Arial" w:eastAsia="Arial" w:hAnsi="Arial"/>
          <w:sz w:val="18"/>
          <w:szCs w:val="18"/>
          <w:color w:val="auto"/>
        </w:rPr>
        <w:t>) and regenerative medicine (</w:t>
      </w:r>
      <w:r>
        <w:rPr>
          <w:rFonts w:ascii="Arial" w:cs="Arial" w:eastAsia="Arial" w:hAnsi="Arial"/>
          <w:sz w:val="18"/>
          <w:szCs w:val="18"/>
          <w:i w:val="1"/>
          <w:iCs w:val="1"/>
          <w:color w:val="auto"/>
        </w:rPr>
        <w:t>RM</w:t>
      </w:r>
      <w:r>
        <w:rPr>
          <w:rFonts w:ascii="Arial" w:cs="Arial" w:eastAsia="Arial" w:hAnsi="Arial"/>
          <w:sz w:val="18"/>
          <w:szCs w:val="18"/>
          <w:color w:val="auto"/>
        </w:rPr>
        <w:t>) fields.</w:t>
      </w:r>
    </w:p>
    <w:p>
      <w:pPr>
        <w:spacing w:after="0" w:line="201" w:lineRule="exact"/>
        <w:rPr>
          <w:sz w:val="20"/>
          <w:szCs w:val="20"/>
          <w:color w:val="auto"/>
        </w:rPr>
      </w:pPr>
    </w:p>
    <w:p>
      <w:pPr>
        <w:jc w:val="both"/>
        <w:ind w:left="120" w:firstLine="648"/>
        <w:spacing w:after="0" w:line="290" w:lineRule="auto"/>
        <w:rPr>
          <w:sz w:val="20"/>
          <w:szCs w:val="20"/>
          <w:color w:val="auto"/>
        </w:rPr>
      </w:pPr>
      <w:r>
        <w:rPr>
          <w:rFonts w:ascii="Arial" w:cs="Arial" w:eastAsia="Arial" w:hAnsi="Arial"/>
          <w:sz w:val="16"/>
          <w:szCs w:val="16"/>
          <w:color w:val="auto"/>
        </w:rPr>
        <w:t xml:space="preserve">To advance potential CT and RM applications of VistaStem’s hPSC technologies related to heart cells, we licensed to BlueRock Therapeutics LP, a next generation CT/RM company formed jointly by Bayer AG and Versant Ventures, rights to develop and commercialize certain proprietary technologies relating to the production of cardiac stem cells for the treatment of heart disease. As a result of its acquisition of BlueRock Therapeutics in 2019, Bayer AG now holds rights to develop and commercialize VistaStem’s hPSC technologies relating to the production of heart cells for the treatment of heart disease (the </w:t>
      </w:r>
      <w:r>
        <w:rPr>
          <w:rFonts w:ascii="Arial" w:cs="Arial" w:eastAsia="Arial" w:hAnsi="Arial"/>
          <w:sz w:val="16"/>
          <w:szCs w:val="16"/>
          <w:i w:val="1"/>
          <w:iCs w:val="1"/>
          <w:color w:val="auto"/>
        </w:rPr>
        <w:t>Bayer Agreement</w:t>
      </w:r>
      <w:r>
        <w:rPr>
          <w:rFonts w:ascii="Arial" w:cs="Arial" w:eastAsia="Arial" w:hAnsi="Arial"/>
          <w:sz w:val="16"/>
          <w:szCs w:val="16"/>
          <w:color w:val="auto"/>
        </w:rPr>
        <w:t>). In a manner similar to the Bayer Agreement, we may pursue additional collaborations involving rights to develop and commercialize VistaStem’s hPSC technologies for production of blood, cartilage, and/or liver cells for CT and RM applications, including, among other indications, treatment of arthritis, cancer and liver disease.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left="120" w:firstLine="648"/>
        <w:spacing w:after="0" w:line="254" w:lineRule="auto"/>
        <w:rPr>
          <w:sz w:val="20"/>
          <w:szCs w:val="20"/>
          <w:color w:val="auto"/>
        </w:rPr>
      </w:pPr>
      <w:r>
        <w:rPr>
          <w:rFonts w:ascii="Arial" w:cs="Arial" w:eastAsia="Arial" w:hAnsi="Arial"/>
          <w:sz w:val="18"/>
          <w:szCs w:val="18"/>
          <w:color w:val="auto"/>
        </w:rPr>
        <w:t xml:space="preserve">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8"/>
          <w:szCs w:val="18"/>
          <w:i w:val="1"/>
          <w:iCs w:val="1"/>
          <w:color w:val="auto"/>
        </w:rPr>
        <w:t>www.vistagen.com</w:t>
      </w:r>
      <w:r>
        <w:rPr>
          <w:rFonts w:ascii="Arial" w:cs="Arial" w:eastAsia="Arial" w:hAnsi="Arial"/>
          <w:sz w:val="18"/>
          <w:szCs w:val="18"/>
          <w:color w:val="auto"/>
        </w:rPr>
        <w:t>. The information contained on our website is not part of this prospectus supplement or the accompanying prospectus. We have included our website address as a factual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117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117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020"/>
          </w:cols>
          <w:pgMar w:left="320" w:top="131" w:right="559" w:bottom="1440" w:gutter="0" w:footer="0" w:header="0"/>
        </w:sectPr>
      </w:pPr>
    </w:p>
    <w:p>
      <w:pPr>
        <w:spacing w:after="0" w:line="248" w:lineRule="exact"/>
        <w:rPr>
          <w:sz w:val="20"/>
          <w:szCs w:val="20"/>
          <w:color w:val="auto"/>
        </w:rPr>
      </w:pPr>
    </w:p>
    <w:p>
      <w:pPr>
        <w:ind w:left="120" w:right="160"/>
        <w:spacing w:after="0" w:line="275" w:lineRule="auto"/>
        <w:rPr>
          <w:sz w:val="20"/>
          <w:szCs w:val="20"/>
          <w:color w:val="auto"/>
        </w:rPr>
      </w:pPr>
      <w:r>
        <w:rPr>
          <w:rFonts w:ascii="Arial" w:cs="Arial" w:eastAsia="Arial" w:hAnsi="Arial"/>
          <w:sz w:val="18"/>
          <w:szCs w:val="18"/>
          <w:b w:val="1"/>
          <w:bCs w:val="1"/>
          <w:color w:val="auto"/>
        </w:rPr>
        <w:t>Shares of common stock offered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line="275" w:lineRule="auto"/>
        <w:rPr>
          <w:sz w:val="20"/>
          <w:szCs w:val="20"/>
          <w:color w:val="auto"/>
        </w:rPr>
      </w:pPr>
      <w:r>
        <w:rPr>
          <w:rFonts w:ascii="Arial" w:cs="Arial" w:eastAsia="Arial" w:hAnsi="Arial"/>
          <w:sz w:val="18"/>
          <w:szCs w:val="18"/>
          <w:b w:val="1"/>
          <w:bCs w:val="1"/>
          <w:color w:val="auto"/>
        </w:rPr>
        <w:t>Shares of common stock outstanding before this offering</w:t>
      </w:r>
    </w:p>
    <w:p>
      <w:pPr>
        <w:spacing w:after="0" w:line="17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b w:val="1"/>
          <w:bCs w:val="1"/>
          <w:color w:val="auto"/>
        </w:rPr>
        <w:t>Shares of common stock to be outstanding after giving effect to the issuance of 12,137,707 shares issuable upon exercise of the Warrants registered hereunder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13,082,707 shares of common stock, par value $0.001 per share, including 12,137,707 shares of common stock issuable upon exercise of certain outstanding common stock purchase warrants (the </w:t>
      </w:r>
      <w:r>
        <w:rPr>
          <w:rFonts w:ascii="Arial" w:cs="Arial" w:eastAsia="Arial" w:hAnsi="Arial"/>
          <w:sz w:val="18"/>
          <w:szCs w:val="18"/>
          <w:i w:val="1"/>
          <w:iCs w:val="1"/>
          <w:color w:val="auto"/>
        </w:rPr>
        <w:t>Warrants</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49,538,042 shares of common stock, which amount includes the Shares that may be offered and sold by the selling stockholders identified herein.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61,675,749 shares of common stock.</w:t>
      </w:r>
    </w:p>
    <w:p>
      <w:pPr>
        <w:spacing w:after="0" w:line="867" w:lineRule="exact"/>
        <w:rPr>
          <w:sz w:val="20"/>
          <w:szCs w:val="20"/>
          <w:color w:val="auto"/>
        </w:rPr>
      </w:pPr>
    </w:p>
    <w:p>
      <w:pPr>
        <w:sectPr>
          <w:pgSz w:w="11900" w:h="16838" w:orient="portrait"/>
          <w:cols w:equalWidth="0" w:num="2">
            <w:col w:w="3720" w:space="360"/>
            <w:col w:w="6940"/>
          </w:cols>
          <w:pgMar w:left="320" w:top="131" w:right="559" w:bottom="1440" w:gutter="0" w:footer="0" w:header="0"/>
          <w:type w:val="continuous"/>
        </w:sectPr>
      </w:pPr>
    </w:p>
    <w:p>
      <w:pPr>
        <w:ind w:left="120"/>
        <w:spacing w:after="0"/>
        <w:tabs>
          <w:tab w:leader="none" w:pos="406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6"/>
          <w:szCs w:val="16"/>
          <w:color w:val="auto"/>
        </w:rPr>
        <w:t>We will receive no proceeds from the sale of shares of common stock by the selling stockholders</w:t>
      </w:r>
    </w:p>
    <w:p>
      <w:pPr>
        <w:spacing w:after="0" w:line="21" w:lineRule="exact"/>
        <w:rPr>
          <w:sz w:val="20"/>
          <w:szCs w:val="20"/>
          <w:color w:val="auto"/>
        </w:rPr>
      </w:pPr>
    </w:p>
    <w:p>
      <w:pPr>
        <w:ind w:left="4080"/>
        <w:spacing w:after="0" w:line="260" w:lineRule="auto"/>
        <w:rPr>
          <w:sz w:val="20"/>
          <w:szCs w:val="20"/>
          <w:color w:val="auto"/>
        </w:rPr>
      </w:pPr>
      <w:r>
        <w:rPr>
          <w:rFonts w:ascii="Arial" w:cs="Arial" w:eastAsia="Arial" w:hAnsi="Arial"/>
          <w:sz w:val="18"/>
          <w:szCs w:val="18"/>
          <w:color w:val="auto"/>
        </w:rPr>
        <w:t xml:space="preserve">in this offering. We may receive proceeds upon cash exercises, if any, of the Warrants. See </w:t>
      </w:r>
      <w:r>
        <w:rPr>
          <w:rFonts w:ascii="Arial" w:cs="Arial" w:eastAsia="Arial" w:hAnsi="Arial"/>
          <w:sz w:val="18"/>
          <w:szCs w:val="18"/>
          <w:i w:val="1"/>
          <w:iCs w:val="1"/>
          <w:color w:val="auto"/>
        </w:rPr>
        <w:t>Use of</w:t>
      </w:r>
      <w:r>
        <w:rPr>
          <w:rFonts w:ascii="Arial" w:cs="Arial" w:eastAsia="Arial" w:hAnsi="Arial"/>
          <w:sz w:val="18"/>
          <w:szCs w:val="18"/>
          <w:color w:val="auto"/>
        </w:rPr>
        <w:t xml:space="preserve"> </w:t>
      </w:r>
      <w:r>
        <w:rPr>
          <w:rFonts w:ascii="Arial" w:cs="Arial" w:eastAsia="Arial" w:hAnsi="Arial"/>
          <w:sz w:val="18"/>
          <w:szCs w:val="18"/>
          <w:i w:val="1"/>
          <w:iCs w:val="1"/>
          <w:color w:val="auto"/>
        </w:rPr>
        <w:t>Proceeds.</w:t>
      </w:r>
    </w:p>
    <w:p>
      <w:pPr>
        <w:spacing w:after="0" w:line="187" w:lineRule="exact"/>
        <w:rPr>
          <w:sz w:val="20"/>
          <w:szCs w:val="20"/>
          <w:color w:val="auto"/>
        </w:rPr>
      </w:pPr>
    </w:p>
    <w:p>
      <w:pPr>
        <w:ind w:left="120"/>
        <w:spacing w:after="0"/>
        <w:tabs>
          <w:tab w:leader="none" w:pos="4060" w:val="left"/>
        </w:tabs>
        <w:rPr>
          <w:sz w:val="20"/>
          <w:szCs w:val="20"/>
          <w:color w:val="auto"/>
        </w:rPr>
      </w:pPr>
      <w:r>
        <w:rPr>
          <w:rFonts w:ascii="Arial" w:cs="Arial" w:eastAsia="Arial" w:hAnsi="Arial"/>
          <w:sz w:val="18"/>
          <w:szCs w:val="18"/>
          <w:b w:val="1"/>
          <w:bCs w:val="1"/>
          <w:color w:val="auto"/>
        </w:rPr>
        <w:t>Terms of this offering</w:t>
      </w:r>
      <w:r>
        <w:rPr>
          <w:sz w:val="20"/>
          <w:szCs w:val="20"/>
          <w:color w:val="auto"/>
        </w:rPr>
        <w:tab/>
      </w:r>
      <w:r>
        <w:rPr>
          <w:rFonts w:ascii="Arial" w:cs="Arial" w:eastAsia="Arial" w:hAnsi="Arial"/>
          <w:sz w:val="15"/>
          <w:szCs w:val="15"/>
          <w:color w:val="auto"/>
        </w:rPr>
        <w:t>The selling stockholders, including their transferees, donees, pledgees, assignees and successors-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in-interest, may sell, transfer or otherwise dispose of any or all of the shares of common stock</w:t>
      </w:r>
    </w:p>
    <w:p>
      <w:pPr>
        <w:spacing w:after="0" w:line="32"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offered by this prospectus from time to time on The Nasdaq Capital Market or any other stock</w:t>
      </w:r>
    </w:p>
    <w:p>
      <w:pPr>
        <w:spacing w:after="0" w:line="32"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exchange, market or trading facility on which the shares are traded or in private transactions. The</w:t>
      </w:r>
    </w:p>
    <w:p>
      <w:pPr>
        <w:spacing w:after="0" w:line="32" w:lineRule="exact"/>
        <w:rPr>
          <w:sz w:val="20"/>
          <w:szCs w:val="20"/>
          <w:color w:val="auto"/>
        </w:rPr>
      </w:pPr>
    </w:p>
    <w:p>
      <w:pPr>
        <w:ind w:left="4080"/>
        <w:spacing w:after="0"/>
        <w:rPr>
          <w:sz w:val="20"/>
          <w:szCs w:val="20"/>
          <w:color w:val="auto"/>
        </w:rPr>
      </w:pPr>
      <w:r>
        <w:rPr>
          <w:rFonts w:ascii="Arial" w:cs="Arial" w:eastAsia="Arial" w:hAnsi="Arial"/>
          <w:sz w:val="15"/>
          <w:szCs w:val="15"/>
          <w:color w:val="auto"/>
        </w:rPr>
        <w:t>shares of common stock may be sold at fixed prices, at market prices prevailing at the time of sale,</w:t>
      </w:r>
    </w:p>
    <w:p>
      <w:pPr>
        <w:spacing w:after="0" w:line="4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at prices related to prevailing market price or at negotiated prices.</w:t>
      </w:r>
    </w:p>
    <w:p>
      <w:pPr>
        <w:spacing w:after="0" w:line="213" w:lineRule="exact"/>
        <w:rPr>
          <w:sz w:val="20"/>
          <w:szCs w:val="20"/>
          <w:color w:val="auto"/>
        </w:rPr>
      </w:pPr>
    </w:p>
    <w:p>
      <w:pPr>
        <w:ind w:left="120"/>
        <w:spacing w:after="0"/>
        <w:tabs>
          <w:tab w:leader="none" w:pos="4060" w:val="left"/>
        </w:tabs>
        <w:rPr>
          <w:sz w:val="20"/>
          <w:szCs w:val="20"/>
          <w:color w:val="auto"/>
        </w:rPr>
      </w:pPr>
      <w:r>
        <w:rPr>
          <w:rFonts w:ascii="Arial" w:cs="Arial" w:eastAsia="Arial" w:hAnsi="Arial"/>
          <w:sz w:val="18"/>
          <w:szCs w:val="18"/>
          <w:b w:val="1"/>
          <w:bCs w:val="1"/>
          <w:color w:val="auto"/>
        </w:rPr>
        <w:t>Nasdaq symbol</w:t>
      </w:r>
      <w:r>
        <w:rPr>
          <w:sz w:val="20"/>
          <w:szCs w:val="20"/>
          <w:color w:val="auto"/>
        </w:rPr>
        <w:tab/>
      </w:r>
      <w:r>
        <w:rPr>
          <w:rFonts w:ascii="Arial" w:cs="Arial" w:eastAsia="Arial" w:hAnsi="Arial"/>
          <w:sz w:val="16"/>
          <w:szCs w:val="16"/>
          <w:color w:val="auto"/>
        </w:rPr>
        <w:t>Our common stock is listed on The Nasdaq Capital Market under the symbol “VTGN”.</w:t>
      </w:r>
    </w:p>
    <w:p>
      <w:pPr>
        <w:spacing w:after="0" w:line="225" w:lineRule="exact"/>
        <w:rPr>
          <w:sz w:val="20"/>
          <w:szCs w:val="20"/>
          <w:color w:val="auto"/>
        </w:rPr>
      </w:pPr>
    </w:p>
    <w:p>
      <w:pPr>
        <w:ind w:left="120"/>
        <w:spacing w:after="0"/>
        <w:tabs>
          <w:tab w:leader="none" w:pos="406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Investing in our common stock involves a high degree of risk. You should review carefully the</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risks and uncertainties described in or incorporated by reference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32"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in this prospectus, the documents we have incorporated by reference herein, and under similar</w:t>
      </w:r>
    </w:p>
    <w:p>
      <w:pPr>
        <w:spacing w:after="0" w:line="32"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headings in other documents filed after the date hereof and incorporated by reference into this</w:t>
      </w:r>
    </w:p>
    <w:p>
      <w:pPr>
        <w:spacing w:after="0" w:line="32" w:lineRule="exact"/>
        <w:rPr>
          <w:sz w:val="20"/>
          <w:szCs w:val="20"/>
          <w:color w:val="auto"/>
        </w:rPr>
      </w:pPr>
    </w:p>
    <w:p>
      <w:pPr>
        <w:ind w:left="4080"/>
        <w:spacing w:after="0"/>
        <w:rPr>
          <w:sz w:val="20"/>
          <w:szCs w:val="20"/>
          <w:color w:val="auto"/>
        </w:rPr>
      </w:pPr>
      <w:r>
        <w:rPr>
          <w:rFonts w:ascii="Arial" w:cs="Arial" w:eastAsia="Arial" w:hAnsi="Arial"/>
          <w:sz w:val="15"/>
          <w:szCs w:val="15"/>
          <w:color w:val="auto"/>
        </w:rPr>
        <w:t xml:space="preserve">prospectus. See </w:t>
      </w:r>
      <w:r>
        <w:rPr>
          <w:rFonts w:ascii="Arial" w:cs="Arial" w:eastAsia="Arial" w:hAnsi="Arial"/>
          <w:sz w:val="15"/>
          <w:szCs w:val="15"/>
          <w:i w:val="1"/>
          <w:iCs w:val="1"/>
          <w:color w:val="auto"/>
        </w:rPr>
        <w:t>Incorporation of Certain Information by Reference</w:t>
      </w:r>
      <w:r>
        <w:rPr>
          <w:rFonts w:ascii="Arial" w:cs="Arial" w:eastAsia="Arial" w:hAnsi="Arial"/>
          <w:sz w:val="15"/>
          <w:szCs w:val="15"/>
          <w:color w:val="auto"/>
        </w:rPr>
        <w:t xml:space="preserve"> and </w:t>
      </w:r>
      <w:r>
        <w:rPr>
          <w:rFonts w:ascii="Arial" w:cs="Arial" w:eastAsia="Arial" w:hAnsi="Arial"/>
          <w:sz w:val="15"/>
          <w:szCs w:val="15"/>
          <w:i w:val="1"/>
          <w:iCs w:val="1"/>
          <w:color w:val="auto"/>
        </w:rPr>
        <w:t>Where You Can Find More</w:t>
      </w:r>
    </w:p>
    <w:p>
      <w:pPr>
        <w:spacing w:after="0" w:line="44" w:lineRule="exact"/>
        <w:rPr>
          <w:sz w:val="20"/>
          <w:szCs w:val="20"/>
          <w:color w:val="auto"/>
        </w:rPr>
      </w:pPr>
    </w:p>
    <w:p>
      <w:pPr>
        <w:ind w:left="4080"/>
        <w:spacing w:after="0"/>
        <w:rPr>
          <w:sz w:val="20"/>
          <w:szCs w:val="20"/>
          <w:color w:val="auto"/>
        </w:rPr>
      </w:pP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219" w:lineRule="exact"/>
        <w:rPr>
          <w:sz w:val="20"/>
          <w:szCs w:val="20"/>
          <w:color w:val="auto"/>
        </w:rPr>
      </w:pPr>
    </w:p>
    <w:p>
      <w:pPr>
        <w:ind w:left="120"/>
        <w:spacing w:after="0" w:line="268" w:lineRule="auto"/>
        <w:rPr>
          <w:sz w:val="20"/>
          <w:szCs w:val="20"/>
          <w:color w:val="auto"/>
        </w:rPr>
      </w:pPr>
      <w:r>
        <w:rPr>
          <w:rFonts w:ascii="Arial" w:cs="Arial" w:eastAsia="Arial" w:hAnsi="Arial"/>
          <w:sz w:val="18"/>
          <w:szCs w:val="18"/>
          <w:color w:val="auto"/>
        </w:rPr>
        <w:t>Unless otherwise noted, the number of shares of our common stock prior to and after this offering is based on 49,538,042 shares outstanding as of April 30, 2020 and excludes:</w:t>
      </w:r>
    </w:p>
    <w:p>
      <w:pPr>
        <w:spacing w:after="0" w:line="186" w:lineRule="exact"/>
        <w:rPr>
          <w:sz w:val="20"/>
          <w:szCs w:val="20"/>
          <w:color w:val="auto"/>
        </w:rPr>
      </w:pPr>
    </w:p>
    <w:p>
      <w:pPr>
        <w:ind w:left="940" w:hanging="487"/>
        <w:spacing w:after="0" w:line="268"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our Series A Preferred Stock held by one institutional investor and one accredited individual investor;</w:t>
      </w:r>
    </w:p>
    <w:p>
      <w:pPr>
        <w:spacing w:after="0" w:line="185" w:lineRule="exact"/>
        <w:rPr>
          <w:rFonts w:ascii="Arial" w:cs="Arial" w:eastAsia="Arial" w:hAnsi="Arial"/>
          <w:sz w:val="18"/>
          <w:szCs w:val="18"/>
          <w:color w:val="auto"/>
        </w:rPr>
      </w:pPr>
    </w:p>
    <w:p>
      <w:pPr>
        <w:ind w:left="940" w:hanging="487"/>
        <w:spacing w:after="0" w:line="268"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10% Convertible Preferred Stock held by two institutional investors;</w:t>
      </w:r>
    </w:p>
    <w:p>
      <w:pPr>
        <w:spacing w:after="0" w:line="185" w:lineRule="exact"/>
        <w:rPr>
          <w:rFonts w:ascii="Arial" w:cs="Arial" w:eastAsia="Arial" w:hAnsi="Arial"/>
          <w:sz w:val="18"/>
          <w:szCs w:val="18"/>
          <w:color w:val="auto"/>
        </w:rPr>
      </w:pPr>
    </w:p>
    <w:p>
      <w:pPr>
        <w:ind w:left="940" w:hanging="487"/>
        <w:spacing w:after="0" w:line="268"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Convertible Preferred Stock held by one institutional investor;</w:t>
      </w:r>
    </w:p>
    <w:p>
      <w:pPr>
        <w:spacing w:after="0" w:line="185" w:lineRule="exact"/>
        <w:rPr>
          <w:rFonts w:ascii="Arial" w:cs="Arial" w:eastAsia="Arial" w:hAnsi="Arial"/>
          <w:sz w:val="18"/>
          <w:szCs w:val="18"/>
          <w:color w:val="auto"/>
        </w:rPr>
      </w:pPr>
    </w:p>
    <w:p>
      <w:pPr>
        <w:ind w:left="940" w:hanging="487"/>
        <w:spacing w:after="0" w:line="268"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26,680,281 shares of common stock that have been reserved for issuance upon exercise of outstanding warrants, with a weighted average exercise price of $1.64 per share;</w:t>
      </w:r>
    </w:p>
    <w:p>
      <w:pPr>
        <w:spacing w:after="0" w:line="185" w:lineRule="exact"/>
        <w:rPr>
          <w:rFonts w:ascii="Arial" w:cs="Arial" w:eastAsia="Arial" w:hAnsi="Arial"/>
          <w:sz w:val="18"/>
          <w:szCs w:val="18"/>
          <w:color w:val="auto"/>
        </w:rPr>
      </w:pPr>
    </w:p>
    <w:p>
      <w:pPr>
        <w:ind w:left="940" w:hanging="487"/>
        <w:spacing w:after="0" w:line="268"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11,583,088 shares of common stock reserved for issuance upon exercise of outstanding stock options under our 2016 Equity Incentive Plan and our 2019 Omnibus Equity Incentive Plan, with a weighted average exercise price of $1.23 per share;</w:t>
      </w:r>
    </w:p>
    <w:p>
      <w:pPr>
        <w:spacing w:after="0" w:line="185" w:lineRule="exact"/>
        <w:rPr>
          <w:rFonts w:ascii="Arial" w:cs="Arial" w:eastAsia="Arial" w:hAnsi="Arial"/>
          <w:sz w:val="18"/>
          <w:szCs w:val="18"/>
          <w:color w:val="auto"/>
        </w:rPr>
      </w:pPr>
    </w:p>
    <w:p>
      <w:pPr>
        <w:ind w:left="940" w:hanging="487"/>
        <w:spacing w:after="0" w:line="268"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5,150,162 shares of common stock reserved for future issuance in connection with future grants under our 2019 Omnibus Equity Incentive Plan; and</w:t>
      </w:r>
    </w:p>
    <w:p>
      <w:pPr>
        <w:spacing w:after="0" w:line="185" w:lineRule="exact"/>
        <w:rPr>
          <w:rFonts w:ascii="Arial" w:cs="Arial" w:eastAsia="Arial" w:hAnsi="Arial"/>
          <w:sz w:val="18"/>
          <w:szCs w:val="18"/>
          <w:color w:val="auto"/>
        </w:rPr>
      </w:pPr>
    </w:p>
    <w:p>
      <w:pPr>
        <w:ind w:left="940" w:hanging="487"/>
        <w:spacing w:after="0"/>
        <w:tabs>
          <w:tab w:leader="none" w:pos="940" w:val="left"/>
        </w:tabs>
        <w:numPr>
          <w:ilvl w:val="0"/>
          <w:numId w:val="2"/>
        </w:numPr>
        <w:rPr>
          <w:rFonts w:ascii="Arial" w:cs="Arial" w:eastAsia="Arial" w:hAnsi="Arial"/>
          <w:sz w:val="15"/>
          <w:szCs w:val="15"/>
          <w:color w:val="auto"/>
        </w:rPr>
      </w:pPr>
      <w:r>
        <w:rPr>
          <w:rFonts w:ascii="Arial" w:cs="Arial" w:eastAsia="Arial" w:hAnsi="Arial"/>
          <w:sz w:val="15"/>
          <w:szCs w:val="15"/>
          <w:color w:val="auto"/>
        </w:rPr>
        <w:t>1,000,000 shares of common stock reserved for future issuance in connection with future sales under our 2019 Employee Stock Purchase Plan.</w:t>
      </w:r>
    </w:p>
    <w:p>
      <w:pPr>
        <w:sectPr>
          <w:pgSz w:w="11900" w:h="16838" w:orient="portrait"/>
          <w:cols w:equalWidth="0" w:num="1">
            <w:col w:w="11020"/>
          </w:cols>
          <w:pgMar w:left="320" w:top="131"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1440" w:gutter="0" w:footer="0" w:header="0"/>
          <w:type w:val="continuous"/>
        </w:sectPr>
      </w:pPr>
    </w:p>
    <w:bookmarkStart w:id="10" w:name="page11"/>
    <w:bookmarkEnd w:id="1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Annual Report on Form 10-K for the fiscal year ended March 31, 2019 and our Quarterly Report on Form 10-Q for the quarters ended June 30, 2019, September 30, 2019 and December 31, 2019, which are incorporated by reference into this prospectus, as well as our other filings with the SEC, include material risk factors relating to our business. Those risks and uncertainties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and operations. If any of those risks and uncertainties actually occur, our business, financial condition or results of operations could be harmed substantially. In such a case, you may lose all or part of your investment. You should carefully consider the risks and uncertainties described below and incorporated by reference herein, and all other information contained in or incorporated by reference into this prospectus, as updated by our subsequent filings under the Exchange Act, before making an investment decision with respect to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stock price may be volatile, and you may not be able to resell shares of our common stock at or above the price you paid.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public trading price for our common stock can be affected by a number of factors, including:</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the FDA or other regulatory authority to approve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sales or purchases of large blocks of our common stock, including sales or purchases by our executive officers, directors and significant stockholders;</w:t>
      </w:r>
    </w:p>
    <w:p>
      <w:pPr>
        <w:spacing w:after="0" w:line="259" w:lineRule="exact"/>
        <w:rPr>
          <w:rFonts w:ascii="Arial" w:cs="Arial" w:eastAsia="Arial" w:hAnsi="Arial"/>
          <w:sz w:val="15"/>
          <w:szCs w:val="15"/>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establishment of short positions by holders or non-holders of our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660" w:right="520" w:hanging="652"/>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 including fluctuations attributable to the recent outbreak of the novel coronavirus (</w:t>
      </w:r>
      <w:r>
        <w:rPr>
          <w:rFonts w:ascii="Arial" w:cs="Arial" w:eastAsia="Arial" w:hAnsi="Arial"/>
          <w:sz w:val="18"/>
          <w:szCs w:val="18"/>
          <w:i w:val="1"/>
          <w:iCs w:val="1"/>
          <w:color w:val="auto"/>
        </w:rPr>
        <w:t>COVID-19</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660" w:right="800" w:hanging="652"/>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that are outside of our control, such as the impact of health and safety concerns from the current outbreak of COVID-19 or other unforeseeable circumstances; and</w:t>
      </w:r>
    </w:p>
    <w:p>
      <w:pPr>
        <w:spacing w:after="0" w:line="185"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 and the risk factors incorporated into this prospectus by reference.</w:t>
      </w:r>
    </w:p>
    <w:p>
      <w:pPr>
        <w:spacing w:after="0" w:line="225"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5"/>
          <w:szCs w:val="15"/>
          <w:color w:val="auto"/>
        </w:rPr>
        <w:t>In recent years, the stock markets generally and the stock prices of many companies in the pharmaceutical industry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 shortly following this offering. If the market price of shares of our common stock does not ever exceed the price at which shares are acquired under the Purchase Agreement, you may not be able to resell shares of our common stock at or above the price you paid.</w:t>
      </w:r>
    </w:p>
    <w:p>
      <w:pPr>
        <w:spacing w:after="0" w:line="15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b w:val="1"/>
          <w:bCs w:val="1"/>
          <w:i w:val="1"/>
          <w:iCs w:val="1"/>
          <w:color w:val="auto"/>
        </w:rPr>
        <w:t>Future sales and issuances of our common stock or other securities may result in significant dilution and could cause the price of our common stock to decline.</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 These sales may also result in material dilution to our existing stockholders, and new investors could gain rights superior to our existing stockholders.</w:t>
      </w:r>
    </w:p>
    <w:p>
      <w:pPr>
        <w:spacing w:after="0" w:line="19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In addition, sales of a substantial number of shares of our outstanding common stock in the public market could occur at any time. Certain of our stockholders, including certain of the selling stockholders, hold a substantial number of our common stock that many of them are now able to sell in the public market. Sales of stock by these stockholders could have a material adverse effect on the trading price of our common stock.</w:t>
      </w:r>
    </w:p>
    <w:p>
      <w:pPr>
        <w:spacing w:after="0" w:line="160"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w:t>
      </w:r>
    </w:p>
    <w:p>
      <w:pPr>
        <w:sectPr>
          <w:pgSz w:w="11900" w:h="16838" w:orient="portrait"/>
          <w:cols w:equalWidth="0" w:num="1">
            <w:col w:w="11240"/>
          </w:cols>
          <w:pgMar w:left="320" w:top="131" w:right="339" w:bottom="0" w:gutter="0" w:footer="0" w:header="0"/>
        </w:sectPr>
      </w:pPr>
    </w:p>
    <w:bookmarkStart w:id="11" w:name="page12"/>
    <w:bookmarkEnd w:id="11"/>
    <w:p>
      <w:pPr>
        <w:spacing w:after="0"/>
        <w:rPr>
          <w:sz w:val="20"/>
          <w:szCs w:val="20"/>
          <w:color w:val="auto"/>
        </w:rPr>
      </w:pPr>
      <w:r>
        <w:rPr>
          <w:rFonts w:ascii="Arial" w:cs="Arial" w:eastAsia="Arial" w:hAnsi="Arial"/>
          <w:sz w:val="15"/>
          <w:szCs w:val="15"/>
          <w:color w:val="auto"/>
        </w:rPr>
        <w:t>warrants or options, or the perception that such sales may occur, could adversely affect the market price of our common stock.</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 w:name="page13"/>
    <w:bookmarkEnd w:id="1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NOTES REGARDING FORWARD-LOOKING STATEMENTS</w:t>
      </w:r>
    </w:p>
    <w:p>
      <w:pPr>
        <w:spacing w:after="0" w:line="23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All statements contained in this prospectus, other than statements of historical facts, are forward-looking statements including statements regarding our strategy, future operations, future financial position, future revenue, projected costs, prospects, plans, objectives of management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94" w:lineRule="exact"/>
        <w:rPr>
          <w:sz w:val="20"/>
          <w:szCs w:val="20"/>
          <w:color w:val="auto"/>
        </w:rPr>
      </w:pPr>
    </w:p>
    <w:p>
      <w:pPr>
        <w:ind w:left="660" w:hanging="49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develop and commercialize our any of our current product candidates;</w:t>
      </w:r>
    </w:p>
    <w:p>
      <w:pPr>
        <w:spacing w:after="0" w:line="22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85" w:lineRule="exact"/>
        <w:rPr>
          <w:rFonts w:ascii="Arial" w:cs="Arial" w:eastAsia="Arial" w:hAnsi="Arial"/>
          <w:sz w:val="18"/>
          <w:szCs w:val="18"/>
          <w:color w:val="auto"/>
        </w:rPr>
      </w:pPr>
    </w:p>
    <w:p>
      <w:pPr>
        <w:ind w:left="660" w:hanging="49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25" w:lineRule="exact"/>
        <w:rPr>
          <w:rFonts w:ascii="Arial" w:cs="Arial" w:eastAsia="Arial" w:hAnsi="Arial"/>
          <w:sz w:val="18"/>
          <w:szCs w:val="18"/>
          <w:color w:val="auto"/>
        </w:rPr>
      </w:pPr>
    </w:p>
    <w:p>
      <w:pPr>
        <w:jc w:val="both"/>
        <w:ind w:left="660" w:hanging="490"/>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our third-party contractors involved with the manufacturer and production of our drug candidates for nonclinical and clinical development activities, contract research organizations and other third-party nonclinical and clinical development collaborators and regulatory service providers;</w:t>
      </w:r>
    </w:p>
    <w:p>
      <w:pPr>
        <w:spacing w:after="0" w:line="193" w:lineRule="exact"/>
        <w:rPr>
          <w:rFonts w:ascii="Arial" w:cs="Arial" w:eastAsia="Arial" w:hAnsi="Arial"/>
          <w:sz w:val="18"/>
          <w:szCs w:val="18"/>
          <w:color w:val="auto"/>
        </w:rPr>
      </w:pPr>
    </w:p>
    <w:p>
      <w:pPr>
        <w:ind w:left="660" w:hanging="49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core assets;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products and product candidates in development by others that are or become available for the indications that we are pursuing;</w:t>
      </w:r>
    </w:p>
    <w:p>
      <w:pPr>
        <w:spacing w:after="0" w:line="18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key scientific, clinical and nonclinical development, and/or management personnel, internally or from one of our third-party collaborators; and</w:t>
      </w:r>
    </w:p>
    <w:p>
      <w:pPr>
        <w:spacing w:after="0" w:line="185" w:lineRule="exact"/>
        <w:rPr>
          <w:rFonts w:ascii="Arial" w:cs="Arial" w:eastAsia="Arial" w:hAnsi="Arial"/>
          <w:sz w:val="18"/>
          <w:szCs w:val="18"/>
          <w:color w:val="auto"/>
        </w:rPr>
      </w:pPr>
    </w:p>
    <w:p>
      <w:pPr>
        <w:ind w:left="660" w:hanging="490"/>
        <w:spacing w:after="0" w:line="33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other risks and uncertainties, including those described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2019 and subsequent Quarterly Reports on Form 10-Q, which risk factors are incorporated herein by reference.</w:t>
      </w:r>
    </w:p>
    <w:p>
      <w:pPr>
        <w:spacing w:after="0" w:line="14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as well as certain information incorporated by reference into this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read this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CORPORATE EQUITY TRANSACTIONS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inception in May 1998 through April 2020, the Company has financed its operations, in part, through the issuance and sale of equity and debt securities during which the Shares and essentially all of the Warrants were issued, as well as through government research grant awards, strategic collaboration payments, intellectual property licenses and other revenues, and in-kind benefits from agreements for government-sponsored and directly-funded clinical trials. Additionally, the Company has issued equity securities, including certain of the Warrants, in noncash settlement of liabilities for professional services rendered to it or as compensation for such services.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about the transactions resulting in the issuance of the Shares and Warrants follows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Unit Private Placement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Between March 2014 and May 14, 2015, in private placement transactions, we entered into securities purchase agreements with accredited investors for the 2014 Unit Private Placement pursuant to which we sold 2014 Units to such accredited investors for aggregate cash proceeds of $3,413,500, consisting of (i) 2014 Unit Notes in the aggregate face amount of $3,413,500 due between March 31, 2015 and May 15, 2015 or automatically convertible into securities issuable upon our consummation of a Qualified Financing, as defined in the notes; (ii) an aggregate of 315,850 restricted shares of our common stock; and (iii) 2014 Unit Warrants exercisable through December 31, 2016 to purchase an aggregate of 307,100 restricted shares of our common stock at an exercise price of $10.00 per share. The expiration date of the 2014 Unit Warrants was subsequently extended until May 2020 and certain of the 2014 Unit Warrants were subsequently exchanged for unregistered shares of our common stock.</w:t>
      </w:r>
    </w:p>
    <w:p>
      <w:pPr>
        <w:spacing w:after="0" w:line="17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60,531 shares of common stock are included in this prospectus that were originally issued as a part of the 2014 Unit Warrants.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Unit Offering</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Between May 2015 and May 2016, in self-placed private placement transactions, we sold to accredited investors an aggregate of $5,303,800 of units in our Series B Preferred Unit offering, which units consisted of Series B Preferred stock and Series B Warrants (together </w:t>
      </w:r>
      <w:r>
        <w:rPr>
          <w:rFonts w:ascii="Arial" w:cs="Arial" w:eastAsia="Arial" w:hAnsi="Arial"/>
          <w:sz w:val="16"/>
          <w:szCs w:val="16"/>
          <w:i w:val="1"/>
          <w:iCs w:val="1"/>
          <w:color w:val="auto"/>
        </w:rPr>
        <w:t>Series B Preferred Units</w:t>
      </w:r>
      <w:r>
        <w:rPr>
          <w:rFonts w:ascii="Arial" w:cs="Arial" w:eastAsia="Arial" w:hAnsi="Arial"/>
          <w:sz w:val="16"/>
          <w:szCs w:val="16"/>
          <w:color w:val="auto"/>
        </w:rPr>
        <w:t xml:space="preserve">) (the </w:t>
      </w:r>
      <w:r>
        <w:rPr>
          <w:rFonts w:ascii="Arial" w:cs="Arial" w:eastAsia="Arial" w:hAnsi="Arial"/>
          <w:sz w:val="16"/>
          <w:szCs w:val="16"/>
          <w:i w:val="1"/>
          <w:iCs w:val="1"/>
          <w:color w:val="auto"/>
        </w:rPr>
        <w:t>Series</w:t>
      </w:r>
      <w:r>
        <w:rPr>
          <w:rFonts w:ascii="Arial" w:cs="Arial" w:eastAsia="Arial" w:hAnsi="Arial"/>
          <w:sz w:val="16"/>
          <w:szCs w:val="16"/>
          <w:color w:val="auto"/>
        </w:rPr>
        <w:t xml:space="preserve"> </w:t>
      </w:r>
      <w:r>
        <w:rPr>
          <w:rFonts w:ascii="Arial" w:cs="Arial" w:eastAsia="Arial" w:hAnsi="Arial"/>
          <w:sz w:val="16"/>
          <w:szCs w:val="16"/>
          <w:i w:val="1"/>
          <w:iCs w:val="1"/>
          <w:color w:val="auto"/>
        </w:rPr>
        <w:t>B Preferred Unit Offering</w:t>
      </w:r>
      <w:r>
        <w:rPr>
          <w:rFonts w:ascii="Arial" w:cs="Arial" w:eastAsia="Arial" w:hAnsi="Arial"/>
          <w:sz w:val="16"/>
          <w:szCs w:val="16"/>
          <w:color w:val="auto"/>
        </w:rPr>
        <w:t>). We issued 757,692 shares of Series B Preferred stock and Series B Warrants to purchase 757,692 shares of our common stock.</w:t>
      </w:r>
    </w:p>
    <w:p>
      <w:pPr>
        <w:spacing w:after="0" w:line="16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68,287 shares of common stock are included in this prospectus that were originally issued as a part of the Series B Preferred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Spring 2017 Private Placement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Between March 2017 and June 2017, in self-placed private placement transactions, we sold to accredited investors units, at a purchase price of $2.00 per unit, consisting of an aggregate of 495,001 unregistered shares of our common stock and warrants, exercisable through April 2021, to purchase an aggregate of 495,001 unregistered shares of our common stock at a weighted average exercise price of $3.99 per share (the </w:t>
      </w:r>
      <w:r>
        <w:rPr>
          <w:rFonts w:ascii="Arial" w:cs="Arial" w:eastAsia="Arial" w:hAnsi="Arial"/>
          <w:sz w:val="16"/>
          <w:szCs w:val="16"/>
          <w:i w:val="1"/>
          <w:iCs w:val="1"/>
          <w:color w:val="auto"/>
        </w:rPr>
        <w:t>Spring 2017 Private Placement</w:t>
      </w:r>
      <w:r>
        <w:rPr>
          <w:rFonts w:ascii="Arial" w:cs="Arial" w:eastAsia="Arial" w:hAnsi="Arial"/>
          <w:sz w:val="16"/>
          <w:szCs w:val="16"/>
          <w:color w:val="auto"/>
        </w:rPr>
        <w:t xml:space="preserve"> </w:t>
      </w:r>
      <w:r>
        <w:rPr>
          <w:rFonts w:ascii="Arial" w:cs="Arial" w:eastAsia="Arial" w:hAnsi="Arial"/>
          <w:sz w:val="16"/>
          <w:szCs w:val="16"/>
          <w:i w:val="1"/>
          <w:iCs w:val="1"/>
          <w:color w:val="auto"/>
        </w:rPr>
        <w:t>Warrants</w:t>
      </w:r>
      <w:r>
        <w:rPr>
          <w:rFonts w:ascii="Arial" w:cs="Arial" w:eastAsia="Arial" w:hAnsi="Arial"/>
          <w:sz w:val="16"/>
          <w:szCs w:val="16"/>
          <w:color w:val="auto"/>
        </w:rPr>
        <w:t>). The purchaser of the units has no registration rights with respect to the shares of common stock, warrants or the shares of common stock issuable</w:t>
      </w:r>
      <w:r>
        <w:rPr>
          <w:rFonts w:ascii="Arial" w:cs="Arial" w:eastAsia="Arial" w:hAnsi="Arial"/>
          <w:sz w:val="16"/>
          <w:szCs w:val="16"/>
          <w:i w:val="1"/>
          <w:iCs w:val="1"/>
          <w:color w:val="auto"/>
        </w:rPr>
        <w:t xml:space="preserve"> </w:t>
      </w:r>
      <w:r>
        <w:rPr>
          <w:rFonts w:ascii="Arial" w:cs="Arial" w:eastAsia="Arial" w:hAnsi="Arial"/>
          <w:sz w:val="16"/>
          <w:szCs w:val="16"/>
          <w:color w:val="auto"/>
        </w:rPr>
        <w:t>upon exercise of the warrants comprising the units sold. The warrants are not exercisable until six months and one day following the date of issuance. We received aggregate cash proceeds of $987,800 in connection with these self-placed private placement transactions.</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482,501 shares of common stock are included in this prospectus that were originally issued as Spring 2017 Private Placement Warrants.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August 2017 Private Placement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During August 2017, in a self-placed private placement transaction, we sold to an accredited investor units consisting of 28,572 shares of our unregistered common stock and warrants exercisable through April 30, 2021 to purchase 28,572 unregistered shares of our common stock at an exercise price of $4.00 per share (the </w:t>
      </w:r>
      <w:r>
        <w:rPr>
          <w:rFonts w:ascii="Arial" w:cs="Arial" w:eastAsia="Arial" w:hAnsi="Arial"/>
          <w:sz w:val="16"/>
          <w:szCs w:val="16"/>
          <w:i w:val="1"/>
          <w:iCs w:val="1"/>
          <w:color w:val="auto"/>
        </w:rPr>
        <w:t>August 2017 Private Placement Warrants</w:t>
      </w:r>
      <w:r>
        <w:rPr>
          <w:rFonts w:ascii="Arial" w:cs="Arial" w:eastAsia="Arial" w:hAnsi="Arial"/>
          <w:sz w:val="16"/>
          <w:szCs w:val="16"/>
          <w:color w:val="auto"/>
        </w:rPr>
        <w:t>). The purchaser of the units has no registration rights with respect to the shares of common stock, warrants or the shares of common stock issuable upon exercise of the warrants comprising the units sold. The warrants are not exercisable until six months and one day following the date of issuance. We received cash proceeds of $50,000 from this sale of our securities, and the entire amount of the proceeds was credited to stockholders’ equity.</w:t>
      </w:r>
    </w:p>
    <w:p>
      <w:pPr>
        <w:spacing w:after="0" w:line="17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Warrants exercisable for an aggregate total of 28,572 shares of common stock are included in this prospectus that were originally issued as August 2017 Private Placement Warrants.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November 2017 Private Placement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November 2017, in a self-placed private placement transaction, we sold to an accredited investor units consisting of 150,000 shares of our unregistered common stock and warrants exercisable through November 30, 2021 to purchase 150,000 unregistered shares of our common stock at an exercise price of $2.00 per share (the </w:t>
      </w:r>
      <w:r>
        <w:rPr>
          <w:rFonts w:ascii="Arial" w:cs="Arial" w:eastAsia="Arial" w:hAnsi="Arial"/>
          <w:sz w:val="16"/>
          <w:szCs w:val="16"/>
          <w:i w:val="1"/>
          <w:iCs w:val="1"/>
          <w:color w:val="auto"/>
        </w:rPr>
        <w:t>November 2017 Private Placement Warrants</w:t>
      </w:r>
      <w:r>
        <w:rPr>
          <w:rFonts w:ascii="Arial" w:cs="Arial" w:eastAsia="Arial" w:hAnsi="Arial"/>
          <w:sz w:val="16"/>
          <w:szCs w:val="16"/>
          <w:color w:val="auto"/>
        </w:rPr>
        <w:t>). The purchaser of the units has no registration rights with respect to the shares of common stock, warrants or the shares of common stock issuable upon exercise of the warrants comprising the units sold. The warrants are not exercisable until six months and one day following the date of issuance. We received cash proceeds of $150,000 from this sale of our securities, and the entire amount of the proceeds was credited to stockholders’ equity.</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150,000 shares of common stock are included in this prospectus that were originally issued as November 2017 Private Placement Warrants.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Summer 2018 Private Placement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Between June 2018 and October 2018, we completed a self-placed private placement with accredited investors, pursuant to which we sold units, at a purchase price of $1.25 per unit, consisting of 4,605,000 unregistered shares of our common stock and warrants, exercisable through February 28, 2022, to purchase 4,605,000 unregistered shares of our common stock at an exercise price of $1.50 per share (the </w:t>
      </w:r>
      <w:r>
        <w:rPr>
          <w:rFonts w:ascii="Arial" w:cs="Arial" w:eastAsia="Arial" w:hAnsi="Arial"/>
          <w:sz w:val="16"/>
          <w:szCs w:val="16"/>
          <w:i w:val="1"/>
          <w:iCs w:val="1"/>
          <w:color w:val="auto"/>
        </w:rPr>
        <w:t>Summer 2018 Private Placement Warrants</w:t>
      </w:r>
      <w:r>
        <w:rPr>
          <w:rFonts w:ascii="Arial" w:cs="Arial" w:eastAsia="Arial" w:hAnsi="Arial"/>
          <w:sz w:val="16"/>
          <w:szCs w:val="16"/>
          <w:color w:val="auto"/>
        </w:rPr>
        <w:t xml:space="preserve">) (the </w:t>
      </w:r>
      <w:r>
        <w:rPr>
          <w:rFonts w:ascii="Arial" w:cs="Arial" w:eastAsia="Arial" w:hAnsi="Arial"/>
          <w:sz w:val="16"/>
          <w:szCs w:val="16"/>
          <w:i w:val="1"/>
          <w:iCs w:val="1"/>
          <w:color w:val="auto"/>
        </w:rPr>
        <w:t>Summer 2018 Private Placement</w:t>
      </w:r>
      <w:r>
        <w:rPr>
          <w:rFonts w:ascii="Arial" w:cs="Arial" w:eastAsia="Arial" w:hAnsi="Arial"/>
          <w:sz w:val="16"/>
          <w:szCs w:val="16"/>
          <w:color w:val="auto"/>
        </w:rPr>
        <w:t>). The purchasers of the units have no registration rights with respect to the shares of common stock, warrants or the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issuable upon exercise of the warrants comprising the units sold. The warrants are not exercisable until at least six months and one day following the date of issuance. We received aggregate cash proceeds of $5,756,200 in connection with the Summer 2018 Private Placement and the entire amount of the proceeds was credited to stockholders’ equity.</w:t>
      </w:r>
    </w:p>
    <w:p>
      <w:pPr>
        <w:spacing w:after="0" w:line="172"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Following the Winter 2019 Warrant Modification, described below, investors holding a total of 820,000 warrants issued in the Summer 2018 Private Placement elected to exercise their warrants at the reduced price of $0.50 per share, resulting in proceeds to us of $410,000.</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 aggregate of 820,000 shares of common stock issued upon exercise of Summer 2018 Private Placement Warrants are included in this prospectus. Additionally, warrants exercisable for an aggregate total of 3,898,800 shares of common stock are included in this prospectus that were originally issued as Summer 2018 Private Placement Warrants.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Fall 2018 Private Placement</w:t>
      </w:r>
    </w:p>
    <w:p>
      <w:pPr>
        <w:spacing w:after="0" w:line="225"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5"/>
          <w:szCs w:val="15"/>
          <w:color w:val="auto"/>
        </w:rPr>
        <w:t xml:space="preserve">The Summer 2018 Private Placement was oversubscribed. To accommodate additional investor interest, during October 2018, we accepted subscription agreements from accredited investors, pursuant to which we sold to such investors units, at a unit purchase price equal to $0.15 above the closing quoted market price of our common stock on the Nasdaq Capital Market on the effective date of the investor’s subscription agreement, consisting of an aggregate of 420,939 unregistered shares of our common stock and four-year, immediately exercisable warrants to purchase 420,939 unregistered shares of our common stock at a per share exercise price equal to the closing quoted market price of our common stock on the Nasdaq Capital Market on the effective date of the investor’s subscription agreement (the </w:t>
      </w:r>
      <w:r>
        <w:rPr>
          <w:rFonts w:ascii="Arial" w:cs="Arial" w:eastAsia="Arial" w:hAnsi="Arial"/>
          <w:sz w:val="15"/>
          <w:szCs w:val="15"/>
          <w:i w:val="1"/>
          <w:iCs w:val="1"/>
          <w:color w:val="auto"/>
        </w:rPr>
        <w:t>Fall 2018 Private Placement Warrants</w:t>
      </w:r>
      <w:r>
        <w:rPr>
          <w:rFonts w:ascii="Arial" w:cs="Arial" w:eastAsia="Arial" w:hAnsi="Arial"/>
          <w:sz w:val="15"/>
          <w:szCs w:val="15"/>
          <w:color w:val="auto"/>
        </w:rPr>
        <w:t xml:space="preserve">)(the </w:t>
      </w:r>
      <w:r>
        <w:rPr>
          <w:rFonts w:ascii="Arial" w:cs="Arial" w:eastAsia="Arial" w:hAnsi="Arial"/>
          <w:sz w:val="15"/>
          <w:szCs w:val="15"/>
          <w:i w:val="1"/>
          <w:iCs w:val="1"/>
          <w:color w:val="auto"/>
        </w:rPr>
        <w:t>Fall 2018 Private Placement</w:t>
      </w:r>
      <w:r>
        <w:rPr>
          <w:rFonts w:ascii="Arial" w:cs="Arial" w:eastAsia="Arial" w:hAnsi="Arial"/>
          <w:sz w:val="15"/>
          <w:szCs w:val="15"/>
          <w:color w:val="auto"/>
        </w:rPr>
        <w:t>). The purchasers of the units have no registration rights with respect to the shares of common stock, warrants or the shares of common stock issuable upon exercise of the warrants comprising the units sold. We received aggregate cash proceeds of $812,500 in connection with the Fall 2018 Private Placement and settled an outstanding professional service payable by accepting a subscription agreement in the amount of $40,000 and issuing the corresponding number of shares of common stock and warrants.</w:t>
      </w:r>
    </w:p>
    <w:p>
      <w:pPr>
        <w:spacing w:after="0" w:line="16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Warrants exercisable for an aggregate total of 420,939 shares of common stock are included in this prospectus that were originally issued as Fall 2018 Private Placement Warrants.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Fall 2019 Private Placement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Between October 30, 2019 and November 7, 2019, in a self-placed private placement and pursuant to subscription agreements received from certain accredited investors, we sold to such investors units, at a purchase price of $1.00 per unit, consisting of an aggregate of 650,000 unregistered shares of our common stock and warrants, exercisable beginning six months and one day following issuance and through November 1, 2023, to purchase 325,000 unregistered shares of our common stock at an exercise price of $2.00 per share (the </w:t>
      </w:r>
      <w:r>
        <w:rPr>
          <w:rFonts w:ascii="Arial" w:cs="Arial" w:eastAsia="Arial" w:hAnsi="Arial"/>
          <w:sz w:val="18"/>
          <w:szCs w:val="18"/>
          <w:i w:val="1"/>
          <w:iCs w:val="1"/>
          <w:color w:val="auto"/>
        </w:rPr>
        <w:t>Fall 2019 Private Placement</w:t>
      </w:r>
      <w:r>
        <w:rPr>
          <w:rFonts w:ascii="Arial" w:cs="Arial" w:eastAsia="Arial" w:hAnsi="Arial"/>
          <w:sz w:val="18"/>
          <w:szCs w:val="18"/>
          <w:color w:val="auto"/>
        </w:rPr>
        <w:t>). We received cash proceeds of $650,000 from the Fall 2019 Private Placement.</w:t>
      </w:r>
    </w:p>
    <w:p>
      <w:pPr>
        <w:spacing w:after="0" w:line="20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Warrants exercisable for an aggregate total of 650,000 shares of common stock are included in this prospectus that were originally issued as Fall 2019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Winter 2019 Warrant Modification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On December 4, 2019, we modified outstanding warrants previously issued as a part of completed private placements, including those issued in the transactions described above, to temporarily reduce, for a period of two years or, if sooner, until the expiration of the warrant, the exercise price of such warrants to $0.50 per share, in order to more closely align the exercise price of the warrants with the trading price of our common stock at such time (the </w:t>
      </w:r>
      <w:r>
        <w:rPr>
          <w:rFonts w:ascii="Arial" w:cs="Arial" w:eastAsia="Arial" w:hAnsi="Arial"/>
          <w:sz w:val="16"/>
          <w:szCs w:val="16"/>
          <w:i w:val="1"/>
          <w:iCs w:val="1"/>
          <w:color w:val="auto"/>
        </w:rPr>
        <w:t>Winter 2019 Warrant Modification</w:t>
      </w:r>
      <w:r>
        <w:rPr>
          <w:rFonts w:ascii="Arial" w:cs="Arial" w:eastAsia="Arial" w:hAnsi="Arial"/>
          <w:sz w:val="16"/>
          <w:szCs w:val="16"/>
          <w:color w:val="auto"/>
        </w:rPr>
        <w:t>). Following the two-year period during which the exercise price is reduced, the exercise price of each modified warrant will</w:t>
      </w:r>
      <w:r>
        <w:rPr>
          <w:rFonts w:ascii="Arial" w:cs="Arial" w:eastAsia="Arial" w:hAnsi="Arial"/>
          <w:sz w:val="16"/>
          <w:szCs w:val="16"/>
          <w:i w:val="1"/>
          <w:iCs w:val="1"/>
          <w:color w:val="auto"/>
        </w:rPr>
        <w:t xml:space="preserve"> </w:t>
      </w:r>
      <w:r>
        <w:rPr>
          <w:rFonts w:ascii="Arial" w:cs="Arial" w:eastAsia="Arial" w:hAnsi="Arial"/>
          <w:sz w:val="16"/>
          <w:szCs w:val="16"/>
          <w:color w:val="auto"/>
        </w:rPr>
        <w:t>revert to its pre-modification price. As a result of the Winter 2019 Warrant Modification, outstanding warrants to purchase a total of approximately 6.6 million unregistered shares of our common stock were modified.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Winter 2019 Warrant Offering</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In December 2019, we completed a self-placed private placement of warrants to purchase unregistered shares of our common stock at an offering price of $0.15 per warrant (the </w:t>
      </w:r>
      <w:r>
        <w:rPr>
          <w:rFonts w:ascii="Arial" w:cs="Arial" w:eastAsia="Arial" w:hAnsi="Arial"/>
          <w:sz w:val="18"/>
          <w:szCs w:val="18"/>
          <w:i w:val="1"/>
          <w:iCs w:val="1"/>
          <w:color w:val="auto"/>
        </w:rPr>
        <w:t>Winter 2019 Warrant Offering</w:t>
      </w:r>
      <w:r>
        <w:rPr>
          <w:rFonts w:ascii="Arial" w:cs="Arial" w:eastAsia="Arial" w:hAnsi="Arial"/>
          <w:sz w:val="18"/>
          <w:szCs w:val="18"/>
          <w:color w:val="auto"/>
        </w:rPr>
        <w:t>). Warrants offered and sold in the Winter 2019 Warrant Offering have an exercise price of $0.50 per share and term of three years from the issuance date. We sold warrants to purchase a total of 2.0 million unregistered shares of our common stock for cash proceeds to us of $300,000.</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2,000,000 shares of common stock are included in this prospectus that were originally issued in the Winter 2019 Warrant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 of Common Stock and Concurrent Warrant Offering</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On January 24, 2020, we entered into a securities purchase agreement with certain accredited investors pursuant to which we received gross cash proceeds of $2.75 million upon the sale of an aggregate of 3,870,077 shares of our common stock at a purchase price of $0.71058 per share (the </w:t>
      </w:r>
      <w:r>
        <w:rPr>
          <w:rFonts w:ascii="Arial" w:cs="Arial" w:eastAsia="Arial" w:hAnsi="Arial"/>
          <w:sz w:val="16"/>
          <w:szCs w:val="16"/>
          <w:i w:val="1"/>
          <w:iCs w:val="1"/>
          <w:color w:val="auto"/>
        </w:rPr>
        <w:t>January 2020</w:t>
      </w:r>
      <w:r>
        <w:rPr>
          <w:rFonts w:ascii="Arial" w:cs="Arial" w:eastAsia="Arial" w:hAnsi="Arial"/>
          <w:sz w:val="16"/>
          <w:szCs w:val="16"/>
          <w:color w:val="auto"/>
        </w:rPr>
        <w:t xml:space="preserve"> </w:t>
      </w:r>
      <w:r>
        <w:rPr>
          <w:rFonts w:ascii="Arial" w:cs="Arial" w:eastAsia="Arial" w:hAnsi="Arial"/>
          <w:sz w:val="16"/>
          <w:szCs w:val="16"/>
          <w:i w:val="1"/>
          <w:iCs w:val="1"/>
          <w:color w:val="auto"/>
        </w:rPr>
        <w:t>Registered Direct Offering</w:t>
      </w:r>
      <w:r>
        <w:rPr>
          <w:rFonts w:ascii="Arial" w:cs="Arial" w:eastAsia="Arial" w:hAnsi="Arial"/>
          <w:sz w:val="16"/>
          <w:szCs w:val="16"/>
          <w:color w:val="auto"/>
        </w:rPr>
        <w:t>). Concurrently with the January 2020 Offering, we also commenced a private placement in which we issued and sold warrants (the</w:t>
      </w:r>
      <w:r>
        <w:rPr>
          <w:rFonts w:ascii="Arial" w:cs="Arial" w:eastAsia="Arial" w:hAnsi="Arial"/>
          <w:sz w:val="16"/>
          <w:szCs w:val="16"/>
          <w:i w:val="1"/>
          <w:iCs w:val="1"/>
          <w:color w:val="auto"/>
        </w:rPr>
        <w:t xml:space="preserve"> January 2020 Private Placement Warrants</w:t>
      </w:r>
      <w:r>
        <w:rPr>
          <w:rFonts w:ascii="Arial" w:cs="Arial" w:eastAsia="Arial" w:hAnsi="Arial"/>
          <w:sz w:val="16"/>
          <w:szCs w:val="16"/>
          <w:color w:val="auto"/>
        </w:rPr>
        <w:t>) exercisable for an aggregate of 3,870,077 unregistered shares of our common stock, having an exercise price of</w:t>
      </w:r>
      <w:r>
        <w:rPr>
          <w:rFonts w:ascii="Arial" w:cs="Arial" w:eastAsia="Arial" w:hAnsi="Arial"/>
          <w:sz w:val="16"/>
          <w:szCs w:val="16"/>
          <w:i w:val="1"/>
          <w:iCs w:val="1"/>
          <w:color w:val="auto"/>
        </w:rPr>
        <w:t xml:space="preserve"> </w:t>
      </w:r>
      <w:r>
        <w:rPr>
          <w:rFonts w:ascii="Arial" w:cs="Arial" w:eastAsia="Arial" w:hAnsi="Arial"/>
          <w:sz w:val="16"/>
          <w:szCs w:val="16"/>
          <w:color w:val="auto"/>
        </w:rPr>
        <w:t>$0.73 per warrant share. The 3,870,077 shares of common stock sold in the January 2020 Offering (but not the January 2020 Private Placement Warrants or the shares underlying the warrants) were offered and sold pursuant to a prospectus, dated September 30, 2019, and a prospectus supplement dated January 24, 2020, in connection with a takedown from our shelf registration statement on Form S-3 (File No. 333-234025).</w:t>
      </w:r>
    </w:p>
    <w:p>
      <w:pPr>
        <w:spacing w:after="0" w:line="17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3,870,077 shares of common stock are included in this prospectus that were originally issued as January 2020 Private Placement Warrants.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2020 Private Placement</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On April 23, 2020, in a self-placed private placement and pursuant to a subscription agreement received from an accredited investor, we sold to such investor units, at a purchase price of $0.40 per unit, consisting of an aggregate of 125,000 unregistered shares of our common stock and warrants, exercisable beginning six months and one day following issuance and through April 30, 2024, to purchase 125,000 unregistered shares of our common stock at an exercise price of $0.50 per share (the </w:t>
      </w:r>
      <w:r>
        <w:rPr>
          <w:rFonts w:ascii="Arial" w:cs="Arial" w:eastAsia="Arial" w:hAnsi="Arial"/>
          <w:sz w:val="16"/>
          <w:szCs w:val="16"/>
          <w:i w:val="1"/>
          <w:iCs w:val="1"/>
          <w:color w:val="auto"/>
        </w:rPr>
        <w:t>April 2020 Private Placement</w:t>
      </w:r>
      <w:r>
        <w:rPr>
          <w:rFonts w:ascii="Arial" w:cs="Arial" w:eastAsia="Arial" w:hAnsi="Arial"/>
          <w:sz w:val="16"/>
          <w:szCs w:val="16"/>
          <w:color w:val="auto"/>
        </w:rPr>
        <w:t>). We received cash proceeds of $50,000 from the April 2020 Private Placement.</w:t>
      </w:r>
    </w:p>
    <w:p>
      <w:pPr>
        <w:spacing w:after="0" w:line="16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A total of 125,000 Shares and Warrants exercisable for an aggregate total of 125,000 shares of common stock are included in this prospectus that were originally issued in connection with the April 2020 Private Placement.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Warrants to Professional Services Providers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We have periodically issued warrants to certain professional services providers as full or partial compensation for services they render to us. In March 2016, in private placement transactions, we issued five-year warrants to purchase an aggregate of 230,000 unregistered shares of our common stock at an exercise price of $8.00 per share to various scientific, legal and strategic advisory service providers (the </w:t>
      </w:r>
      <w:r>
        <w:rPr>
          <w:rFonts w:ascii="Arial" w:cs="Arial" w:eastAsia="Arial" w:hAnsi="Arial"/>
          <w:sz w:val="18"/>
          <w:szCs w:val="18"/>
          <w:i w:val="1"/>
          <w:iCs w:val="1"/>
          <w:color w:val="auto"/>
        </w:rPr>
        <w:t>March 2016 Consultant Service Warrants</w:t>
      </w:r>
      <w:r>
        <w:rPr>
          <w:rFonts w:ascii="Arial" w:cs="Arial" w:eastAsia="Arial" w:hAnsi="Arial"/>
          <w:sz w:val="18"/>
          <w:szCs w:val="18"/>
          <w:color w:val="auto"/>
        </w:rPr>
        <w:t xml:space="preserve">). During the quarter ended September 30, 2018, in private placement transactions, we issued four-year warrants to purchase an aggregate of 288,000 unregistered shares of our common stock at an exercise price of $1.50 per share for investor relations and corporate awareness services ( the </w:t>
      </w:r>
      <w:r>
        <w:rPr>
          <w:rFonts w:ascii="Arial" w:cs="Arial" w:eastAsia="Arial" w:hAnsi="Arial"/>
          <w:sz w:val="18"/>
          <w:szCs w:val="18"/>
          <w:i w:val="1"/>
          <w:iCs w:val="1"/>
          <w:color w:val="auto"/>
        </w:rPr>
        <w:t>Summer 2018 Consultant Service</w:t>
      </w:r>
      <w:r>
        <w:rPr>
          <w:rFonts w:ascii="Arial" w:cs="Arial" w:eastAsia="Arial" w:hAnsi="Arial"/>
          <w:sz w:val="18"/>
          <w:szCs w:val="18"/>
          <w:color w:val="auto"/>
        </w:rPr>
        <w:t xml:space="preserve"> </w:t>
      </w:r>
      <w:r>
        <w:rPr>
          <w:rFonts w:ascii="Arial" w:cs="Arial" w:eastAsia="Arial" w:hAnsi="Arial"/>
          <w:sz w:val="18"/>
          <w:szCs w:val="18"/>
          <w:i w:val="1"/>
          <w:iCs w:val="1"/>
          <w:color w:val="auto"/>
        </w:rPr>
        <w:t>Warrants</w:t>
      </w:r>
      <w:r>
        <w:rPr>
          <w:rFonts w:ascii="Arial" w:cs="Arial" w:eastAsia="Arial" w:hAnsi="Arial"/>
          <w:sz w:val="18"/>
          <w:szCs w:val="18"/>
          <w:color w:val="auto"/>
        </w:rPr>
        <w:t>). Both the March 2016 Consultant Service Warrants and the Summer 2018 Consultant Service Warrants were included in the Winter 2019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w:t>
      </w:r>
    </w:p>
    <w:p>
      <w:pPr>
        <w:spacing w:after="0" w:line="20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Warrants exercisable for an aggregate total of 185,000 shares and 198,000 shares of common stock are included in this prospectus that were originally issued as March 2016 Consultant Service Warrants and Summer 2018 Consultant Service Warrants, respectively.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 w:name="page17"/>
    <w:bookmarkEnd w:id="16"/>
    <w:p>
      <w:pPr>
        <w:spacing w:after="0" w:line="62" w:lineRule="exact"/>
        <w:rPr>
          <w:sz w:val="20"/>
          <w:szCs w:val="20"/>
          <w:color w:val="auto"/>
        </w:rPr>
      </w:pPr>
    </w:p>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STOCKHOLDERS</w:t>
      </w:r>
    </w:p>
    <w:p>
      <w:pPr>
        <w:spacing w:after="0" w:line="231" w:lineRule="exact"/>
        <w:rPr>
          <w:sz w:val="20"/>
          <w:szCs w:val="20"/>
          <w:color w:val="auto"/>
        </w:rPr>
      </w:pPr>
    </w:p>
    <w:p>
      <w:pPr>
        <w:jc w:val="both"/>
        <w:ind w:right="40" w:firstLine="648"/>
        <w:spacing w:after="0" w:line="290" w:lineRule="auto"/>
        <w:rPr>
          <w:sz w:val="20"/>
          <w:szCs w:val="20"/>
          <w:color w:val="auto"/>
        </w:rPr>
      </w:pPr>
      <w:r>
        <w:rPr>
          <w:rFonts w:ascii="Arial" w:cs="Arial" w:eastAsia="Arial" w:hAnsi="Arial"/>
          <w:sz w:val="16"/>
          <w:szCs w:val="16"/>
          <w:color w:val="auto"/>
        </w:rPr>
        <w:t xml:space="preserve">This prospectus relates to the resale by the selling stockholders identified in the table below of Shares and shares of common stock issuable upon exercise of the Warrants. The selling stockholders may, from time to time, offer and sell pursuant to this prospectus any or all of the Shares and shares of common stock acquired upon exercise of the Warrants. The selling stockholders may sell some, all or none of the shares registered by the registration statement of which this prospectus forms a part. We do not know how long the selling stockholders will hold the Shares before selling them or if the selling stockholders will exercise any of the Warrants, and we currently have no agreements, arrangements or understandings with the selling stockholders regarding the sale of any of the shares. For more information about the transactions pursuant to which the selling stockholders acquired the Shares and the Warrants, please see the section titled </w:t>
      </w:r>
      <w:r>
        <w:rPr>
          <w:rFonts w:ascii="Arial" w:cs="Arial" w:eastAsia="Arial" w:hAnsi="Arial"/>
          <w:sz w:val="16"/>
          <w:szCs w:val="16"/>
          <w:i w:val="1"/>
          <w:iCs w:val="1"/>
          <w:color w:val="auto"/>
        </w:rPr>
        <w:t>The Corporate Equity Transactions</w:t>
      </w:r>
      <w:r>
        <w:rPr>
          <w:rFonts w:ascii="Arial" w:cs="Arial" w:eastAsia="Arial" w:hAnsi="Arial"/>
          <w:sz w:val="16"/>
          <w:szCs w:val="16"/>
          <w:color w:val="auto"/>
        </w:rPr>
        <w:t xml:space="preserve"> above.</w:t>
      </w:r>
    </w:p>
    <w:p>
      <w:pPr>
        <w:spacing w:after="0" w:line="172" w:lineRule="exact"/>
        <w:rPr>
          <w:sz w:val="20"/>
          <w:szCs w:val="20"/>
          <w:color w:val="auto"/>
        </w:rPr>
      </w:pPr>
    </w:p>
    <w:p>
      <w:pPr>
        <w:jc w:val="both"/>
        <w:ind w:right="40" w:firstLine="648"/>
        <w:spacing w:after="0" w:line="294" w:lineRule="auto"/>
        <w:rPr>
          <w:sz w:val="20"/>
          <w:szCs w:val="20"/>
          <w:color w:val="auto"/>
        </w:rPr>
      </w:pPr>
      <w:r>
        <w:rPr>
          <w:rFonts w:ascii="Arial" w:cs="Arial" w:eastAsia="Arial" w:hAnsi="Arial"/>
          <w:sz w:val="16"/>
          <w:szCs w:val="16"/>
          <w:color w:val="auto"/>
        </w:rPr>
        <w:t>The following table presents information regarding the selling stockholders and the Shares and shares of common stock issuable upon exercise of the Warrants that they may offer and sell from time to time under this prospectus. The table is prepared based on information supplied to us by the selling stockholders, and reflects its holdings as of April 27, 2020. Unless otherwise indicated below, none of the selling stockholders nor any of their affiliates has held a position or office, or had any other material relationship, with us or any of our predecessors or affiliates. Beneficial ownership is determined in accordance with Section 13(d) of the Exchange Act and Rule 13d-3 thereunder.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tcPr>
          <w:p>
            <w:pPr>
              <w:jc w:val="right"/>
              <w:ind w:right="232"/>
              <w:spacing w:after="0"/>
              <w:rPr>
                <w:sz w:val="20"/>
                <w:szCs w:val="20"/>
                <w:color w:val="auto"/>
              </w:rPr>
            </w:pPr>
            <w:r>
              <w:rPr>
                <w:rFonts w:ascii="Arial" w:cs="Arial" w:eastAsia="Arial" w:hAnsi="Arial"/>
                <w:sz w:val="18"/>
                <w:szCs w:val="18"/>
                <w:b w:val="1"/>
                <w:bCs w:val="1"/>
                <w:color w:val="auto"/>
              </w:rPr>
              <w:t>Securities Offered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tcPr>
          <w:p>
            <w:pPr>
              <w:jc w:val="right"/>
              <w:ind w:right="332"/>
              <w:spacing w:after="0"/>
              <w:rPr>
                <w:sz w:val="20"/>
                <w:szCs w:val="20"/>
                <w:color w:val="auto"/>
              </w:rPr>
            </w:pPr>
            <w:r>
              <w:rPr>
                <w:rFonts w:ascii="Arial" w:cs="Arial" w:eastAsia="Arial" w:hAnsi="Arial"/>
                <w:sz w:val="18"/>
                <w:szCs w:val="18"/>
                <w:b w:val="1"/>
                <w:bCs w:val="1"/>
                <w:color w:val="auto"/>
              </w:rPr>
              <w:t>Pursuant to this</w:t>
            </w:r>
          </w:p>
        </w:tc>
        <w:tc>
          <w:tcPr>
            <w:tcW w:w="200" w:type="dxa"/>
            <w:vAlign w:val="bottom"/>
          </w:tcPr>
          <w:p>
            <w:pPr>
              <w:spacing w:after="0"/>
              <w:rPr>
                <w:sz w:val="18"/>
                <w:szCs w:val="18"/>
                <w:color w:val="auto"/>
              </w:rPr>
            </w:pPr>
          </w:p>
        </w:tc>
        <w:tc>
          <w:tcPr>
            <w:tcW w:w="21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6"/>
              </w:rPr>
              <w:t>Shares Beneficially Owned</w:t>
            </w:r>
          </w:p>
        </w:tc>
      </w:tr>
      <w:tr>
        <w:trPr>
          <w:trHeight w:val="237"/>
        </w:trPr>
        <w:tc>
          <w:tcPr>
            <w:tcW w:w="5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3"/>
          </w:tcPr>
          <w:p>
            <w:pPr>
              <w:jc w:val="right"/>
              <w:ind w:right="532"/>
              <w:spacing w:after="0"/>
              <w:rPr>
                <w:sz w:val="20"/>
                <w:szCs w:val="20"/>
                <w:color w:val="auto"/>
              </w:rPr>
            </w:pPr>
            <w:r>
              <w:rPr>
                <w:rFonts w:ascii="Arial" w:cs="Arial" w:eastAsia="Arial" w:hAnsi="Arial"/>
                <w:sz w:val="18"/>
                <w:szCs w:val="18"/>
                <w:b w:val="1"/>
                <w:bCs w:val="1"/>
                <w:color w:val="auto"/>
              </w:rPr>
              <w:t>Prospectus</w:t>
            </w:r>
          </w:p>
        </w:tc>
        <w:tc>
          <w:tcPr>
            <w:tcW w:w="200" w:type="dxa"/>
            <w:vAlign w:val="bottom"/>
          </w:tcPr>
          <w:p>
            <w:pPr>
              <w:spacing w:after="0"/>
              <w:rPr>
                <w:sz w:val="20"/>
                <w:szCs w:val="20"/>
                <w:color w:val="auto"/>
              </w:rPr>
            </w:pPr>
          </w:p>
        </w:tc>
        <w:tc>
          <w:tcPr>
            <w:tcW w:w="21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2"/>
              </w:rPr>
              <w:t xml:space="preserve">After Offering </w:t>
            </w:r>
            <w:r>
              <w:rPr>
                <w:rFonts w:ascii="Arial" w:cs="Arial" w:eastAsia="Arial" w:hAnsi="Arial"/>
                <w:sz w:val="12"/>
                <w:szCs w:val="12"/>
                <w:b w:val="1"/>
                <w:bCs w:val="1"/>
                <w:color w:val="auto"/>
                <w:w w:val="92"/>
              </w:rPr>
              <w:t>(3)(4)</w:t>
            </w:r>
          </w:p>
        </w:tc>
      </w:tr>
      <w:tr>
        <w:trPr>
          <w:trHeight w:val="202"/>
        </w:trPr>
        <w:tc>
          <w:tcPr>
            <w:tcW w:w="5740" w:type="dxa"/>
            <w:vAlign w:val="bottom"/>
          </w:tcPr>
          <w:p>
            <w:pPr>
              <w:spacing w:after="0"/>
              <w:rPr>
                <w:sz w:val="17"/>
                <w:szCs w:val="17"/>
                <w:color w:val="auto"/>
              </w:rPr>
            </w:pPr>
          </w:p>
        </w:tc>
        <w:tc>
          <w:tcPr>
            <w:tcW w:w="1120" w:type="dxa"/>
            <w:vAlign w:val="bottom"/>
            <w:gridSpan w:val="2"/>
          </w:tcPr>
          <w:p>
            <w:pPr>
              <w:ind w:left="220"/>
              <w:spacing w:after="0" w:line="201" w:lineRule="exact"/>
              <w:rPr>
                <w:sz w:val="20"/>
                <w:szCs w:val="20"/>
                <w:color w:val="auto"/>
              </w:rPr>
            </w:pPr>
            <w:r>
              <w:rPr>
                <w:rFonts w:ascii="Arial" w:cs="Arial" w:eastAsia="Arial" w:hAnsi="Arial"/>
                <w:sz w:val="18"/>
                <w:szCs w:val="18"/>
                <w:b w:val="1"/>
                <w:bCs w:val="1"/>
                <w:color w:val="auto"/>
              </w:rPr>
              <w:t>Shares</w:t>
            </w: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74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Beneficially</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Owned</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74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Prior to the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Warrant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5740" w:type="dxa"/>
            <w:vAlign w:val="bottom"/>
          </w:tcPr>
          <w:p>
            <w:pPr>
              <w:spacing w:after="0" w:line="232" w:lineRule="exact"/>
              <w:rPr>
                <w:sz w:val="20"/>
                <w:szCs w:val="20"/>
                <w:color w:val="auto"/>
              </w:rPr>
            </w:pPr>
            <w:r>
              <w:rPr>
                <w:rFonts w:ascii="Arial" w:cs="Arial" w:eastAsia="Arial" w:hAnsi="Arial"/>
                <w:sz w:val="18"/>
                <w:szCs w:val="18"/>
                <w:b w:val="1"/>
                <w:bCs w:val="1"/>
                <w:color w:val="auto"/>
              </w:rPr>
              <w:t xml:space="preserve">Name of Selling Stockholder </w:t>
            </w:r>
            <w:r>
              <w:rPr>
                <w:rFonts w:ascii="Arial" w:cs="Arial" w:eastAsia="Arial" w:hAnsi="Arial"/>
                <w:sz w:val="24"/>
                <w:szCs w:val="24"/>
                <w:b w:val="1"/>
                <w:bCs w:val="1"/>
                <w:color w:val="auto"/>
                <w:vertAlign w:val="superscript"/>
              </w:rPr>
              <w:t>(1)</w:t>
            </w:r>
          </w:p>
        </w:tc>
        <w:tc>
          <w:tcPr>
            <w:tcW w:w="1120" w:type="dxa"/>
            <w:vAlign w:val="bottom"/>
            <w:gridSpan w:val="2"/>
          </w:tcPr>
          <w:p>
            <w:pPr>
              <w:jc w:val="center"/>
              <w:ind w:right="200"/>
              <w:spacing w:after="0" w:line="232" w:lineRule="exact"/>
              <w:rPr>
                <w:sz w:val="20"/>
                <w:szCs w:val="20"/>
                <w:color w:val="auto"/>
              </w:rPr>
            </w:pPr>
            <w:r>
              <w:rPr>
                <w:rFonts w:ascii="Arial" w:cs="Arial" w:eastAsia="Arial" w:hAnsi="Arial"/>
                <w:sz w:val="18"/>
                <w:szCs w:val="18"/>
                <w:b w:val="1"/>
                <w:bCs w:val="1"/>
                <w:color w:val="auto"/>
                <w:w w:val="88"/>
              </w:rPr>
              <w:t xml:space="preserve">Offering </w:t>
            </w:r>
            <w:r>
              <w:rPr>
                <w:rFonts w:ascii="Arial" w:cs="Arial" w:eastAsia="Arial" w:hAnsi="Arial"/>
                <w:sz w:val="24"/>
                <w:szCs w:val="24"/>
                <w:b w:val="1"/>
                <w:bCs w:val="1"/>
                <w:color w:val="auto"/>
                <w:w w:val="88"/>
                <w:vertAlign w:val="superscript"/>
              </w:rPr>
              <w:t>(2)</w:t>
            </w:r>
          </w:p>
        </w:tc>
        <w:tc>
          <w:tcPr>
            <w:tcW w:w="920" w:type="dxa"/>
            <w:vAlign w:val="bottom"/>
          </w:tcPr>
          <w:p>
            <w:pPr>
              <w:jc w:val="right"/>
              <w:ind w:right="92"/>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1060" w:type="dxa"/>
            <w:vAlign w:val="bottom"/>
            <w:gridSpan w:val="3"/>
          </w:tcPr>
          <w:p>
            <w:pPr>
              <w:ind w:left="180"/>
              <w:spacing w:after="0"/>
              <w:rPr>
                <w:sz w:val="20"/>
                <w:szCs w:val="20"/>
                <w:color w:val="auto"/>
              </w:rPr>
            </w:pPr>
            <w:r>
              <w:rPr>
                <w:rFonts w:ascii="Arial" w:cs="Arial" w:eastAsia="Arial" w:hAnsi="Arial"/>
                <w:sz w:val="18"/>
                <w:szCs w:val="18"/>
                <w:b w:val="1"/>
                <w:bCs w:val="1"/>
                <w:color w:val="auto"/>
              </w:rPr>
              <w:t>Percent</w:t>
            </w:r>
          </w:p>
        </w:tc>
      </w:tr>
      <w:tr>
        <w:trPr>
          <w:trHeight w:val="243"/>
        </w:trPr>
        <w:tc>
          <w:tcPr>
            <w:tcW w:w="574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Reid Adler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145,567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120,567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Alliance Funds LLC </w:t>
            </w:r>
            <w:r>
              <w:rPr>
                <w:rFonts w:ascii="Arial" w:cs="Arial" w:eastAsia="Arial" w:hAnsi="Arial"/>
                <w:sz w:val="24"/>
                <w:szCs w:val="24"/>
                <w:color w:val="auto"/>
                <w:vertAlign w:val="superscript"/>
              </w:rPr>
              <w:t>(5)</w:t>
            </w:r>
          </w:p>
        </w:tc>
        <w:tc>
          <w:tcPr>
            <w:tcW w:w="900" w:type="dxa"/>
            <w:vAlign w:val="bottom"/>
          </w:tcPr>
          <w:p>
            <w:pPr>
              <w:jc w:val="right"/>
              <w:spacing w:after="0"/>
              <w:rPr>
                <w:sz w:val="20"/>
                <w:szCs w:val="20"/>
                <w:color w:val="auto"/>
              </w:rPr>
            </w:pPr>
            <w:r>
              <w:rPr>
                <w:rFonts w:ascii="Arial" w:cs="Arial" w:eastAsia="Arial" w:hAnsi="Arial"/>
                <w:sz w:val="18"/>
                <w:szCs w:val="18"/>
                <w:color w:val="auto"/>
              </w:rPr>
              <w:t>143,514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43,514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Timothy J. Alpers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Tyler Anderson</w:t>
            </w:r>
          </w:p>
        </w:tc>
        <w:tc>
          <w:tcPr>
            <w:tcW w:w="900" w:type="dxa"/>
            <w:vAlign w:val="bottom"/>
          </w:tcPr>
          <w:p>
            <w:pPr>
              <w:jc w:val="right"/>
              <w:spacing w:after="0"/>
              <w:rPr>
                <w:sz w:val="20"/>
                <w:szCs w:val="20"/>
                <w:color w:val="auto"/>
              </w:rPr>
            </w:pPr>
            <w:r>
              <w:rPr>
                <w:rFonts w:ascii="Arial" w:cs="Arial" w:eastAsia="Arial" w:hAnsi="Arial"/>
                <w:sz w:val="18"/>
                <w:szCs w:val="18"/>
                <w:color w:val="auto"/>
              </w:rPr>
              <w:t>21,000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James G. Athas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Rohit K. Bawa</w:t>
            </w:r>
          </w:p>
        </w:tc>
        <w:tc>
          <w:tcPr>
            <w:tcW w:w="900" w:type="dxa"/>
            <w:vAlign w:val="bottom"/>
          </w:tcPr>
          <w:p>
            <w:pPr>
              <w:jc w:val="right"/>
              <w:spacing w:after="0"/>
              <w:rPr>
                <w:sz w:val="20"/>
                <w:szCs w:val="20"/>
                <w:color w:val="auto"/>
              </w:rPr>
            </w:pPr>
            <w:r>
              <w:rPr>
                <w:rFonts w:ascii="Arial" w:cs="Arial" w:eastAsia="Arial" w:hAnsi="Arial"/>
                <w:sz w:val="18"/>
                <w:szCs w:val="18"/>
                <w:color w:val="auto"/>
              </w:rPr>
              <w:t>410,000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Joshua R. Bentley, Trustee of the Bentley Family 2002 Trust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Joseph Beretta</w:t>
            </w:r>
          </w:p>
        </w:tc>
        <w:tc>
          <w:tcPr>
            <w:tcW w:w="900" w:type="dxa"/>
            <w:vAlign w:val="bottom"/>
          </w:tcPr>
          <w:p>
            <w:pPr>
              <w:jc w:val="right"/>
              <w:spacing w:after="0"/>
              <w:rPr>
                <w:sz w:val="20"/>
                <w:szCs w:val="20"/>
                <w:color w:val="auto"/>
              </w:rPr>
            </w:pPr>
            <w:r>
              <w:rPr>
                <w:rFonts w:ascii="Arial" w:cs="Arial" w:eastAsia="Arial" w:hAnsi="Arial"/>
                <w:sz w:val="18"/>
                <w:szCs w:val="18"/>
                <w:color w:val="auto"/>
              </w:rPr>
              <w:t>90,000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Lloyd Berhoff</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James R. Berkeley</w:t>
            </w:r>
          </w:p>
        </w:tc>
        <w:tc>
          <w:tcPr>
            <w:tcW w:w="900" w:type="dxa"/>
            <w:vAlign w:val="bottom"/>
          </w:tcPr>
          <w:p>
            <w:pPr>
              <w:jc w:val="right"/>
              <w:spacing w:after="0"/>
              <w:rPr>
                <w:sz w:val="20"/>
                <w:szCs w:val="20"/>
                <w:color w:val="auto"/>
              </w:rPr>
            </w:pPr>
            <w:r>
              <w:rPr>
                <w:rFonts w:ascii="Arial" w:cs="Arial" w:eastAsia="Arial" w:hAnsi="Arial"/>
                <w:sz w:val="18"/>
                <w:szCs w:val="18"/>
                <w:color w:val="auto"/>
              </w:rPr>
              <w:t>83,400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33,400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Yaakov Yitzchak Bodner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14,714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Michael A. Bozzuto </w:t>
            </w:r>
            <w:r>
              <w:rPr>
                <w:rFonts w:ascii="Arial" w:cs="Arial" w:eastAsia="Arial" w:hAnsi="Arial"/>
                <w:sz w:val="24"/>
                <w:szCs w:val="24"/>
                <w:color w:val="auto"/>
                <w:vertAlign w:val="superscript"/>
              </w:rPr>
              <w:t>(6)</w:t>
            </w:r>
          </w:p>
        </w:tc>
        <w:tc>
          <w:tcPr>
            <w:tcW w:w="900" w:type="dxa"/>
            <w:vAlign w:val="bottom"/>
          </w:tcPr>
          <w:p>
            <w:pPr>
              <w:jc w:val="right"/>
              <w:spacing w:after="0"/>
              <w:rPr>
                <w:sz w:val="20"/>
                <w:szCs w:val="20"/>
                <w:color w:val="auto"/>
              </w:rPr>
            </w:pPr>
            <w:r>
              <w:rPr>
                <w:rFonts w:ascii="Arial" w:cs="Arial" w:eastAsia="Arial" w:hAnsi="Arial"/>
                <w:sz w:val="18"/>
                <w:szCs w:val="18"/>
                <w:color w:val="auto"/>
              </w:rPr>
              <w:t>955,972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306,383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477,986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Gregory S. Broms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Emily Cabral</w:t>
            </w: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CAM Group of Florida LLC </w:t>
            </w:r>
            <w:r>
              <w:rPr>
                <w:rFonts w:ascii="Arial" w:cs="Arial" w:eastAsia="Arial" w:hAnsi="Arial"/>
                <w:sz w:val="24"/>
                <w:szCs w:val="24"/>
                <w:color w:val="auto"/>
                <w:vertAlign w:val="superscript"/>
              </w:rPr>
              <w:t>(7)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99,527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Joanne Carlino</w:t>
            </w:r>
          </w:p>
        </w:tc>
        <w:tc>
          <w:tcPr>
            <w:tcW w:w="900" w:type="dxa"/>
            <w:vAlign w:val="bottom"/>
          </w:tcPr>
          <w:p>
            <w:pPr>
              <w:jc w:val="right"/>
              <w:spacing w:after="0"/>
              <w:rPr>
                <w:sz w:val="20"/>
                <w:szCs w:val="20"/>
                <w:color w:val="auto"/>
              </w:rPr>
            </w:pPr>
            <w:r>
              <w:rPr>
                <w:rFonts w:ascii="Arial" w:cs="Arial" w:eastAsia="Arial" w:hAnsi="Arial"/>
                <w:sz w:val="18"/>
                <w:szCs w:val="18"/>
                <w:color w:val="auto"/>
              </w:rPr>
              <w:t>80,000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Nicolas Carosi III</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Cavalry Fund I LP </w:t>
            </w:r>
            <w:r>
              <w:rPr>
                <w:rFonts w:ascii="Arial" w:cs="Arial" w:eastAsia="Arial" w:hAnsi="Arial"/>
                <w:sz w:val="24"/>
                <w:szCs w:val="24"/>
                <w:color w:val="auto"/>
                <w:vertAlign w:val="superscript"/>
              </w:rPr>
              <w:t>(8)</w:t>
            </w:r>
          </w:p>
        </w:tc>
        <w:tc>
          <w:tcPr>
            <w:tcW w:w="900" w:type="dxa"/>
            <w:vAlign w:val="bottom"/>
          </w:tcPr>
          <w:p>
            <w:pPr>
              <w:jc w:val="right"/>
              <w:spacing w:after="0"/>
              <w:rPr>
                <w:sz w:val="20"/>
                <w:szCs w:val="20"/>
                <w:color w:val="auto"/>
              </w:rPr>
            </w:pPr>
            <w:r>
              <w:rPr>
                <w:rFonts w:ascii="Arial" w:cs="Arial" w:eastAsia="Arial" w:hAnsi="Arial"/>
                <w:sz w:val="18"/>
                <w:szCs w:val="18"/>
                <w:color w:val="auto"/>
              </w:rPr>
              <w:t>399,514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299,514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David A. Cesario</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2,671,575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771,575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1,900,000</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David A. Cesario and John Cesario, Joint Tenants</w:t>
            </w:r>
          </w:p>
        </w:tc>
        <w:tc>
          <w:tcPr>
            <w:tcW w:w="900" w:type="dxa"/>
            <w:vAlign w:val="bottom"/>
          </w:tcPr>
          <w:p>
            <w:pPr>
              <w:jc w:val="right"/>
              <w:spacing w:after="0"/>
              <w:rPr>
                <w:sz w:val="20"/>
                <w:szCs w:val="20"/>
                <w:color w:val="auto"/>
              </w:rPr>
            </w:pPr>
            <w:r>
              <w:rPr>
                <w:rFonts w:ascii="Arial" w:cs="Arial" w:eastAsia="Arial" w:hAnsi="Arial"/>
                <w:sz w:val="18"/>
                <w:szCs w:val="18"/>
                <w:color w:val="auto"/>
              </w:rPr>
              <w:t>2,220,000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John Cesario</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Bianca K. Chung</w:t>
            </w:r>
          </w:p>
        </w:tc>
        <w:tc>
          <w:tcPr>
            <w:tcW w:w="900" w:type="dxa"/>
            <w:vAlign w:val="bottom"/>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Allen H. Cicchitelli</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142,044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62,472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79,572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Coast to Coast Produce LLC </w:t>
            </w:r>
            <w:r>
              <w:rPr>
                <w:rFonts w:ascii="Arial" w:cs="Arial" w:eastAsia="Arial" w:hAnsi="Arial"/>
                <w:sz w:val="24"/>
                <w:szCs w:val="24"/>
                <w:color w:val="auto"/>
                <w:vertAlign w:val="superscript"/>
              </w:rPr>
              <w:t>(9)</w:t>
            </w:r>
          </w:p>
        </w:tc>
        <w:tc>
          <w:tcPr>
            <w:tcW w:w="900" w:type="dxa"/>
            <w:vAlign w:val="bottom"/>
          </w:tcPr>
          <w:p>
            <w:pPr>
              <w:jc w:val="right"/>
              <w:spacing w:after="0"/>
              <w:rPr>
                <w:sz w:val="20"/>
                <w:szCs w:val="20"/>
                <w:color w:val="auto"/>
              </w:rPr>
            </w:pPr>
            <w:r>
              <w:rPr>
                <w:rFonts w:ascii="Arial" w:cs="Arial" w:eastAsia="Arial" w:hAnsi="Arial"/>
                <w:sz w:val="18"/>
                <w:szCs w:val="18"/>
                <w:color w:val="auto"/>
              </w:rPr>
              <w:t>955,972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171,603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477,986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Timothy E. Colby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88,324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44,162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44,162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James M. Condon, Jr.</w:t>
            </w:r>
          </w:p>
        </w:tc>
        <w:tc>
          <w:tcPr>
            <w:tcW w:w="900" w:type="dxa"/>
            <w:vAlign w:val="bottom"/>
          </w:tcPr>
          <w:p>
            <w:pPr>
              <w:jc w:val="right"/>
              <w:spacing w:after="0"/>
              <w:rPr>
                <w:sz w:val="20"/>
                <w:szCs w:val="20"/>
                <w:color w:val="auto"/>
              </w:rPr>
            </w:pPr>
            <w:r>
              <w:rPr>
                <w:rFonts w:ascii="Arial" w:cs="Arial" w:eastAsia="Arial" w:hAnsi="Arial"/>
                <w:sz w:val="18"/>
                <w:szCs w:val="18"/>
                <w:color w:val="auto"/>
              </w:rPr>
              <w:t>124,500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72,000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Davis &amp; Georgia Irrevocable Trust dated 6/29/2010 </w:t>
            </w:r>
            <w:r>
              <w:rPr>
                <w:rFonts w:ascii="Arial" w:cs="Arial" w:eastAsia="Arial" w:hAnsi="Arial"/>
                <w:sz w:val="24"/>
                <w:szCs w:val="24"/>
                <w:color w:val="auto"/>
                <w:vertAlign w:val="superscript"/>
              </w:rPr>
              <w:t>(10)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ePay Funding, Inc. </w:t>
            </w:r>
            <w:r>
              <w:rPr>
                <w:rFonts w:ascii="Arial" w:cs="Arial" w:eastAsia="Arial" w:hAnsi="Arial"/>
                <w:sz w:val="24"/>
                <w:szCs w:val="24"/>
                <w:color w:val="auto"/>
                <w:vertAlign w:val="superscript"/>
              </w:rPr>
              <w:t>(11)</w:t>
            </w:r>
          </w:p>
        </w:tc>
        <w:tc>
          <w:tcPr>
            <w:tcW w:w="900" w:type="dxa"/>
            <w:vAlign w:val="bottom"/>
          </w:tcPr>
          <w:p>
            <w:pPr>
              <w:jc w:val="right"/>
              <w:spacing w:after="0"/>
              <w:rPr>
                <w:sz w:val="20"/>
                <w:szCs w:val="20"/>
                <w:color w:val="auto"/>
              </w:rPr>
            </w:pPr>
            <w:r>
              <w:rPr>
                <w:rFonts w:ascii="Arial" w:cs="Arial" w:eastAsia="Arial" w:hAnsi="Arial"/>
                <w:sz w:val="18"/>
                <w:szCs w:val="18"/>
                <w:color w:val="auto"/>
              </w:rPr>
              <w:t>246,062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146,062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George Feiss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Mark Flather</w:t>
            </w:r>
          </w:p>
        </w:tc>
        <w:tc>
          <w:tcPr>
            <w:tcW w:w="900" w:type="dxa"/>
            <w:vAlign w:val="bottom"/>
          </w:tcPr>
          <w:p>
            <w:pPr>
              <w:jc w:val="right"/>
              <w:spacing w:after="0"/>
              <w:rPr>
                <w:sz w:val="20"/>
                <w:szCs w:val="20"/>
                <w:color w:val="auto"/>
              </w:rPr>
            </w:pPr>
            <w:r>
              <w:rPr>
                <w:rFonts w:ascii="Arial" w:cs="Arial" w:eastAsia="Arial" w:hAnsi="Arial"/>
                <w:sz w:val="18"/>
                <w:szCs w:val="18"/>
                <w:color w:val="auto"/>
              </w:rPr>
              <w:t>287,564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51,282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236,282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Brian Galli and Maria Galli, Joint Tenants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Douglas S. Garfinkel Declaration of Trust dated 9/4/15 </w:t>
            </w:r>
            <w:r>
              <w:rPr>
                <w:rFonts w:ascii="Arial" w:cs="Arial" w:eastAsia="Arial" w:hAnsi="Arial"/>
                <w:sz w:val="24"/>
                <w:szCs w:val="24"/>
                <w:color w:val="auto"/>
                <w:vertAlign w:val="superscript"/>
              </w:rPr>
              <w:t>(12)</w:t>
            </w:r>
          </w:p>
        </w:tc>
        <w:tc>
          <w:tcPr>
            <w:tcW w:w="900" w:type="dxa"/>
            <w:vAlign w:val="bottom"/>
          </w:tcPr>
          <w:p>
            <w:pPr>
              <w:jc w:val="right"/>
              <w:spacing w:after="0"/>
              <w:rPr>
                <w:sz w:val="20"/>
                <w:szCs w:val="20"/>
                <w:color w:val="auto"/>
              </w:rPr>
            </w:pPr>
            <w:r>
              <w:rPr>
                <w:rFonts w:ascii="Arial" w:cs="Arial" w:eastAsia="Arial" w:hAnsi="Arial"/>
                <w:sz w:val="18"/>
                <w:szCs w:val="18"/>
                <w:color w:val="auto"/>
              </w:rPr>
              <w:t>220,000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Joe Gerard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Jerome Gildner, DDS</w:t>
            </w:r>
          </w:p>
        </w:tc>
        <w:tc>
          <w:tcPr>
            <w:tcW w:w="900" w:type="dxa"/>
            <w:vAlign w:val="bottom"/>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GMP Securities ITF: 410-3T00F </w:t>
            </w:r>
            <w:r>
              <w:rPr>
                <w:rFonts w:ascii="Arial" w:cs="Arial" w:eastAsia="Arial" w:hAnsi="Arial"/>
                <w:sz w:val="24"/>
                <w:szCs w:val="24"/>
                <w:color w:val="auto"/>
                <w:vertAlign w:val="superscript"/>
              </w:rPr>
              <w:t>(13)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GMP Securities ITF: Robert Halpern</w:t>
            </w:r>
          </w:p>
        </w:tc>
        <w:tc>
          <w:tcPr>
            <w:tcW w:w="900" w:type="dxa"/>
            <w:vAlign w:val="bottom"/>
          </w:tcPr>
          <w:p>
            <w:pPr>
              <w:jc w:val="right"/>
              <w:spacing w:after="0"/>
              <w:rPr>
                <w:sz w:val="20"/>
                <w:szCs w:val="20"/>
                <w:color w:val="auto"/>
              </w:rPr>
            </w:pPr>
            <w:r>
              <w:rPr>
                <w:rFonts w:ascii="Arial" w:cs="Arial" w:eastAsia="Arial" w:hAnsi="Arial"/>
                <w:sz w:val="18"/>
                <w:szCs w:val="18"/>
                <w:color w:val="auto"/>
              </w:rPr>
              <w:t>9,176</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8,951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Golden Capital Partners, LLC </w:t>
            </w:r>
            <w:r>
              <w:rPr>
                <w:rFonts w:ascii="Arial" w:cs="Arial" w:eastAsia="Arial" w:hAnsi="Arial"/>
                <w:sz w:val="24"/>
                <w:szCs w:val="24"/>
                <w:color w:val="auto"/>
                <w:vertAlign w:val="superscript"/>
              </w:rPr>
              <w:t>(14)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183,251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50,251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Todd A. Higgins</w:t>
            </w:r>
          </w:p>
        </w:tc>
        <w:tc>
          <w:tcPr>
            <w:tcW w:w="900" w:type="dxa"/>
            <w:vAlign w:val="bottom"/>
          </w:tcPr>
          <w:p>
            <w:pPr>
              <w:jc w:val="right"/>
              <w:spacing w:after="0"/>
              <w:rPr>
                <w:sz w:val="20"/>
                <w:szCs w:val="20"/>
                <w:color w:val="auto"/>
              </w:rPr>
            </w:pPr>
            <w:r>
              <w:rPr>
                <w:rFonts w:ascii="Arial" w:cs="Arial" w:eastAsia="Arial" w:hAnsi="Arial"/>
                <w:sz w:val="18"/>
                <w:szCs w:val="18"/>
                <w:color w:val="auto"/>
              </w:rPr>
              <w:t>165,765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16,737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149,028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William E. Holden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256,974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128,487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128,487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Jeffrey S. Holden</w:t>
            </w:r>
          </w:p>
        </w:tc>
        <w:tc>
          <w:tcPr>
            <w:tcW w:w="900" w:type="dxa"/>
            <w:vAlign w:val="bottom"/>
          </w:tcPr>
          <w:p>
            <w:pPr>
              <w:jc w:val="right"/>
              <w:spacing w:after="0"/>
              <w:rPr>
                <w:sz w:val="20"/>
                <w:szCs w:val="20"/>
                <w:color w:val="auto"/>
              </w:rPr>
            </w:pPr>
            <w:r>
              <w:rPr>
                <w:rFonts w:ascii="Arial" w:cs="Arial" w:eastAsia="Arial" w:hAnsi="Arial"/>
                <w:sz w:val="18"/>
                <w:szCs w:val="18"/>
                <w:color w:val="auto"/>
              </w:rPr>
              <w:t>27,028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13,514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13,514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Horberg Enterprises LP </w:t>
            </w:r>
            <w:r>
              <w:rPr>
                <w:rFonts w:ascii="Arial" w:cs="Arial" w:eastAsia="Arial" w:hAnsi="Arial"/>
                <w:sz w:val="24"/>
                <w:szCs w:val="24"/>
                <w:color w:val="auto"/>
                <w:vertAlign w:val="superscript"/>
              </w:rPr>
              <w:t>(15)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Akiva Horowitz</w:t>
            </w:r>
          </w:p>
        </w:tc>
        <w:tc>
          <w:tcPr>
            <w:tcW w:w="900" w:type="dxa"/>
            <w:vAlign w:val="bottom"/>
          </w:tcPr>
          <w:p>
            <w:pPr>
              <w:jc w:val="right"/>
              <w:spacing w:after="0"/>
              <w:rPr>
                <w:sz w:val="20"/>
                <w:szCs w:val="20"/>
                <w:color w:val="auto"/>
              </w:rPr>
            </w:pPr>
            <w:r>
              <w:rPr>
                <w:rFonts w:ascii="Arial" w:cs="Arial" w:eastAsia="Arial" w:hAnsi="Arial"/>
                <w:sz w:val="18"/>
                <w:szCs w:val="18"/>
                <w:color w:val="auto"/>
              </w:rPr>
              <w:t>12,715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10,715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Christopher R. Jacobs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16,563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line="216" w:lineRule="exact"/>
              <w:rPr>
                <w:sz w:val="20"/>
                <w:szCs w:val="20"/>
                <w:color w:val="auto"/>
              </w:rPr>
            </w:pPr>
            <w:r>
              <w:rPr>
                <w:rFonts w:ascii="Arial" w:cs="Arial" w:eastAsia="Arial" w:hAnsi="Arial"/>
                <w:sz w:val="18"/>
                <w:szCs w:val="18"/>
                <w:color w:val="auto"/>
              </w:rPr>
              <w:t xml:space="preserve">Jermax, LLC </w:t>
            </w:r>
            <w:r>
              <w:rPr>
                <w:rFonts w:ascii="Arial" w:cs="Arial" w:eastAsia="Arial" w:hAnsi="Arial"/>
                <w:sz w:val="24"/>
                <w:szCs w:val="24"/>
                <w:color w:val="auto"/>
                <w:vertAlign w:val="superscript"/>
              </w:rPr>
              <w:t>(16)</w:t>
            </w:r>
          </w:p>
        </w:tc>
        <w:tc>
          <w:tcPr>
            <w:tcW w:w="900" w:type="dxa"/>
            <w:vAlign w:val="bottom"/>
          </w:tcPr>
          <w:p>
            <w:pPr>
              <w:jc w:val="right"/>
              <w:spacing w:after="0"/>
              <w:rPr>
                <w:sz w:val="20"/>
                <w:szCs w:val="20"/>
                <w:color w:val="auto"/>
              </w:rPr>
            </w:pPr>
            <w:r>
              <w:rPr>
                <w:rFonts w:ascii="Arial" w:cs="Arial" w:eastAsia="Arial" w:hAnsi="Arial"/>
                <w:sz w:val="18"/>
                <w:szCs w:val="18"/>
                <w:color w:val="auto"/>
              </w:rPr>
              <w:t>617,292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517,292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Joseph R. Nemeth Living Trust UAD 12/6/72 </w:t>
            </w:r>
            <w:r>
              <w:rPr>
                <w:rFonts w:ascii="Arial" w:cs="Arial" w:eastAsia="Arial" w:hAnsi="Arial"/>
                <w:sz w:val="24"/>
                <w:szCs w:val="24"/>
                <w:color w:val="auto"/>
                <w:vertAlign w:val="superscript"/>
              </w:rPr>
              <w:t>(17)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17,884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Anthony E. Keller</w:t>
            </w:r>
          </w:p>
        </w:tc>
        <w:tc>
          <w:tcPr>
            <w:tcW w:w="900" w:type="dxa"/>
            <w:vAlign w:val="bottom"/>
          </w:tcPr>
          <w:p>
            <w:pPr>
              <w:jc w:val="right"/>
              <w:spacing w:after="0"/>
              <w:rPr>
                <w:sz w:val="20"/>
                <w:szCs w:val="20"/>
                <w:color w:val="auto"/>
              </w:rPr>
            </w:pPr>
            <w:r>
              <w:rPr>
                <w:rFonts w:ascii="Arial" w:cs="Arial" w:eastAsia="Arial" w:hAnsi="Arial"/>
                <w:sz w:val="18"/>
                <w:szCs w:val="18"/>
                <w:color w:val="auto"/>
              </w:rPr>
              <w:t>16,000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Jeffrey J. Lederman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40,393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2"/>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Michael Liebowitz, MD</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217,552</w:t>
            </w: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80,000</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137,552</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r>
    </w:tbl>
    <w:p>
      <w:pPr>
        <w:sectPr>
          <w:pgSz w:w="11900" w:h="16900" w:orient="portrait"/>
          <w:cols w:equalWidth="0" w:num="1">
            <w:col w:w="11280"/>
          </w:cols>
          <w:pgMar w:left="320" w:top="131" w:right="299"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Lincoln Park Capital Fund LLC </w:t>
            </w:r>
            <w:r>
              <w:rPr>
                <w:rFonts w:ascii="Arial" w:cs="Arial" w:eastAsia="Arial" w:hAnsi="Arial"/>
                <w:sz w:val="24"/>
                <w:szCs w:val="24"/>
                <w:color w:val="auto"/>
                <w:vertAlign w:val="superscript"/>
              </w:rPr>
              <w:t>(18)</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6,262,068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2,814,602</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2,647,466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40" w:type="dxa"/>
            <w:vAlign w:val="bottom"/>
          </w:tcPr>
          <w:p>
            <w:pPr>
              <w:spacing w:after="0"/>
              <w:rPr>
                <w:sz w:val="23"/>
                <w:szCs w:val="23"/>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Jeffrey A. Lindeman Trust UAD 9/23/10 </w:t>
            </w:r>
            <w:r>
              <w:rPr>
                <w:rFonts w:ascii="Arial" w:cs="Arial" w:eastAsia="Arial" w:hAnsi="Arial"/>
                <w:sz w:val="24"/>
                <w:szCs w:val="24"/>
                <w:color w:val="auto"/>
                <w:vertAlign w:val="superscript"/>
              </w:rPr>
              <w:t>(19)</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73,206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48,206</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 Craig Loucks, MD</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Robert L. Lumpkins, Trustee of the Robert L. Lumpkins Revocable Trust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140,000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70,000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Anthony J. Martone</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25,000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MAZ Partners </w:t>
            </w:r>
            <w:r>
              <w:rPr>
                <w:rFonts w:ascii="Arial" w:cs="Arial" w:eastAsia="Arial" w:hAnsi="Arial"/>
                <w:sz w:val="24"/>
                <w:szCs w:val="24"/>
                <w:color w:val="auto"/>
                <w:vertAlign w:val="superscript"/>
              </w:rPr>
              <w:t>(20)</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16,981</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1,981</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Marvin Mermelstein</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15,534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7,143</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8,391</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Millennium Park Capital LLC </w:t>
            </w:r>
            <w:r>
              <w:rPr>
                <w:rFonts w:ascii="Arial" w:cs="Arial" w:eastAsia="Arial" w:hAnsi="Arial"/>
                <w:sz w:val="24"/>
                <w:szCs w:val="24"/>
                <w:color w:val="auto"/>
                <w:vertAlign w:val="superscript"/>
              </w:rPr>
              <w:t>(21)</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90,000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Ryan C. Nelson</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82,216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32,216</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Michael Nemelka</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33,200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17,200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16,000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Darryl K. Olsen</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150,000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Lawrence A. Pabst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120,000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60,000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Paul J. Paternoster</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107,399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82,399</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Cleo Patra</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100,000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50,000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Pegmax, LLC </w:t>
            </w:r>
            <w:r>
              <w:rPr>
                <w:rFonts w:ascii="Arial" w:cs="Arial" w:eastAsia="Arial" w:hAnsi="Arial"/>
                <w:sz w:val="24"/>
                <w:szCs w:val="24"/>
                <w:color w:val="auto"/>
                <w:vertAlign w:val="superscript"/>
              </w:rPr>
              <w:t>(22)</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617,292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517,292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George Pesce and Lori Pesce, Joint Tenants</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200,000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100,000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Michael C. Phillips</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250,000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225,000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Plazacorp Investments Limited </w:t>
            </w:r>
            <w:r>
              <w:rPr>
                <w:rFonts w:ascii="Arial" w:cs="Arial" w:eastAsia="Arial" w:hAnsi="Arial"/>
                <w:sz w:val="24"/>
                <w:szCs w:val="24"/>
                <w:color w:val="auto"/>
                <w:vertAlign w:val="superscript"/>
              </w:rPr>
              <w:t>(23)</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17,962</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17,962</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James Prause</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237,500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200,000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The James D. Prause Trust </w:t>
            </w:r>
            <w:r>
              <w:rPr>
                <w:rFonts w:ascii="Arial" w:cs="Arial" w:eastAsia="Arial" w:hAnsi="Arial"/>
                <w:sz w:val="24"/>
                <w:szCs w:val="24"/>
                <w:color w:val="auto"/>
                <w:vertAlign w:val="superscript"/>
              </w:rPr>
              <w:t>(24)</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375,000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200,000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Jeffrey M. Quick</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20,652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10,652</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Reber-Burness Trust </w:t>
            </w:r>
            <w:r>
              <w:rPr>
                <w:rFonts w:ascii="Arial" w:cs="Arial" w:eastAsia="Arial" w:hAnsi="Arial"/>
                <w:sz w:val="24"/>
                <w:szCs w:val="24"/>
                <w:color w:val="auto"/>
                <w:vertAlign w:val="superscript"/>
              </w:rPr>
              <w:t>(25)</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52,649</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27,649</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James V. Rosati</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33,200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16,000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Ryan D. Scharfenberger </w:t>
            </w:r>
            <w:r>
              <w:rPr>
                <w:rFonts w:ascii="Arial" w:cs="Arial" w:eastAsia="Arial" w:hAnsi="Arial"/>
                <w:sz w:val="24"/>
                <w:szCs w:val="24"/>
                <w:color w:val="auto"/>
                <w:vertAlign w:val="superscript"/>
              </w:rPr>
              <w:t>(26)</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97,700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72,700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w w:val="90"/>
              </w:rPr>
              <w:t xml:space="preserve">H. L. Severance Inc. Profit Sharing Plan and Trust (dated January 26, 1971) </w:t>
            </w:r>
            <w:r>
              <w:rPr>
                <w:rFonts w:ascii="Arial" w:cs="Arial" w:eastAsia="Arial" w:hAnsi="Arial"/>
                <w:sz w:val="24"/>
                <w:szCs w:val="24"/>
                <w:color w:val="auto"/>
                <w:w w:val="90"/>
                <w:vertAlign w:val="superscript"/>
              </w:rPr>
              <w:t>(27)</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60,000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H. Leigh Severance</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120,000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60,000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Dennis J. Sheehan, Trustee of The Sheehan Family Trust</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250,000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Donald E. Shore</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33,000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20,500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w w:val="92"/>
              </w:rPr>
              <w:t>Marlene Singh, Trustee of Trust "A" of the Singh Family Trust dated 4/25/1977</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325,362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75,362</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Francis W. K. Smith, Jr.</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526,000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286,000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William D. Smithburg</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100,000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line="216" w:lineRule="exact"/>
              <w:rPr>
                <w:sz w:val="20"/>
                <w:szCs w:val="20"/>
                <w:color w:val="auto"/>
              </w:rPr>
            </w:pPr>
            <w:r>
              <w:rPr>
                <w:rFonts w:ascii="Arial" w:cs="Arial" w:eastAsia="Arial" w:hAnsi="Arial"/>
                <w:sz w:val="18"/>
                <w:szCs w:val="18"/>
                <w:color w:val="auto"/>
              </w:rPr>
              <w:t xml:space="preserve">St. Andrews, Inc. </w:t>
            </w:r>
            <w:r>
              <w:rPr>
                <w:rFonts w:ascii="Arial" w:cs="Arial" w:eastAsia="Arial" w:hAnsi="Arial"/>
                <w:sz w:val="24"/>
                <w:szCs w:val="24"/>
                <w:color w:val="auto"/>
                <w:vertAlign w:val="superscript"/>
              </w:rPr>
              <w:t>(28)</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272,500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122,500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Steven J. Strulowitz</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150,000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John S. Sturman Roth IRA</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242,500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162,500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Lynda Sutton</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30,043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5,043</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Maier Tarlow</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62,750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34,750</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Tauriga Sciences, Inc. </w:t>
            </w:r>
            <w:r>
              <w:rPr>
                <w:rFonts w:ascii="Arial" w:cs="Arial" w:eastAsia="Arial" w:hAnsi="Arial"/>
                <w:sz w:val="24"/>
                <w:szCs w:val="24"/>
                <w:color w:val="auto"/>
                <w:vertAlign w:val="superscript"/>
              </w:rPr>
              <w:t>(29)</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1,032,000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552,000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Jacob Tepper</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15,550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7,143</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8,407</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Edward Thompson</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25,000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Randy Underleider</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82,205</w:t>
            </w:r>
          </w:p>
        </w:tc>
        <w:tc>
          <w:tcPr>
            <w:tcW w:w="920" w:type="dxa"/>
            <w:vAlign w:val="bottom"/>
          </w:tcPr>
          <w:p>
            <w:pPr>
              <w:jc w:val="right"/>
              <w:spacing w:after="0"/>
              <w:rPr>
                <w:sz w:val="20"/>
                <w:szCs w:val="20"/>
                <w:color w:val="auto"/>
              </w:rPr>
            </w:pPr>
            <w:r>
              <w:rPr>
                <w:rFonts w:ascii="Arial" w:cs="Arial" w:eastAsia="Arial" w:hAnsi="Arial"/>
                <w:sz w:val="18"/>
                <w:szCs w:val="18"/>
                <w:color w:val="auto"/>
              </w:rPr>
              <w:t>20,000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62,205</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Eric Weinberger</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5,791,106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5,041,106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Lawrence Wert</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253,734</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86,000</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167,734</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Mariette Woestemeyer</w:t>
            </w:r>
          </w:p>
        </w:tc>
        <w:tc>
          <w:tcPr>
            <w:tcW w:w="10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1,407,300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703,650</w:t>
            </w:r>
          </w:p>
        </w:tc>
        <w:tc>
          <w:tcPr>
            <w:tcW w:w="1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703,650</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Daniel Zucker</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42,612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14,426</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28,186</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56"/>
        </w:trPr>
        <w:tc>
          <w:tcPr>
            <w:tcW w:w="57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945,000</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12,137,707</w:t>
            </w:r>
          </w:p>
        </w:tc>
        <w:tc>
          <w:tcPr>
            <w:tcW w:w="1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bl>
    <w:p>
      <w:pPr>
        <w:ind w:left="60"/>
        <w:spacing w:after="0"/>
        <w:rPr>
          <w:sz w:val="20"/>
          <w:szCs w:val="20"/>
          <w:color w:val="auto"/>
        </w:rPr>
      </w:pPr>
      <w:r>
        <w:rPr>
          <w:rFonts w:ascii="Arial" w:cs="Arial" w:eastAsia="Arial" w:hAnsi="Arial"/>
          <w:sz w:val="18"/>
          <w:szCs w:val="18"/>
          <w:color w:val="auto"/>
        </w:rPr>
        <w:t>___________________</w:t>
      </w:r>
    </w:p>
    <w:p>
      <w:pPr>
        <w:spacing w:after="0" w:line="7"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3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80" w:right="299" w:bottom="1440" w:gutter="0" w:footer="0" w:header="0"/>
        </w:sectPr>
      </w:pPr>
    </w:p>
    <w:bookmarkStart w:id="18" w:name="page19"/>
    <w:bookmarkEnd w:id="18"/>
    <w:p>
      <w:pPr>
        <w:spacing w:after="0" w:line="28"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left="580" w:hanging="572"/>
        <w:spacing w:after="0" w:line="298"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Information concerning named selling stockholders or future transferees, pledgees, assignees, distributees, donees or successors of or from any such stockholder or others who later hold any selling stockholder’s interests will be set forth in supplements to this prospectus, absent circumstances indicating that the change is material. In addition, post-effective amendments to the registration statement of which this prospectus forms a part will be filed to disclose any material changes to the plan of distribution from the description in the final prospectus.</w:t>
      </w:r>
    </w:p>
    <w:p>
      <w:pPr>
        <w:spacing w:after="0" w:line="166" w:lineRule="exact"/>
        <w:rPr>
          <w:rFonts w:ascii="Arial" w:cs="Arial" w:eastAsia="Arial" w:hAnsi="Arial"/>
          <w:sz w:val="16"/>
          <w:szCs w:val="16"/>
          <w:color w:val="auto"/>
        </w:rPr>
      </w:pPr>
    </w:p>
    <w:p>
      <w:pPr>
        <w:jc w:val="both"/>
        <w:ind w:left="580" w:hanging="572"/>
        <w:spacing w:after="0" w:line="25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(i) securities held by the selling stockholders, other than the Shares and shares of common stock issuable upon exercise of the Warrants, which shares are not being offered pursuant to this prospectus, and (ii) all Shares and shares of common stock issuable upon exercise of the Warrants being registered by the registration statement of which this prospectus forms a part.</w:t>
      </w:r>
    </w:p>
    <w:p>
      <w:pPr>
        <w:spacing w:after="0" w:line="193" w:lineRule="exact"/>
        <w:rPr>
          <w:rFonts w:ascii="Arial" w:cs="Arial" w:eastAsia="Arial" w:hAnsi="Arial"/>
          <w:sz w:val="18"/>
          <w:szCs w:val="18"/>
          <w:color w:val="auto"/>
        </w:rPr>
      </w:pPr>
    </w:p>
    <w:p>
      <w:pPr>
        <w:jc w:val="both"/>
        <w:ind w:left="580" w:hanging="572"/>
        <w:spacing w:after="0" w:line="298"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and regulations of the SEC. In computing the number of shares beneficially owned by a person and the percentage ownership of that person, securities that are currently convertible or exercisable into shares of our common stock, or convertible or exercisable into shares of our common stock within 60 days of April 27, 2020 are deemed outstanding. Such shares, however, are not deemed outstanding for the purposes of computing the percentage ownership of any other person.</w:t>
      </w:r>
    </w:p>
    <w:p>
      <w:pPr>
        <w:spacing w:after="0" w:line="166" w:lineRule="exact"/>
        <w:rPr>
          <w:rFonts w:ascii="Arial" w:cs="Arial" w:eastAsia="Arial" w:hAnsi="Arial"/>
          <w:sz w:val="16"/>
          <w:szCs w:val="16"/>
          <w:color w:val="auto"/>
        </w:rPr>
      </w:pPr>
    </w:p>
    <w:p>
      <w:pPr>
        <w:jc w:val="both"/>
        <w:ind w:left="580"/>
        <w:spacing w:after="0" w:line="259" w:lineRule="auto"/>
        <w:rPr>
          <w:rFonts w:ascii="Arial" w:cs="Arial" w:eastAsia="Arial" w:hAnsi="Arial"/>
          <w:sz w:val="16"/>
          <w:szCs w:val="16"/>
          <w:color w:val="auto"/>
        </w:rPr>
      </w:pPr>
      <w:r>
        <w:rPr>
          <w:rFonts w:ascii="Arial" w:cs="Arial" w:eastAsia="Arial" w:hAnsi="Arial"/>
          <w:sz w:val="18"/>
          <w:szCs w:val="18"/>
          <w:color w:val="auto"/>
        </w:rPr>
        <w:t>In addition, amounts reported in this column assumes that (i) each selling stockholder will exercise of all Warrants, and (ii) that each selling stockholder will sell all of the shares of common stock offered pursuant to this prospectus, including all shares of common stock that may be issued upon conversion of the Warrants identified herein.</w:t>
      </w:r>
    </w:p>
    <w:p>
      <w:pPr>
        <w:spacing w:after="0" w:line="193" w:lineRule="exact"/>
        <w:rPr>
          <w:rFonts w:ascii="Arial" w:cs="Arial" w:eastAsia="Arial" w:hAnsi="Arial"/>
          <w:sz w:val="16"/>
          <w:szCs w:val="16"/>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49,538,042 shares of common stock outstanding as of April 27, 2020.</w:t>
      </w:r>
    </w:p>
    <w:p>
      <w:pPr>
        <w:spacing w:after="0" w:line="225"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Thomas Walsh, President of Alliance Fund LLC, has voting control and investment discretion over the securities reported hererin and may be deemed to be the beneficial owner thereof.</w:t>
      </w:r>
    </w:p>
    <w:p>
      <w:pPr>
        <w:spacing w:after="0" w:line="185"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beneficially held before and after the offering include shares held directly by Coast to Coast Produce LLC, including 171,603 shares of common stock issuable upon exercise of Warrants held by Coast to Coast Produce LLC.</w:t>
      </w:r>
    </w:p>
    <w:p>
      <w:pPr>
        <w:spacing w:after="0" w:line="185"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Frank Monti, Manager of CAM Group of Florida LLC, has voting control and investment discretion over the securities reported hererin and may be deemed to be the beneficial owner thereof.</w:t>
      </w:r>
    </w:p>
    <w:p>
      <w:pPr>
        <w:spacing w:after="0" w:line="185" w:lineRule="exact"/>
        <w:rPr>
          <w:rFonts w:ascii="Arial" w:cs="Arial" w:eastAsia="Arial" w:hAnsi="Arial"/>
          <w:sz w:val="18"/>
          <w:szCs w:val="18"/>
          <w:color w:val="auto"/>
        </w:rPr>
      </w:pPr>
    </w:p>
    <w:p>
      <w:pPr>
        <w:ind w:left="580" w:hanging="572"/>
        <w:spacing w:after="0" w:line="331"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Thomas Walsh is the managing member of Cavalry Fund I Management LLC, which is the general partner of Cavalry Fund I LP. As such, Mr. Walsh has voting control and investment discretion over the securities reported hererin and may be deemed to be the beneficial owner thereof.</w:t>
      </w:r>
    </w:p>
    <w:p>
      <w:pPr>
        <w:spacing w:after="0" w:line="140" w:lineRule="exact"/>
        <w:rPr>
          <w:rFonts w:ascii="Arial" w:cs="Arial" w:eastAsia="Arial" w:hAnsi="Arial"/>
          <w:sz w:val="16"/>
          <w:szCs w:val="16"/>
          <w:color w:val="auto"/>
        </w:rPr>
      </w:pPr>
    </w:p>
    <w:p>
      <w:pPr>
        <w:jc w:val="both"/>
        <w:ind w:left="580" w:hanging="572"/>
        <w:spacing w:after="0" w:line="25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Michael Bozzuto has voting control and investment discretion over the securities reported hererin and may be deemed to be the beneficial owner thereof. Shares beneficially held before and after the offering include shares held directly by Mr. Bozzuto, including 306,383 shares of common stock issuable upon exercise of Warrants held by Mr. Bozzuto.</w:t>
      </w:r>
    </w:p>
    <w:p>
      <w:pPr>
        <w:spacing w:after="0" w:line="193"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Louis Biasi has voting control and investment discretion over the securities reported hererin and may be deemed to be the beneficial owner thereof.</w:t>
      </w:r>
    </w:p>
    <w:p>
      <w:pPr>
        <w:spacing w:after="0" w:line="248" w:lineRule="exact"/>
        <w:rPr>
          <w:rFonts w:ascii="Arial" w:cs="Arial" w:eastAsia="Arial" w:hAnsi="Arial"/>
          <w:sz w:val="16"/>
          <w:szCs w:val="16"/>
          <w:color w:val="auto"/>
        </w:rPr>
      </w:pPr>
    </w:p>
    <w:p>
      <w:pPr>
        <w:ind w:left="58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Michael Dinnen, Chief Executive Officer of ePay Funding, Inc., has voting control and investment discretion over the securities reported hererin and may be deemed to be the beneficial owner thereof.</w:t>
      </w:r>
    </w:p>
    <w:p>
      <w:pPr>
        <w:spacing w:after="0" w:line="185"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Douglas S. Garfinkel, Trustee of the Douglas S. Garfinkel Declaration of Trust dated 9/4/15, has voting control and investment discretion over the securities reported hererin and may be deemed to be the beneficial owner thereof.</w:t>
      </w:r>
    </w:p>
    <w:p>
      <w:pPr>
        <w:spacing w:after="0" w:line="185"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Robert Halpern, President of 410-3T00F, has voting control and investment discretion over the securities reported hererin and may be deemed to be the beneficial owner thereof.</w:t>
      </w:r>
    </w:p>
    <w:p>
      <w:pPr>
        <w:spacing w:after="0" w:line="185"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Andrew Golden has voting control and investment discretion over the securities reported hererin and may be deemed to be the beneficial owner thereof.</w:t>
      </w:r>
    </w:p>
    <w:p>
      <w:pPr>
        <w:spacing w:after="0" w:line="185"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Todd Horberg, President of the general partner of Horberg Enterprises LP, has voting control and investment discretion over the securities reported hererin and may be deemed to be the beneficial owner thereof.</w:t>
      </w:r>
    </w:p>
    <w:p>
      <w:pPr>
        <w:spacing w:after="0" w:line="185" w:lineRule="exact"/>
        <w:rPr>
          <w:rFonts w:ascii="Arial" w:cs="Arial" w:eastAsia="Arial" w:hAnsi="Arial"/>
          <w:sz w:val="18"/>
          <w:szCs w:val="18"/>
          <w:color w:val="auto"/>
        </w:rPr>
      </w:pPr>
    </w:p>
    <w:p>
      <w:pPr>
        <w:jc w:val="both"/>
        <w:ind w:left="580" w:hanging="572"/>
        <w:spacing w:after="0" w:line="256"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Jerry Gin has voting control and investment discretion over the securities reported hererin and may be deemed to be the beneficial owner thereof. Mr. Gin currently serves as a member of the Company's Board of Directors. Shares beneficially held after the offering includes 50,000 shares issuable upon exercise of a Warrant held by Pegmax, LLC, an entity under control by Peggy Gin, Dr. Gin's spouse, which shares are being registered on pursuant to the registration statement of which this prospectus forms a part.</w:t>
      </w:r>
    </w:p>
    <w:p>
      <w:pPr>
        <w:spacing w:after="0" w:line="196"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Joseph R. Nemeth, Trustee of the Joseph R. Nemeth Living Trust UAD 12/6/72, has voting control and investment discretion over the securities reported hererin and may be deemed to be the beneficial owner thereof.</w:t>
      </w:r>
    </w:p>
    <w:p>
      <w:pPr>
        <w:spacing w:after="0" w:line="185" w:lineRule="exact"/>
        <w:rPr>
          <w:rFonts w:ascii="Arial" w:cs="Arial" w:eastAsia="Arial" w:hAnsi="Arial"/>
          <w:sz w:val="18"/>
          <w:szCs w:val="18"/>
          <w:color w:val="auto"/>
        </w:rPr>
      </w:pPr>
    </w:p>
    <w:p>
      <w:pPr>
        <w:ind w:left="580" w:right="2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Josh Scheinfeld and Jonathan Cope, the Managing Members of Lincoln Park Capital, LLC, are deemed to be beneficial owners of all of the shares of common stock owned by Lincoln Park Capital Fund, LLC.</w:t>
      </w:r>
    </w:p>
    <w:p>
      <w:pPr>
        <w:spacing w:after="0" w:line="185"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Jeffrey A. Lindeman and Mona L. Lindeman, Trustees of the Jeffrey A. Lindeman Trust UAD 9/23/10, have voting control and investment discretion over the securities reported hererin and may be deemed to be the beneficial owner thereof.</w:t>
      </w:r>
    </w:p>
    <w:p>
      <w:pPr>
        <w:spacing w:after="0" w:line="185"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Walter Schenker, Principal of MAZ Partners, has voting control and investment discretion over the securities reported hererin and may be deemed to be the beneficial owner thereof.</w:t>
      </w:r>
    </w:p>
    <w:p>
      <w:pPr>
        <w:spacing w:after="0" w:line="185" w:lineRule="exact"/>
        <w:rPr>
          <w:rFonts w:ascii="Arial" w:cs="Arial" w:eastAsia="Arial" w:hAnsi="Arial"/>
          <w:sz w:val="18"/>
          <w:szCs w:val="18"/>
          <w:color w:val="auto"/>
        </w:rPr>
      </w:pPr>
    </w:p>
    <w:p>
      <w:pPr>
        <w:ind w:left="580" w:hanging="572"/>
        <w:spacing w:after="0" w:line="26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Christopher Wynne has voting control and investment discretion over the securities reported hererin and may be deemed to be the beneficial owner thereof.</w:t>
      </w:r>
    </w:p>
    <w:p>
      <w:pPr>
        <w:spacing w:after="0" w:line="185"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Peggy Gin has voting control and investment discretion over the securities reported hererin and may be deemed to be the beneficial owner thereof. Ms.</w:t>
      </w:r>
    </w:p>
    <w:p>
      <w:pPr>
        <w:sectPr>
          <w:pgSz w:w="11900" w:h="16866" w:orient="portrait"/>
          <w:cols w:equalWidth="0" w:num="1">
            <w:col w:w="11240"/>
          </w:cols>
          <w:pgMar w:left="320" w:top="131" w:right="339" w:bottom="0" w:gutter="0" w:footer="0" w:header="0"/>
        </w:sectPr>
      </w:pPr>
    </w:p>
    <w:bookmarkStart w:id="19" w:name="page20"/>
    <w:bookmarkEnd w:id="19"/>
    <w:p>
      <w:pPr>
        <w:jc w:val="both"/>
        <w:ind w:left="572"/>
        <w:spacing w:after="0" w:line="259" w:lineRule="auto"/>
        <w:rPr>
          <w:sz w:val="20"/>
          <w:szCs w:val="20"/>
          <w:color w:val="auto"/>
        </w:rPr>
      </w:pPr>
      <w:r>
        <w:rPr>
          <w:rFonts w:ascii="Arial" w:cs="Arial" w:eastAsia="Arial" w:hAnsi="Arial"/>
          <w:sz w:val="18"/>
          <w:szCs w:val="18"/>
          <w:color w:val="auto"/>
        </w:rPr>
        <w:t>Gin is the spouse of Dr. Jerry Gin, who currently serves as a member of the Company's Board of Directors. Shares beneficially held after the offering includes 50,000 shares issubale upon exercise of a Warrant held by Jermax, LLC, an entity under control by Dr. Gin, which shares are being registered on pursuant to the registration statement of which this prospectus forms a part.</w:t>
      </w:r>
    </w:p>
    <w:p>
      <w:pPr>
        <w:spacing w:after="0" w:line="194" w:lineRule="exact"/>
        <w:rPr>
          <w:sz w:val="20"/>
          <w:szCs w:val="20"/>
          <w:color w:val="auto"/>
        </w:rPr>
      </w:pPr>
    </w:p>
    <w:p>
      <w:pPr>
        <w:ind w:left="572" w:hanging="572"/>
        <w:spacing w:after="0"/>
        <w:tabs>
          <w:tab w:leader="none" w:pos="572" w:val="left"/>
        </w:tabs>
        <w:numPr>
          <w:ilvl w:val="0"/>
          <w:numId w:val="7"/>
        </w:numPr>
        <w:rPr>
          <w:rFonts w:ascii="Arial" w:cs="Arial" w:eastAsia="Arial" w:hAnsi="Arial"/>
          <w:sz w:val="15"/>
          <w:szCs w:val="15"/>
          <w:color w:val="auto"/>
        </w:rPr>
      </w:pPr>
      <w:r>
        <w:rPr>
          <w:rFonts w:ascii="Arial" w:cs="Arial" w:eastAsia="Arial" w:hAnsi="Arial"/>
          <w:sz w:val="15"/>
          <w:szCs w:val="15"/>
          <w:color w:val="auto"/>
        </w:rPr>
        <w:t>Sruli Weinnreb has voting control and investment discretion over the securities reported hererin and may be deemed to be the beneficial owner thereof.</w:t>
      </w:r>
    </w:p>
    <w:p>
      <w:pPr>
        <w:spacing w:after="0" w:line="259" w:lineRule="exact"/>
        <w:rPr>
          <w:rFonts w:ascii="Arial" w:cs="Arial" w:eastAsia="Arial" w:hAnsi="Arial"/>
          <w:sz w:val="15"/>
          <w:szCs w:val="15"/>
          <w:color w:val="auto"/>
        </w:rPr>
      </w:pPr>
    </w:p>
    <w:p>
      <w:pPr>
        <w:ind w:left="572" w:right="20" w:hanging="572"/>
        <w:spacing w:after="0" w:line="268"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James Prause, Trustee of The James D. Prause Trust, has voting control and investment discretion over the securities reported hererin and may be deemed to be the beneficial owner thereof.</w:t>
      </w:r>
    </w:p>
    <w:p>
      <w:pPr>
        <w:spacing w:after="0" w:line="185" w:lineRule="exact"/>
        <w:rPr>
          <w:rFonts w:ascii="Arial" w:cs="Arial" w:eastAsia="Arial" w:hAnsi="Arial"/>
          <w:sz w:val="18"/>
          <w:szCs w:val="18"/>
          <w:color w:val="auto"/>
        </w:rPr>
      </w:pPr>
    </w:p>
    <w:p>
      <w:pPr>
        <w:ind w:left="572" w:hanging="572"/>
        <w:spacing w:after="0" w:line="268"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James Burness, Trustee of the Reber-Burness Trust, has voting control and investment discretion over the securities reported hererin and may be deemed to be the beneficial owner thereof.</w:t>
      </w:r>
    </w:p>
    <w:p>
      <w:pPr>
        <w:spacing w:after="0" w:line="185" w:lineRule="exact"/>
        <w:rPr>
          <w:rFonts w:ascii="Arial" w:cs="Arial" w:eastAsia="Arial" w:hAnsi="Arial"/>
          <w:sz w:val="18"/>
          <w:szCs w:val="18"/>
          <w:color w:val="auto"/>
        </w:rPr>
      </w:pPr>
    </w:p>
    <w:p>
      <w:pPr>
        <w:ind w:left="572" w:hanging="572"/>
        <w:spacing w:after="0" w:line="268"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Scharfenberger has advised the Company that he is affiliated with a broker-dealer, and that the securities were received solely as an investment and not with a view to or for resale or distribution.</w:t>
      </w:r>
    </w:p>
    <w:p>
      <w:pPr>
        <w:spacing w:after="0" w:line="185" w:lineRule="exact"/>
        <w:rPr>
          <w:rFonts w:ascii="Arial" w:cs="Arial" w:eastAsia="Arial" w:hAnsi="Arial"/>
          <w:sz w:val="18"/>
          <w:szCs w:val="18"/>
          <w:color w:val="auto"/>
        </w:rPr>
      </w:pPr>
    </w:p>
    <w:p>
      <w:pPr>
        <w:ind w:left="572" w:hanging="572"/>
        <w:spacing w:after="0" w:line="268"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H. Leigh Severance, Trustee of the H. L. Severance Inc. Profit Sharing Plan and Trust (dated January 26, 1971), has voting control and investment discretion over the securities reported hererin and may be deemed to be the beneficial owner thereof.</w:t>
      </w:r>
    </w:p>
    <w:p>
      <w:pPr>
        <w:spacing w:after="0" w:line="185" w:lineRule="exact"/>
        <w:rPr>
          <w:rFonts w:ascii="Arial" w:cs="Arial" w:eastAsia="Arial" w:hAnsi="Arial"/>
          <w:sz w:val="18"/>
          <w:szCs w:val="18"/>
          <w:color w:val="auto"/>
        </w:rPr>
      </w:pPr>
    </w:p>
    <w:p>
      <w:pPr>
        <w:ind w:left="572" w:hanging="572"/>
        <w:spacing w:after="0"/>
        <w:tabs>
          <w:tab w:leader="none" w:pos="572" w:val="left"/>
        </w:tabs>
        <w:numPr>
          <w:ilvl w:val="0"/>
          <w:numId w:val="7"/>
        </w:numPr>
        <w:rPr>
          <w:rFonts w:ascii="Arial" w:cs="Arial" w:eastAsia="Arial" w:hAnsi="Arial"/>
          <w:sz w:val="16"/>
          <w:szCs w:val="16"/>
          <w:color w:val="auto"/>
        </w:rPr>
      </w:pPr>
      <w:r>
        <w:rPr>
          <w:rFonts w:ascii="Arial" w:cs="Arial" w:eastAsia="Arial" w:hAnsi="Arial"/>
          <w:sz w:val="16"/>
          <w:szCs w:val="16"/>
          <w:color w:val="auto"/>
        </w:rPr>
        <w:t>Todd Kaplan has voting control and investment discretion over the securities reported hererin and may be deemed to be the beneficial owner thereof.</w:t>
      </w:r>
    </w:p>
    <w:p>
      <w:pPr>
        <w:spacing w:after="0" w:line="248" w:lineRule="exact"/>
        <w:rPr>
          <w:rFonts w:ascii="Arial" w:cs="Arial" w:eastAsia="Arial" w:hAnsi="Arial"/>
          <w:sz w:val="16"/>
          <w:szCs w:val="16"/>
          <w:color w:val="auto"/>
        </w:rPr>
      </w:pPr>
    </w:p>
    <w:p>
      <w:pPr>
        <w:ind w:left="572" w:hanging="572"/>
        <w:spacing w:after="0"/>
        <w:tabs>
          <w:tab w:leader="none" w:pos="572" w:val="left"/>
        </w:tabs>
        <w:numPr>
          <w:ilvl w:val="0"/>
          <w:numId w:val="7"/>
        </w:numPr>
        <w:rPr>
          <w:rFonts w:ascii="Arial" w:cs="Arial" w:eastAsia="Arial" w:hAnsi="Arial"/>
          <w:sz w:val="16"/>
          <w:szCs w:val="16"/>
          <w:color w:val="auto"/>
        </w:rPr>
      </w:pPr>
      <w:r>
        <w:rPr>
          <w:rFonts w:ascii="Arial" w:cs="Arial" w:eastAsia="Arial" w:hAnsi="Arial"/>
          <w:sz w:val="16"/>
          <w:szCs w:val="16"/>
          <w:color w:val="auto"/>
        </w:rPr>
        <w:t>Kevin Lacey has voting control and investment discretion over the securities reported hererin and may be deemed to be the beneficial owner thereof.</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31"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common stock to be offered and sold using this prospectus will be offered and sold by the selling stockholders named in this prospectus. Accordingly, we will not receive any proceeds from any sale of shares of our common stock in this offering. All shares of common stock registered by this prospectus may be issued upon exercise of the Warrants. Upon any exercise of the Warrants, the selling stockholders will pay us the applicable exercise price, and we currently anticipate that any such proceeds would be used primarily for working capital and general corporate purposes. We will pay all of the fees and expenses incurred by us in connection with this registration. We will not be responsible for fees and expenses incurred by the selling stockholders or any underwriting discounts or agent’s commissions.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have never paid or declared any cash dividends on our common stock, and we do not anticipate paying any cash dividends on our common stock in the foreseeable future. Shares of our Series B 10% Convertible Preferred Stock accrue dividends at a rate of 10% per annum, which dividends are payable solely in unregistered shares of our common stock at the time the Series B 10% Convertible Preferred Stock is converted into common stock.</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registering the Shares and shares of common stock issuable upon exercise of the Warrants held by the selling stockholders identified herein to permit the resale of these shares of common stock by the holders thereof from time to time after the date of this prospectus. We will not receive any of the proceeds from the sale by the selling stockholders of the shares of our common stock, if any. We will bear all fees and expenses incident to our obligation to register the shares of our common stock.</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common stock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common stock offered by this prospectus could be affected in one or more of the following methods:</w:t>
      </w:r>
    </w:p>
    <w:p>
      <w:pPr>
        <w:spacing w:after="0" w:line="197" w:lineRule="exact"/>
        <w:rPr>
          <w:sz w:val="20"/>
          <w:szCs w:val="20"/>
          <w:color w:val="auto"/>
        </w:rPr>
      </w:pPr>
    </w:p>
    <w:p>
      <w:pPr>
        <w:ind w:left="660" w:hanging="49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brokers’ transactions;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transactions involving cross or block trades;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through brokers, dealers, or underwriters who may act solely as agents;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the market” into an existing market for the common stock;</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other ways not involving market makers or established business markets, including direct sales to purchasers or sales effected through agents;</w:t>
      </w:r>
    </w:p>
    <w:p>
      <w:pPr>
        <w:spacing w:after="0" w:line="248" w:lineRule="exact"/>
        <w:rPr>
          <w:rFonts w:ascii="Arial" w:cs="Arial" w:eastAsia="Arial" w:hAnsi="Arial"/>
          <w:sz w:val="16"/>
          <w:szCs w:val="16"/>
          <w:color w:val="auto"/>
        </w:rPr>
      </w:pPr>
    </w:p>
    <w:p>
      <w:pPr>
        <w:ind w:left="660" w:hanging="49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privately negotiated transactions; or</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94"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our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selling stockholders may pledge or grant a security interest in some or all of the Warrants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There can be no assurance that any selling stockholder will sell any or all of the shares of common stock registered pursuant to the registration statement, of which this prospectus forms a part.</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selling stockholders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stockholders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We will pay all expenses of the registration of the shares of common stock pursuant to the Registration Rights Agreement, including, without limitation, SEC filing fees and expenses of compliance with state securities or “blue sky” laws;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 or we may be entitled to contribution.</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summary of the rights of our capital stock is not complete and is subject to and qualified in its entirety by reference to our certificate of incorporation and bylaws, copies of which are filed as exhibits to our Annual Report on Form 10-K for the year ended March 31, 2019, filed with the SEC on June 25, 2019, which is incorporated by reference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authorized capital stock consists of 175.0 million shares of common stock, $0.001 par value per share, and 10.0 million shares of preferred stock, $0.001 par value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This section describes the general terms of our common stock that we may offer from time to time. For more detailed information, a holder of our common stock should refer to our Restated and Amended Article of Incorporation, as amended (our Articles) and our Amended and Restated Bylaws (our Bylaws), copies of which are filed with the SEC as exhibits to the registration statement of which this prospectus is a part.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April 30, 2020, there were issued and outstanding, or reserved for issuance:</w:t>
      </w:r>
    </w:p>
    <w:p>
      <w:pPr>
        <w:spacing w:after="0" w:line="225" w:lineRule="exact"/>
        <w:rPr>
          <w:sz w:val="20"/>
          <w:szCs w:val="20"/>
          <w:color w:val="auto"/>
        </w:rPr>
      </w:pPr>
    </w:p>
    <w:p>
      <w:pPr>
        <w:ind w:left="660" w:hanging="490"/>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49,538,042 shares of common stock held by approximately 6,000 stockholders of record;</w:t>
      </w:r>
    </w:p>
    <w:p>
      <w:pPr>
        <w:spacing w:after="0" w:line="22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our Series A Preferred held by one institutional investor and one accredited individual investor;</w:t>
      </w:r>
    </w:p>
    <w:p>
      <w:pPr>
        <w:spacing w:after="0" w:line="185" w:lineRule="exact"/>
        <w:rPr>
          <w:rFonts w:ascii="Arial" w:cs="Arial" w:eastAsia="Arial" w:hAnsi="Arial"/>
          <w:sz w:val="18"/>
          <w:szCs w:val="18"/>
          <w:color w:val="auto"/>
        </w:rPr>
      </w:pPr>
    </w:p>
    <w:p>
      <w:pPr>
        <w:ind w:left="660" w:right="20" w:hanging="490"/>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1,160,240 shares of common stock reserved for issuance upon conversion of 1,160,240 shares of our Series B Preferred held by two institutional investors;</w:t>
      </w:r>
    </w:p>
    <w:p>
      <w:pPr>
        <w:spacing w:after="0" w:line="18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Preferred held by one institutional investor;</w:t>
      </w:r>
    </w:p>
    <w:p>
      <w:pPr>
        <w:spacing w:after="0" w:line="185" w:lineRule="exact"/>
        <w:rPr>
          <w:rFonts w:ascii="Arial" w:cs="Arial" w:eastAsia="Arial" w:hAnsi="Arial"/>
          <w:sz w:val="18"/>
          <w:szCs w:val="18"/>
          <w:color w:val="auto"/>
        </w:rPr>
      </w:pPr>
    </w:p>
    <w:p>
      <w:pPr>
        <w:ind w:left="660" w:right="20" w:hanging="490"/>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26,680,281 shares of common stock that have been reserved for issuance upon exercise of outstanding warrants, with a weighted average exercise price of $1.64 per share;</w:t>
      </w:r>
    </w:p>
    <w:p>
      <w:pPr>
        <w:spacing w:after="0" w:line="18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7,768,088 registered shares of common stock reserved for issuance upon exercise of outstanding stock options under our Amended and Restated 2016 Stock Incentive Plan, with a weighted average exercise price of $1.41 per share;</w:t>
      </w:r>
    </w:p>
    <w:p>
      <w:pPr>
        <w:spacing w:after="0" w:line="18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3,815,000 registered shares of common stock reserved for issuance upon exercise of outstanding stock options under our 2019 Omnibus Equity Incentive Plan, with a weighted average exercise price of $0.88 per share;</w:t>
      </w:r>
    </w:p>
    <w:p>
      <w:pPr>
        <w:spacing w:after="0" w:line="18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5,150,162 registered shares of common stock reserved for future issuance in connection with future grants under our 2019 Omnibus Equity Incentive Plan; and</w:t>
      </w:r>
    </w:p>
    <w:p>
      <w:pPr>
        <w:spacing w:after="0" w:line="185" w:lineRule="exact"/>
        <w:rPr>
          <w:rFonts w:ascii="Arial" w:cs="Arial" w:eastAsia="Arial" w:hAnsi="Arial"/>
          <w:sz w:val="18"/>
          <w:szCs w:val="18"/>
          <w:color w:val="auto"/>
        </w:rPr>
      </w:pPr>
    </w:p>
    <w:p>
      <w:pPr>
        <w:ind w:left="660" w:hanging="490"/>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1,000,000 shares of common stock reserved for future issuance in connection with future sales under our 2019 Employee Stock Purchase Plan.</w:t>
      </w:r>
    </w:p>
    <w:p>
      <w:pPr>
        <w:spacing w:after="0" w:line="248"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We may elect or be required to amend our Articles to increase the number of shares of common stock authorized for issuance prior to completing sales of shares of our common stock, or securities convertible and/or exchangeable into shares of our common stock described in this prospectus.</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holders of outstanding shares of our common stock are entitled to receive dividends out of funds legally available, if our board of directors, in its discretion, determines to issue dividends, and only at the times and in the amounts that our board of directors may determine. Our board of directors is not obligated to declare a dividend. We have not paid any dividends in the past and we do not intend to pay dividends in the foreseeable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not subject to conversion, redemption, sinking fund or similar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 Jersey City,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“VTGN”.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executive officers are appointed by the Board and serve at the discretion of the Board, subject to the terms of any employment agreements they may have with the Company. The following is a brief description of the present and past business experience of each of the Company’s current executive officers.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6280" w:type="dxa"/>
            <w:vAlign w:val="bottom"/>
            <w:gridSpan w:val="2"/>
          </w:tcPr>
          <w:p>
            <w:pPr>
              <w:ind w:left="120"/>
              <w:spacing w:after="0"/>
              <w:rPr>
                <w:sz w:val="20"/>
                <w:szCs w:val="20"/>
                <w:color w:val="auto"/>
              </w:rPr>
            </w:pPr>
            <w:r>
              <w:rPr>
                <w:rFonts w:ascii="Arial" w:cs="Arial" w:eastAsia="Arial" w:hAnsi="Arial"/>
                <w:sz w:val="18"/>
                <w:szCs w:val="18"/>
                <w:b w:val="1"/>
                <w:bCs w:val="1"/>
                <w:color w:val="auto"/>
              </w:rPr>
              <w:t>Position</w:t>
            </w:r>
          </w:p>
        </w:tc>
      </w:tr>
      <w:tr>
        <w:trPr>
          <w:trHeight w:val="28"/>
        </w:trPr>
        <w:tc>
          <w:tcPr>
            <w:tcW w:w="3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160" w:type="dxa"/>
            <w:vAlign w:val="bottom"/>
            <w:shd w:val="clear" w:color="auto" w:fill="000000"/>
          </w:tcPr>
          <w:p>
            <w:pPr>
              <w:spacing w:after="0"/>
              <w:rPr>
                <w:sz w:val="2"/>
                <w:szCs w:val="2"/>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6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H. Ralph Snodgrass, Ph.D.</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70</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Founder, President, Chief Scientific Officer and Director</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0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64</w:t>
            </w:r>
          </w:p>
        </w:tc>
        <w:tc>
          <w:tcPr>
            <w:tcW w:w="6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Chief Medical Officer</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Jerrold D. Dotson, CPA</w:t>
            </w:r>
          </w:p>
        </w:tc>
        <w:tc>
          <w:tcPr>
            <w:tcW w:w="10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66</w:t>
            </w:r>
          </w:p>
        </w:tc>
        <w:tc>
          <w:tcPr>
            <w:tcW w:w="6280" w:type="dxa"/>
            <w:vAlign w:val="bottom"/>
            <w:gridSpan w:val="2"/>
          </w:tcPr>
          <w:p>
            <w:pPr>
              <w:ind w:left="120"/>
              <w:spacing w:after="0"/>
              <w:rPr>
                <w:sz w:val="20"/>
                <w:szCs w:val="20"/>
                <w:color w:val="auto"/>
              </w:rPr>
            </w:pPr>
            <w:r>
              <w:rPr>
                <w:rFonts w:ascii="Arial" w:cs="Arial" w:eastAsia="Arial" w:hAnsi="Arial"/>
                <w:sz w:val="18"/>
                <w:szCs w:val="18"/>
                <w:color w:val="auto"/>
              </w:rPr>
              <w:t>Vice President, Chief Financial Officer and Secretary</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Mark A. McPartland</w:t>
            </w:r>
          </w:p>
        </w:tc>
        <w:tc>
          <w:tcPr>
            <w:tcW w:w="10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54</w:t>
            </w:r>
          </w:p>
        </w:tc>
        <w:tc>
          <w:tcPr>
            <w:tcW w:w="6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Vice President, Corporate Development</w:t>
            </w:r>
          </w:p>
        </w:tc>
      </w:tr>
    </w:tbl>
    <w:p>
      <w:pPr>
        <w:spacing w:after="0" w:line="20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Shawn K. Singh </w:t>
      </w:r>
      <w:r>
        <w:rPr>
          <w:rFonts w:ascii="Arial" w:cs="Arial" w:eastAsia="Arial" w:hAnsi="Arial"/>
          <w:sz w:val="16"/>
          <w:szCs w:val="16"/>
          <w:color w:val="auto"/>
        </w:rPr>
        <w:t>has served as our Chief Executive Officer since August 2009, first as the Chief Executive Officer of VistaGen Therapeutics, Inc.,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xml:space="preserve">), then as Chief Executive Officer of the Company after the merger by and between VistaGen California and the Company on May 11, 2011 (the </w:t>
      </w:r>
      <w:r>
        <w:rPr>
          <w:rFonts w:ascii="Arial" w:cs="Arial" w:eastAsia="Arial" w:hAnsi="Arial"/>
          <w:sz w:val="16"/>
          <w:szCs w:val="16"/>
          <w:i w:val="1"/>
          <w:iCs w:val="1"/>
          <w:color w:val="auto"/>
        </w:rPr>
        <w:t>Merger</w:t>
      </w:r>
      <w:r>
        <w:rPr>
          <w:rFonts w:ascii="Arial" w:cs="Arial" w:eastAsia="Arial" w:hAnsi="Arial"/>
          <w:sz w:val="16"/>
          <w:szCs w:val="16"/>
          <w:color w:val="auto"/>
        </w:rPr>
        <w:t>), at which time VistaGen California became a wholly-owned subsidiary of the Company. Mr. Singh first joined the Board of Directors of VistaGen California in 2000 and served on the VistaGen California management team (part-time) from late-2003, following VistaGen California’s acquisition of Artemis Neuroscience, of which he was President, to August 2009. In connection with the Merger, Mr. Singh was appointed as a member of our Board in 2011. Mr. Singh has nearly 30 years of experience working with biotechnology, medical device and pharmaceutical companies, both private and public. From 2001 to August 2009, Mr. Singh served as Managing Principal of Cato BioVentures, a life science venture capital firm, and as Chief Business Officer and General Counsel of Cato Research Ltd, a contract research organization (</w:t>
      </w:r>
      <w:r>
        <w:rPr>
          <w:rFonts w:ascii="Arial" w:cs="Arial" w:eastAsia="Arial" w:hAnsi="Arial"/>
          <w:sz w:val="16"/>
          <w:szCs w:val="16"/>
          <w:i w:val="1"/>
          <w:iCs w:val="1"/>
          <w:color w:val="auto"/>
        </w:rPr>
        <w:t>CRO</w:t>
      </w:r>
      <w:r>
        <w:rPr>
          <w:rFonts w:ascii="Arial" w:cs="Arial" w:eastAsia="Arial" w:hAnsi="Arial"/>
          <w:sz w:val="16"/>
          <w:szCs w:val="16"/>
          <w:color w:val="auto"/>
        </w:rPr>
        <w:t>) affiliated with Cato BioVentures. Mr. Singh served as President (part-time) of Echo Therapeutics, a medical device company, from 2007 to 2009, and as a member of its Board of Directors from 2007 to 2011. He also served as Chief Executive Officer (part- time) of Hemodynamic Therapeutics, a private biopharmaceutical company affiliated with Cato BioVentures, from 2004 to 2009. From 2000 to 2001, Mr. Singh served as Managing Director of Start-Up Law, a management consulting firm serving biotechnology companies. Mr. Singh also served as Chief Business Officer of SciClone Pharmaceuticals (formerly NASDAQ: SCLN), a specialty pharmaceutical company with a substantial commercial business in China, from 1993 to 2000, and as a corporate finance associate of Morrison &amp; Foerster LLP, an international law firm, from 1991 to 1993. Mr. Singh earned a B.A. degree, with honors, from the University of California, Berkeley, and a Juris Doctor degree from the University of Maryland School of Law. Mr. Singh is a member of the State Bar of California.</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co-founded VistaGen California with Dr. Gordon Keller in 1998 and served as the Chief Executive Officer of VistaGen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California until August 2009. Dr. Snodgrass has served as the President and Chief Scientific Officer of VistaGen California from inception to the present, and in the same positions with the Company following the completion of the Merger. He served as a member of the Board of Directors of VistaGen California from 1998 to 2011, and was appointed to serve on our Board after the completion of the Merger. Prior to founding VistaGen California,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25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6"/>
          <w:szCs w:val="16"/>
          <w:i w:val="1"/>
          <w:iCs w:val="1"/>
          <w:color w:val="auto"/>
        </w:rPr>
        <w:t>BIO</w:t>
      </w:r>
      <w:r>
        <w:rPr>
          <w:rFonts w:ascii="Arial" w:cs="Arial" w:eastAsia="Arial" w:hAnsi="Arial"/>
          <w:sz w:val="16"/>
          <w:szCs w:val="16"/>
          <w:color w:val="auto"/>
        </w:rPr>
        <w:t>), and past member of the International Society of Stem Cell Research (</w:t>
      </w:r>
      <w:r>
        <w:rPr>
          <w:rFonts w:ascii="Arial" w:cs="Arial" w:eastAsia="Arial" w:hAnsi="Arial"/>
          <w:sz w:val="16"/>
          <w:szCs w:val="16"/>
          <w:i w:val="1"/>
          <w:iCs w:val="1"/>
          <w:color w:val="auto"/>
        </w:rPr>
        <w:t>ISSCR</w:t>
      </w:r>
      <w:r>
        <w:rPr>
          <w:rFonts w:ascii="Arial" w:cs="Arial" w:eastAsia="Arial" w:hAnsi="Arial"/>
          <w:sz w:val="16"/>
          <w:szCs w:val="16"/>
          <w:color w:val="auto"/>
        </w:rPr>
        <w:t>) Industry Committee. Dr. Snodgrass has published more than 95 scientific papers, is the inventor on more than 21 patents and a number of patent applications, has been, the Principal Investigator on U.S. federal and private foundation sponsored research grants with budgets totaling more than $14.5 million and is recognized as an expert in stem cell biology with more than 32 years’ experience in the uses of stem cells as biological tools for research, drug discovery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Mark A. Smith, M.D., Ph.D. </w:t>
      </w:r>
      <w:r>
        <w:rPr>
          <w:rFonts w:ascii="Arial" w:cs="Arial" w:eastAsia="Arial" w:hAnsi="Arial"/>
          <w:sz w:val="16"/>
          <w:szCs w:val="16"/>
          <w:color w:val="auto"/>
        </w:rPr>
        <w:t>has served as our Chief Medical Officer since June 2016. Dr. Smith served as the Clinical Lead for Neuropsychiatry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Teva 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has significant expertise in drug discovery and development and clinical trial design and execution, having directed approximately fifty clinical trials from Phase 0 through Phase II B and served as project leader in both the discovery and development of approximately twenty investigational new drugs aimed at depression, anxiety, schizophrenia and other disorders.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1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Jerrold D. Dotson, CPA </w:t>
      </w:r>
      <w:r>
        <w:rPr>
          <w:rFonts w:ascii="Arial" w:cs="Arial" w:eastAsia="Arial" w:hAnsi="Arial"/>
          <w:sz w:val="16"/>
          <w:szCs w:val="16"/>
          <w:color w:val="auto"/>
        </w:rPr>
        <w:t>has served as our Chief Financial Officer since September 2011, as our Corporate Secretary since October 2013 and as a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Mark A. McPartland </w:t>
      </w:r>
      <w:r>
        <w:rPr>
          <w:rFonts w:ascii="Arial" w:cs="Arial" w:eastAsia="Arial" w:hAnsi="Arial"/>
          <w:sz w:val="16"/>
          <w:szCs w:val="16"/>
          <w:color w:val="333333"/>
        </w:rPr>
        <w:t>has served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Vice-President, Corporate Development since October 2016. Mr. McPartland previously served as the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Corporate Development and Communications at Stellar Biotechnologies, Inc. (now Edesa Biotech, Inc. (NASDAQ: EDSA)), from November 2013 to September 2016. While at Stellar, Mr. McPartland was responsible for transforming and expanding its capital markets and corporate communications strategy, while also supporting its global business development activities. From September 2011 to November 2013, Mr. McPartland served as Senior Vice President at MZ North America, a subsidiary of MZ Group, a global leader in investor relations and corporate communications, and from January 2005 to January 2011, he served as Vice President and Partner at Alliance Advisors, LLC where he specialized in the implementation of capital markets strategy, market positioning and financial communications, and Regional Vice President of Hayden Communications, Inc. where he led investor relations and corporate communications programs for micro and small cap companies. Mr. McPartland received his Bachelors in Business Administration and Marketing from Coastal Carolina University.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Objectives</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compensation practices are designed to attract key employees and to retain, motivate and reward our executive officers for their performance and contribution to our long-term success. Our Board,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For the year ended March 31, 2019, each Named Executive Officer (</w:t>
      </w:r>
      <w:r>
        <w:rPr>
          <w:rFonts w:ascii="Arial" w:cs="Arial" w:eastAsia="Arial" w:hAnsi="Arial"/>
          <w:sz w:val="16"/>
          <w:szCs w:val="16"/>
          <w:i w:val="1"/>
          <w:iCs w:val="1"/>
          <w:color w:val="auto"/>
        </w:rPr>
        <w:t>NEO</w:t>
      </w:r>
      <w:r>
        <w:rPr>
          <w:rFonts w:ascii="Arial" w:cs="Arial" w:eastAsia="Arial" w:hAnsi="Arial"/>
          <w:sz w:val="16"/>
          <w:szCs w:val="16"/>
          <w:color w:val="auto"/>
        </w:rPr>
        <w:t>) serving during that period was awarded a bonus by the Compensation Committee in the amount set forth in the Summary Compensation Table below. The Compensation Committee has not yet determined or awarded a bonus to any NEO for our fiscal year ended March 31, 2020. Payment of a bonus to an NEO for our fiscal year ended March 31, 2020, if any, is at the discretion of the Compensation Committee which may consider factors other than attainment of individual or corporate goals in its determination of bonus amounts to be granted.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Compensation Committee believes that to attract and retain management, employees and independent directors, the compensation paid to these persons should include non-cash equity-based compensation, in addition to base salary and potential annual cash incentives, that is competitive with peer companies. The Compensation Committee determines the amount and terms of non-cash equity-based compensation granted under our stock option plans or pursuant to other awards made to our executives, employees and independent directors. Any long-term equity compensation granted to our management, employees and independent directors does not represent cash payments made to such individuals, and there is no guarantee that any recipients of awards granted as long-term equity compensation will realize any cash value as a result of the awards.</w:t>
      </w:r>
    </w:p>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year ended March 31, 2020, the Compensation Committee granted stock options to management, employees and independent directors as a part of each individual's long-term compensation. The options have a term of ten years, and an exercise price that was at or above the market price of our common stock on the grant date, which the Compensation Committee believes align the long-term interests of our management, employees and independent directors with those of our stockholders. In addition, the exercise price of the options granted during our 2020 fiscal year remains above the market price of our common stock as of March 31, 2020.</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information regarding the compensation of our NEOs for services performed in the fiscal years ended March 31, 2020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Option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All Other</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4"/>
        </w:trPr>
        <w:tc>
          <w:tcPr>
            <w:tcW w:w="2660" w:type="dxa"/>
            <w:vAlign w:val="bottom"/>
          </w:tcPr>
          <w:p>
            <w:pPr>
              <w:ind w:left="580"/>
              <w:spacing w:after="0"/>
              <w:rPr>
                <w:sz w:val="20"/>
                <w:szCs w:val="20"/>
                <w:color w:val="auto"/>
              </w:rPr>
            </w:pPr>
            <w:r>
              <w:rPr>
                <w:rFonts w:ascii="Arial" w:cs="Arial" w:eastAsia="Arial" w:hAnsi="Arial"/>
                <w:sz w:val="18"/>
                <w:szCs w:val="18"/>
                <w:b w:val="1"/>
                <w:bCs w:val="1"/>
                <w:color w:val="auto"/>
              </w:rPr>
              <w:t>Name and Principal</w:t>
            </w:r>
          </w:p>
        </w:tc>
        <w:tc>
          <w:tcPr>
            <w:tcW w:w="2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Fiscal</w:t>
            </w:r>
          </w:p>
        </w:tc>
        <w:tc>
          <w:tcPr>
            <w:tcW w:w="120" w:type="dxa"/>
            <w:vAlign w:val="bottom"/>
          </w:tcPr>
          <w:p>
            <w:pPr>
              <w:spacing w:after="0"/>
              <w:rPr>
                <w:sz w:val="21"/>
                <w:szCs w:val="21"/>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Salary</w:t>
            </w:r>
          </w:p>
        </w:tc>
        <w:tc>
          <w:tcPr>
            <w:tcW w:w="1320" w:type="dxa"/>
            <w:vAlign w:val="bottom"/>
            <w:gridSpan w:val="2"/>
          </w:tcPr>
          <w:p>
            <w:pPr>
              <w:jc w:val="center"/>
              <w:ind w:right="280"/>
              <w:spacing w:after="0" w:line="244" w:lineRule="exact"/>
              <w:rPr>
                <w:sz w:val="20"/>
                <w:szCs w:val="20"/>
                <w:color w:val="auto"/>
              </w:rPr>
            </w:pPr>
            <w:r>
              <w:rPr>
                <w:rFonts w:ascii="Arial" w:cs="Arial" w:eastAsia="Arial" w:hAnsi="Arial"/>
                <w:sz w:val="18"/>
                <w:szCs w:val="18"/>
                <w:b w:val="1"/>
                <w:bCs w:val="1"/>
                <w:color w:val="auto"/>
                <w:w w:val="79"/>
              </w:rPr>
              <w:t xml:space="preserve">Bonus </w:t>
            </w:r>
            <w:r>
              <w:rPr>
                <w:rFonts w:ascii="Arial" w:cs="Arial" w:eastAsia="Arial" w:hAnsi="Arial"/>
                <w:sz w:val="24"/>
                <w:szCs w:val="24"/>
                <w:b w:val="1"/>
                <w:bCs w:val="1"/>
                <w:color w:val="auto"/>
                <w:w w:val="79"/>
                <w:vertAlign w:val="superscript"/>
              </w:rPr>
              <w:t>(9)</w:t>
            </w:r>
          </w:p>
        </w:tc>
        <w:tc>
          <w:tcPr>
            <w:tcW w:w="1200" w:type="dxa"/>
            <w:vAlign w:val="bottom"/>
            <w:gridSpan w:val="2"/>
          </w:tcPr>
          <w:p>
            <w:pPr>
              <w:jc w:val="center"/>
              <w:ind w:right="160"/>
              <w:spacing w:after="0" w:line="244" w:lineRule="exact"/>
              <w:rPr>
                <w:sz w:val="20"/>
                <w:szCs w:val="20"/>
                <w:color w:val="auto"/>
              </w:rPr>
            </w:pPr>
            <w:r>
              <w:rPr>
                <w:rFonts w:ascii="Arial" w:cs="Arial" w:eastAsia="Arial" w:hAnsi="Arial"/>
                <w:sz w:val="18"/>
                <w:szCs w:val="18"/>
                <w:b w:val="1"/>
                <w:bCs w:val="1"/>
                <w:color w:val="auto"/>
                <w:w w:val="84"/>
              </w:rPr>
              <w:t xml:space="preserve">Awards </w:t>
            </w:r>
            <w:r>
              <w:rPr>
                <w:rFonts w:ascii="Arial" w:cs="Arial" w:eastAsia="Arial" w:hAnsi="Arial"/>
                <w:sz w:val="24"/>
                <w:szCs w:val="24"/>
                <w:b w:val="1"/>
                <w:bCs w:val="1"/>
                <w:color w:val="auto"/>
                <w:w w:val="84"/>
                <w:vertAlign w:val="superscript"/>
              </w:rPr>
              <w:t>(6)</w:t>
            </w:r>
          </w:p>
        </w:tc>
        <w:tc>
          <w:tcPr>
            <w:tcW w:w="400" w:type="dxa"/>
            <w:vAlign w:val="bottom"/>
          </w:tcPr>
          <w:p>
            <w:pPr>
              <w:spacing w:after="0"/>
              <w:rPr>
                <w:sz w:val="21"/>
                <w:szCs w:val="21"/>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Compensation</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Total</w:t>
            </w:r>
          </w:p>
        </w:tc>
      </w:tr>
      <w:tr>
        <w:trPr>
          <w:trHeight w:val="237"/>
        </w:trPr>
        <w:tc>
          <w:tcPr>
            <w:tcW w:w="266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Position</w:t>
            </w:r>
          </w:p>
        </w:tc>
        <w:tc>
          <w:tcPr>
            <w:tcW w:w="26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Year</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80" w:type="dxa"/>
            <w:vAlign w:val="bottom"/>
          </w:tcPr>
          <w:p>
            <w:pPr>
              <w:spacing w:after="0"/>
              <w:rPr>
                <w:sz w:val="20"/>
                <w:szCs w:val="20"/>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r>
      <w:tr>
        <w:trPr>
          <w:trHeight w:val="243"/>
        </w:trPr>
        <w:tc>
          <w:tcPr>
            <w:tcW w:w="266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Shawn K. Singh </w:t>
            </w:r>
            <w:r>
              <w:rPr>
                <w:rFonts w:ascii="Arial" w:cs="Arial" w:eastAsia="Arial" w:hAnsi="Arial"/>
                <w:sz w:val="24"/>
                <w:szCs w:val="24"/>
                <w:color w:val="auto"/>
                <w:vertAlign w:val="superscript"/>
              </w:rPr>
              <w:t>(1)</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498,000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435,667</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933,667</w:t>
            </w:r>
          </w:p>
        </w:tc>
      </w:tr>
      <w:tr>
        <w:trPr>
          <w:trHeight w:val="243"/>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Executive Officer</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466,365</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110,305</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374,445</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951,115</w:t>
            </w:r>
          </w:p>
        </w:tc>
      </w:tr>
      <w:tr>
        <w:trPr>
          <w:trHeight w:val="243"/>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66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4"/>
                <w:szCs w:val="24"/>
                <w:color w:val="auto"/>
                <w:vertAlign w:val="superscript"/>
              </w:rPr>
              <w:t>(2)</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416,850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254,405</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671,255</w:t>
            </w:r>
          </w:p>
        </w:tc>
      </w:tr>
      <w:tr>
        <w:trPr>
          <w:trHeight w:val="243"/>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Chief Scientific Officer</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393,991</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73,444</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174,823</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642,258</w:t>
            </w:r>
          </w:p>
        </w:tc>
      </w:tr>
      <w:tr>
        <w:trPr>
          <w:trHeight w:val="243"/>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66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Mark A. Smith, M.D., Ph.D. </w:t>
            </w:r>
            <w:r>
              <w:rPr>
                <w:rFonts w:ascii="Arial" w:cs="Arial" w:eastAsia="Arial" w:hAnsi="Arial"/>
                <w:sz w:val="24"/>
                <w:szCs w:val="24"/>
                <w:color w:val="auto"/>
                <w:vertAlign w:val="superscript"/>
              </w:rPr>
              <w:t>(3)</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416,850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179,988</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596,838</w:t>
            </w:r>
          </w:p>
        </w:tc>
      </w:tr>
      <w:tr>
        <w:trPr>
          <w:trHeight w:val="243"/>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Medical Officer</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393,991</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73,444</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154,922</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622,357</w:t>
            </w:r>
          </w:p>
        </w:tc>
      </w:tr>
      <w:tr>
        <w:trPr>
          <w:trHeight w:val="243"/>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66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4"/>
                <w:szCs w:val="24"/>
                <w:color w:val="auto"/>
                <w:vertAlign w:val="superscript"/>
              </w:rPr>
              <w:t>(4)</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367,500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229,571</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597,071</w:t>
            </w:r>
          </w:p>
        </w:tc>
      </w:tr>
      <w:tr>
        <w:trPr>
          <w:trHeight w:val="208"/>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Chief Financial</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Officer and Secretary</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344,992</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64,749</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131,326</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541,067</w:t>
            </w:r>
          </w:p>
        </w:tc>
      </w:tr>
      <w:tr>
        <w:trPr>
          <w:trHeight w:val="243"/>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66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Mark A. McPartland </w:t>
            </w:r>
            <w:r>
              <w:rPr>
                <w:rFonts w:ascii="Arial" w:cs="Arial" w:eastAsia="Arial" w:hAnsi="Arial"/>
                <w:sz w:val="24"/>
                <w:szCs w:val="24"/>
                <w:color w:val="auto"/>
                <w:vertAlign w:val="superscript"/>
              </w:rPr>
              <w:t>(5)</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2020</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300,000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179,988</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(7)</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479,988</w:t>
            </w:r>
          </w:p>
        </w:tc>
      </w:tr>
      <w:tr>
        <w:trPr>
          <w:trHeight w:val="208"/>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Vice President, Corporate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2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Development</w:t>
            </w:r>
          </w:p>
        </w:tc>
        <w:tc>
          <w:tcPr>
            <w:tcW w:w="15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4"/>
              </w:rPr>
              <w:t>2019</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268,750</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50,874</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187,017</w:t>
            </w:r>
          </w:p>
        </w:tc>
        <w:tc>
          <w:tcPr>
            <w:tcW w:w="4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(8)</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506,641</w:t>
            </w:r>
          </w:p>
        </w:tc>
      </w:tr>
    </w:tbl>
    <w:p>
      <w:pPr>
        <w:spacing w:after="0" w:line="208" w:lineRule="exact"/>
        <w:rPr>
          <w:sz w:val="20"/>
          <w:szCs w:val="20"/>
          <w:color w:val="auto"/>
        </w:rPr>
      </w:pPr>
    </w:p>
    <w:p>
      <w:pPr>
        <w:jc w:val="both"/>
        <w:ind w:left="800" w:hanging="792"/>
        <w:spacing w:after="0" w:line="233" w:lineRule="auto"/>
        <w:tabs>
          <w:tab w:leader="none" w:pos="800" w:val="left"/>
        </w:tabs>
        <w:numPr>
          <w:ilvl w:val="0"/>
          <w:numId w:val="10"/>
        </w:numPr>
        <w:rPr>
          <w:rFonts w:ascii="Arial" w:cs="Arial" w:eastAsia="Arial" w:hAnsi="Arial"/>
          <w:sz w:val="29"/>
          <w:szCs w:val="29"/>
          <w:color w:val="auto"/>
          <w:vertAlign w:val="superscript"/>
        </w:rPr>
      </w:pPr>
      <w:r>
        <w:rPr>
          <w:rFonts w:ascii="Arial" w:cs="Arial" w:eastAsia="Arial" w:hAnsi="Arial"/>
          <w:sz w:val="17"/>
          <w:szCs w:val="17"/>
          <w:color w:val="auto"/>
        </w:rPr>
        <w:t>Mr. Singh became Chief Executive Officer of VistaGen Therapeutics, Inc. (a California corporation) (</w:t>
      </w:r>
      <w:r>
        <w:rPr>
          <w:rFonts w:ascii="Arial" w:cs="Arial" w:eastAsia="Arial" w:hAnsi="Arial"/>
          <w:sz w:val="17"/>
          <w:szCs w:val="17"/>
          <w:i w:val="1"/>
          <w:iCs w:val="1"/>
          <w:color w:val="auto"/>
        </w:rPr>
        <w:t>VistaGen California</w:t>
      </w:r>
      <w:r>
        <w:rPr>
          <w:rFonts w:ascii="Arial" w:cs="Arial" w:eastAsia="Arial" w:hAnsi="Arial"/>
          <w:sz w:val="17"/>
          <w:szCs w:val="17"/>
          <w:color w:val="auto"/>
        </w:rPr>
        <w:t>) on August 20, 2009 and our Chief Executive Officer in May 2011, in connection with the Merger. Pursuant to his January 2010 employment agreement, as amended in June 2016, Mr. Singh’s annual base cash salary, was contractually set at $395,000. The Compensation Committee has since adjusted Mr. Singh’s base annual salary to $477,000 effective in July 2018 and to $498,000 effective in April 2019. Pursuant to his employment agreement, Mr. Singh is eligible to receive an annual cash incentive bonus of up to fifty percent (50%) of his base cash salary.</w:t>
      </w:r>
    </w:p>
    <w:p>
      <w:pPr>
        <w:spacing w:after="0" w:line="213" w:lineRule="exact"/>
        <w:rPr>
          <w:rFonts w:ascii="Arial" w:cs="Arial" w:eastAsia="Arial" w:hAnsi="Arial"/>
          <w:sz w:val="29"/>
          <w:szCs w:val="29"/>
          <w:color w:val="auto"/>
          <w:vertAlign w:val="superscript"/>
        </w:rPr>
      </w:pPr>
    </w:p>
    <w:p>
      <w:pPr>
        <w:jc w:val="both"/>
        <w:ind w:left="800" w:hanging="792"/>
        <w:spacing w:after="0" w:line="226" w:lineRule="auto"/>
        <w:tabs>
          <w:tab w:leader="none" w:pos="80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Pursuant to his January 2010 employment agreement, as amended in June 2016, Dr. Snodgrass’ annual base cash salary, was contractually set at $350,000. The Compensation Committee has since adjusted Dr. Snodgrass’ base annual salary to $397,000 effective in July 2018 and to $416,850 effective in April 2019. Pursuant to his employment agreement, Dr. Snodgrass is eligible to receive an annual cash incentive bonus of up to fifty percent (50%) of his base cash salary.</w:t>
      </w:r>
    </w:p>
    <w:p>
      <w:pPr>
        <w:spacing w:after="0" w:line="212" w:lineRule="exact"/>
        <w:rPr>
          <w:rFonts w:ascii="Arial" w:cs="Arial" w:eastAsia="Arial" w:hAnsi="Arial"/>
          <w:sz w:val="30"/>
          <w:szCs w:val="30"/>
          <w:color w:val="auto"/>
          <w:vertAlign w:val="superscript"/>
        </w:rPr>
      </w:pPr>
    </w:p>
    <w:p>
      <w:pPr>
        <w:jc w:val="both"/>
        <w:ind w:left="800" w:hanging="792"/>
        <w:spacing w:after="0" w:line="206" w:lineRule="auto"/>
        <w:tabs>
          <w:tab w:leader="none" w:pos="80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Dr. Smith became our Chief Medical Officer upon his employment effective June 18, 2016. During our fiscal year ended March 31, 2019, Dr. Smith’s annual base cash salary was $397,000. The Compensation Committee adjusted Dr. Smith’s base annual salary to $416,850 effective in April 2019.</w:t>
      </w:r>
    </w:p>
    <w:p>
      <w:pPr>
        <w:spacing w:after="0" w:line="212" w:lineRule="exact"/>
        <w:rPr>
          <w:rFonts w:ascii="Arial" w:cs="Arial" w:eastAsia="Arial" w:hAnsi="Arial"/>
          <w:sz w:val="30"/>
          <w:szCs w:val="30"/>
          <w:color w:val="auto"/>
          <w:vertAlign w:val="superscript"/>
        </w:rPr>
      </w:pPr>
    </w:p>
    <w:p>
      <w:pPr>
        <w:jc w:val="both"/>
        <w:ind w:left="800" w:hanging="792"/>
        <w:spacing w:after="0" w:line="206" w:lineRule="auto"/>
        <w:tabs>
          <w:tab w:leader="none" w:pos="80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Mr. Dotson served as Chief Financial Officer on a contract basis from September 19, 2011 through August 2012, at which time he became our full-time employee. During our fiscal year ended March 31, 2019, Mr. Dotson’s annual base cash salary was $350,000. The Compensation Committee adjusted Mr. Dotson’s base annual salary to $367,500 effective in April 2019.</w:t>
      </w:r>
    </w:p>
    <w:p>
      <w:pPr>
        <w:spacing w:after="0" w:line="212" w:lineRule="exact"/>
        <w:rPr>
          <w:rFonts w:ascii="Arial" w:cs="Arial" w:eastAsia="Arial" w:hAnsi="Arial"/>
          <w:sz w:val="30"/>
          <w:szCs w:val="30"/>
          <w:color w:val="auto"/>
          <w:vertAlign w:val="superscript"/>
        </w:rPr>
      </w:pPr>
    </w:p>
    <w:p>
      <w:pPr>
        <w:jc w:val="both"/>
        <w:ind w:left="800" w:hanging="792"/>
        <w:spacing w:after="0" w:line="206" w:lineRule="auto"/>
        <w:tabs>
          <w:tab w:leader="none" w:pos="80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 xml:space="preserve">Mr. McPartland </w:t>
      </w:r>
      <w:r>
        <w:rPr>
          <w:rFonts w:ascii="Arial" w:cs="Arial" w:eastAsia="Arial" w:hAnsi="Arial"/>
          <w:sz w:val="18"/>
          <w:szCs w:val="18"/>
          <w:color w:val="333333"/>
        </w:rPr>
        <w:t>has served as our</w:t>
      </w:r>
      <w:r>
        <w:rPr>
          <w:rFonts w:ascii="Arial" w:cs="Arial" w:eastAsia="Arial" w:hAnsi="Arial"/>
          <w:sz w:val="18"/>
          <w:szCs w:val="18"/>
          <w:color w:val="auto"/>
        </w:rPr>
        <w:t xml:space="preserve"> Vice-President, Corporate Development since October 2016 and was designated a NEO in September 2017. During our fiscal year ended March 31, 2019, Mr. McPartland’s annual base cash salary was $275,000. The Compensation Committee adjusted Mr. McPartland’s base annual salary to $300,000 effective in April 2019.</w:t>
      </w:r>
    </w:p>
    <w:p>
      <w:pPr>
        <w:spacing w:after="0" w:line="212" w:lineRule="exact"/>
        <w:rPr>
          <w:rFonts w:ascii="Arial" w:cs="Arial" w:eastAsia="Arial" w:hAnsi="Arial"/>
          <w:sz w:val="30"/>
          <w:szCs w:val="30"/>
          <w:color w:val="auto"/>
          <w:vertAlign w:val="superscript"/>
        </w:rPr>
      </w:pPr>
    </w:p>
    <w:p>
      <w:pPr>
        <w:jc w:val="both"/>
        <w:ind w:left="800" w:hanging="792"/>
        <w:spacing w:after="0" w:line="265" w:lineRule="auto"/>
        <w:tabs>
          <w:tab w:leader="none" w:pos="800" w:val="left"/>
        </w:tabs>
        <w:numPr>
          <w:ilvl w:val="0"/>
          <w:numId w:val="10"/>
        </w:numPr>
        <w:rPr>
          <w:rFonts w:ascii="Arial" w:cs="Arial" w:eastAsia="Arial" w:hAnsi="Arial"/>
          <w:sz w:val="28"/>
          <w:szCs w:val="28"/>
          <w:color w:val="auto"/>
          <w:vertAlign w:val="superscript"/>
        </w:rPr>
      </w:pPr>
      <w:r>
        <w:rPr>
          <w:rFonts w:ascii="Arial" w:cs="Arial" w:eastAsia="Arial" w:hAnsi="Arial"/>
          <w:sz w:val="16"/>
          <w:szCs w:val="16"/>
          <w:color w:val="auto"/>
        </w:rPr>
        <w:t>The amounts in the Option Awards column do not represent any cash payments actually received by the NEOs with respect to any of such options to purchase shares of our common stock awarded to them or modified during the periods presented. Rather, the amounts in this column represent (i) the aggregate grant date fair value of options to purchase shares of our common stock awarded to Mr. Singh, Dr. Snodgrass, Dr. Smith, Mr. Dotson and Mr. McPartland during the fiscal year presented, and (ii) in Fiscal 2019, the modification date incremental fair value resulting from the reduction of exercise prices in excess of $1.56 per share to $1.50 per share for options previously granted to Mr. Singh, Dr. Snodgrass, Dr. Smith, Mr. Dotson and Mr. McPartland, both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Other than the exercise of such modified options to purchase 25,375 and 2,500 shares of our common stock at $1.50 per share by Mr. Singh and Dr. Snodgrass, respectively, during our fiscal year ended March 31, 2019, to date, none of the NEOs have exercised any of such options to purchase common stock, and there can be no assurance that any of them will ever realize any of the ASC 718 grant date fair value amounts presented in the Option Awards column.</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0" w:name="page31"/>
    <w:bookmarkEnd w:id="3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800" w:right="20" w:hanging="748"/>
        <w:spacing w:after="0" w:line="268" w:lineRule="auto"/>
        <w:tabs>
          <w:tab w:leader="none" w:pos="800"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table below provides information regarding the option awards we granted to the NEO’s during Fiscal 2020 and the assumptions used in the Black Scholes Option Pricing Model to determine the grant date fair values of the respective awards.</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222"/>
        </w:trPr>
        <w:tc>
          <w:tcPr>
            <w:tcW w:w="562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9"/>
              </w:rPr>
              <w:t>Option Grant</w:t>
            </w:r>
          </w:p>
        </w:tc>
        <w:tc>
          <w:tcPr>
            <w:tcW w:w="240" w:type="dxa"/>
            <w:vAlign w:val="bottom"/>
          </w:tcPr>
          <w:p>
            <w:pPr>
              <w:spacing w:after="0"/>
              <w:rPr>
                <w:sz w:val="19"/>
                <w:szCs w:val="19"/>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Option Grant</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Option Grant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5620" w:type="dxa"/>
            <w:vAlign w:val="bottom"/>
          </w:tcPr>
          <w:p>
            <w:pPr>
              <w:spacing w:after="0"/>
              <w:rPr>
                <w:sz w:val="20"/>
                <w:szCs w:val="20"/>
                <w:color w:val="auto"/>
              </w:rPr>
            </w:pPr>
            <w:r>
              <w:rPr>
                <w:rFonts w:ascii="Arial" w:cs="Arial" w:eastAsia="Arial" w:hAnsi="Arial"/>
                <w:sz w:val="18"/>
                <w:szCs w:val="18"/>
                <w:color w:val="auto"/>
              </w:rPr>
              <w:t>Option Award Compensation – Fiscal Year Ended March 31, 2020</w:t>
            </w:r>
          </w:p>
        </w:tc>
        <w:tc>
          <w:tcPr>
            <w:tcW w:w="140" w:type="dxa"/>
            <w:vAlign w:val="bottom"/>
          </w:tcPr>
          <w:p>
            <w:pPr>
              <w:spacing w:after="0"/>
              <w:rPr>
                <w:sz w:val="21"/>
                <w:szCs w:val="21"/>
                <w:color w:val="auto"/>
              </w:rPr>
            </w:pPr>
          </w:p>
        </w:tc>
        <w:tc>
          <w:tcPr>
            <w:tcW w:w="900" w:type="dxa"/>
            <w:vAlign w:val="bottom"/>
          </w:tcPr>
          <w:p>
            <w:pPr>
              <w:jc w:val="center"/>
              <w:ind w:right="52"/>
              <w:spacing w:after="0"/>
              <w:rPr>
                <w:sz w:val="20"/>
                <w:szCs w:val="20"/>
                <w:color w:val="auto"/>
              </w:rPr>
            </w:pPr>
            <w:r>
              <w:rPr>
                <w:rFonts w:ascii="Arial" w:cs="Arial" w:eastAsia="Arial" w:hAnsi="Arial"/>
                <w:sz w:val="18"/>
                <w:szCs w:val="18"/>
                <w:color w:val="auto"/>
                <w:w w:val="89"/>
              </w:rPr>
              <w:t>5/23/2019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color w:val="auto"/>
                <w:w w:val="88"/>
              </w:rPr>
              <w:t>9/5/2019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10/21/2019</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Total</w:t>
            </w:r>
          </w:p>
        </w:tc>
      </w:tr>
      <w:tr>
        <w:trPr>
          <w:trHeight w:val="243"/>
        </w:trPr>
        <w:tc>
          <w:tcPr>
            <w:tcW w:w="56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435,667</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Snodgrass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173,658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254,405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179,988</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Dotson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148,824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229,571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80,747</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99,241</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179,988</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56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365,170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95,803</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818,646</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1,279,619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
        </w:trPr>
        <w:tc>
          <w:tcPr>
            <w:tcW w:w="5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0"/>
        </w:trPr>
        <w:tc>
          <w:tcPr>
            <w:tcW w:w="562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9"/>
              </w:rPr>
              <w:t>Option Grant</w:t>
            </w:r>
          </w:p>
        </w:tc>
        <w:tc>
          <w:tcPr>
            <w:tcW w:w="240" w:type="dxa"/>
            <w:vAlign w:val="bottom"/>
          </w:tcPr>
          <w:p>
            <w:pPr>
              <w:spacing w:after="0"/>
              <w:rPr>
                <w:sz w:val="24"/>
                <w:szCs w:val="24"/>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Option Grant</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Option Grant</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2"/>
        </w:trPr>
        <w:tc>
          <w:tcPr>
            <w:tcW w:w="5620" w:type="dxa"/>
            <w:vAlign w:val="bottom"/>
          </w:tcPr>
          <w:p>
            <w:pPr>
              <w:spacing w:after="0"/>
              <w:rPr>
                <w:sz w:val="20"/>
                <w:szCs w:val="20"/>
                <w:color w:val="auto"/>
              </w:rPr>
            </w:pPr>
            <w:r>
              <w:rPr>
                <w:rFonts w:ascii="Arial" w:cs="Arial" w:eastAsia="Arial" w:hAnsi="Arial"/>
                <w:sz w:val="18"/>
                <w:szCs w:val="18"/>
                <w:color w:val="auto"/>
              </w:rPr>
              <w:t>Option Shares Granted - Fiscal Year Ended March 31, 2020</w:t>
            </w:r>
          </w:p>
        </w:tc>
        <w:tc>
          <w:tcPr>
            <w:tcW w:w="140" w:type="dxa"/>
            <w:vAlign w:val="bottom"/>
          </w:tcPr>
          <w:p>
            <w:pPr>
              <w:spacing w:after="0"/>
              <w:rPr>
                <w:sz w:val="21"/>
                <w:szCs w:val="21"/>
                <w:color w:val="auto"/>
              </w:rPr>
            </w:pPr>
          </w:p>
        </w:tc>
        <w:tc>
          <w:tcPr>
            <w:tcW w:w="900" w:type="dxa"/>
            <w:vAlign w:val="bottom"/>
          </w:tcPr>
          <w:p>
            <w:pPr>
              <w:jc w:val="center"/>
              <w:ind w:right="52"/>
              <w:spacing w:after="0"/>
              <w:rPr>
                <w:sz w:val="20"/>
                <w:szCs w:val="20"/>
                <w:color w:val="auto"/>
              </w:rPr>
            </w:pPr>
            <w:r>
              <w:rPr>
                <w:rFonts w:ascii="Arial" w:cs="Arial" w:eastAsia="Arial" w:hAnsi="Arial"/>
                <w:sz w:val="18"/>
                <w:szCs w:val="18"/>
                <w:color w:val="auto"/>
                <w:w w:val="89"/>
              </w:rPr>
              <w:t>5/23/2019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color w:val="auto"/>
                <w:w w:val="88"/>
              </w:rPr>
              <w:t>9/5/2019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10/21/2019</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Total</w:t>
            </w:r>
          </w:p>
        </w:tc>
      </w:tr>
      <w:tr>
        <w:trPr>
          <w:trHeight w:val="243"/>
        </w:trPr>
        <w:tc>
          <w:tcPr>
            <w:tcW w:w="56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Snodgrass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Dotson</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680,000</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170,000</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825,000</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50"/>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Option Grant</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Option Grant</w:t>
            </w:r>
          </w:p>
        </w:tc>
        <w:tc>
          <w:tcPr>
            <w:tcW w:w="116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Option Grant</w:t>
            </w:r>
          </w:p>
        </w:tc>
      </w:tr>
      <w:tr>
        <w:trPr>
          <w:trHeight w:val="252"/>
        </w:trPr>
        <w:tc>
          <w:tcPr>
            <w:tcW w:w="5620" w:type="dxa"/>
            <w:vAlign w:val="bottom"/>
          </w:tcPr>
          <w:p>
            <w:pPr>
              <w:spacing w:after="0"/>
              <w:rPr>
                <w:sz w:val="20"/>
                <w:szCs w:val="20"/>
                <w:color w:val="auto"/>
              </w:rPr>
            </w:pPr>
            <w:r>
              <w:rPr>
                <w:rFonts w:ascii="Arial" w:cs="Arial" w:eastAsia="Arial" w:hAnsi="Arial"/>
                <w:sz w:val="18"/>
                <w:szCs w:val="18"/>
                <w:color w:val="auto"/>
              </w:rPr>
              <w:t>Option Award Assumptions – Fiscal Year Ended March 31, 2020</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5/23/2019</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8"/>
              </w:rPr>
              <w:t>9/5/2019</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8"/>
              </w:rPr>
              <w:t>10/21/2019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Volatility</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Fair value per share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800" w:right="20" w:hanging="792"/>
        <w:spacing w:after="0" w:line="198" w:lineRule="auto"/>
        <w:tabs>
          <w:tab w:leader="none" w:pos="800" w:val="left"/>
        </w:tabs>
        <w:numPr>
          <w:ilvl w:val="0"/>
          <w:numId w:val="12"/>
        </w:numPr>
        <w:rPr>
          <w:rFonts w:ascii="Arial" w:cs="Arial" w:eastAsia="Arial" w:hAnsi="Arial"/>
          <w:sz w:val="29"/>
          <w:szCs w:val="29"/>
          <w:color w:val="auto"/>
          <w:vertAlign w:val="superscript"/>
        </w:rPr>
      </w:pPr>
      <w:r>
        <w:rPr>
          <w:rFonts w:ascii="Arial" w:cs="Arial" w:eastAsia="Arial" w:hAnsi="Arial"/>
          <w:sz w:val="17"/>
          <w:szCs w:val="17"/>
          <w:color w:val="auto"/>
        </w:rPr>
        <w:t>The table below provides information regarding the option awards we granted to the NEO’s during Fiscal 2019 and the assumptions used in the Black Scholes Option Pricing Model to determine the grant date fair values of the respective awards and modifications</w:t>
      </w:r>
    </w:p>
    <w:p>
      <w:pPr>
        <w:spacing w:after="0" w:line="14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Option</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562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9"/>
              </w:rPr>
              <w:t>Option Grant</w:t>
            </w:r>
          </w:p>
        </w:tc>
        <w:tc>
          <w:tcPr>
            <w:tcW w:w="24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color w:val="auto"/>
              </w:rPr>
              <w:t>Modifications</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Option Grant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5620" w:type="dxa"/>
            <w:vAlign w:val="bottom"/>
          </w:tcPr>
          <w:p>
            <w:pPr>
              <w:ind w:left="40"/>
              <w:spacing w:after="0"/>
              <w:rPr>
                <w:sz w:val="20"/>
                <w:szCs w:val="20"/>
                <w:color w:val="auto"/>
              </w:rPr>
            </w:pPr>
            <w:r>
              <w:rPr>
                <w:rFonts w:ascii="Arial" w:cs="Arial" w:eastAsia="Arial" w:hAnsi="Arial"/>
                <w:sz w:val="18"/>
                <w:szCs w:val="18"/>
                <w:color w:val="auto"/>
              </w:rPr>
              <w:t>Option Award Compensation – Fiscal Year Ended March 31, 2019</w:t>
            </w:r>
          </w:p>
        </w:tc>
        <w:tc>
          <w:tcPr>
            <w:tcW w:w="160" w:type="dxa"/>
            <w:vAlign w:val="bottom"/>
          </w:tcPr>
          <w:p>
            <w:pPr>
              <w:spacing w:after="0"/>
              <w:rPr>
                <w:sz w:val="21"/>
                <w:szCs w:val="21"/>
                <w:color w:val="auto"/>
              </w:rPr>
            </w:pPr>
          </w:p>
        </w:tc>
        <w:tc>
          <w:tcPr>
            <w:tcW w:w="880" w:type="dxa"/>
            <w:vAlign w:val="bottom"/>
          </w:tcPr>
          <w:p>
            <w:pPr>
              <w:jc w:val="center"/>
              <w:ind w:right="72"/>
              <w:spacing w:after="0"/>
              <w:rPr>
                <w:sz w:val="20"/>
                <w:szCs w:val="20"/>
                <w:color w:val="auto"/>
              </w:rPr>
            </w:pPr>
            <w:r>
              <w:rPr>
                <w:rFonts w:ascii="Arial" w:cs="Arial" w:eastAsia="Arial" w:hAnsi="Arial"/>
                <w:sz w:val="18"/>
                <w:szCs w:val="18"/>
                <w:color w:val="auto"/>
                <w:w w:val="91"/>
              </w:rPr>
              <w:t>8/5/2018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color w:val="auto"/>
                <w:w w:val="87"/>
              </w:rPr>
              <w:t>8/29/2018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12"/>
              <w:spacing w:after="0"/>
              <w:rPr>
                <w:sz w:val="20"/>
                <w:szCs w:val="20"/>
                <w:color w:val="auto"/>
              </w:rPr>
            </w:pPr>
            <w:r>
              <w:rPr>
                <w:rFonts w:ascii="Arial" w:cs="Arial" w:eastAsia="Arial" w:hAnsi="Arial"/>
                <w:sz w:val="18"/>
                <w:szCs w:val="18"/>
                <w:color w:val="auto"/>
                <w:w w:val="89"/>
              </w:rPr>
              <w:t>1/14/2019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Total</w:t>
            </w:r>
          </w:p>
        </w:tc>
      </w:tr>
      <w:tr>
        <w:trPr>
          <w:trHeight w:val="243"/>
        </w:trPr>
        <w:tc>
          <w:tcPr>
            <w:tcW w:w="56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95,436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279,009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374,445</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Snodgrass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122,913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174,823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154,922</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Dotson</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98,330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32,996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131,326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147,495</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39,522</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187,017</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56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467,068</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276,456</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279,009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1,022,533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7"/>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Option</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620" w:type="dxa"/>
            <w:vAlign w:val="bottom"/>
          </w:tcPr>
          <w:p>
            <w:pPr>
              <w:spacing w:after="0"/>
              <w:rPr>
                <w:sz w:val="19"/>
                <w:szCs w:val="19"/>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9"/>
              </w:rPr>
              <w:t>Option Grant</w:t>
            </w:r>
          </w:p>
        </w:tc>
        <w:tc>
          <w:tcPr>
            <w:tcW w:w="24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color w:val="auto"/>
              </w:rPr>
              <w:t>Modifications</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Option Grant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5620" w:type="dxa"/>
            <w:vAlign w:val="bottom"/>
          </w:tcPr>
          <w:p>
            <w:pPr>
              <w:ind w:left="40"/>
              <w:spacing w:after="0"/>
              <w:rPr>
                <w:sz w:val="20"/>
                <w:szCs w:val="20"/>
                <w:color w:val="auto"/>
              </w:rPr>
            </w:pPr>
            <w:r>
              <w:rPr>
                <w:rFonts w:ascii="Arial" w:cs="Arial" w:eastAsia="Arial" w:hAnsi="Arial"/>
                <w:sz w:val="18"/>
                <w:szCs w:val="18"/>
                <w:color w:val="auto"/>
              </w:rPr>
              <w:t>Option Shares Granted - Fiscal Year Ended March 31, 2019</w:t>
            </w:r>
          </w:p>
        </w:tc>
        <w:tc>
          <w:tcPr>
            <w:tcW w:w="160" w:type="dxa"/>
            <w:vAlign w:val="bottom"/>
          </w:tcPr>
          <w:p>
            <w:pPr>
              <w:spacing w:after="0"/>
              <w:rPr>
                <w:sz w:val="21"/>
                <w:szCs w:val="21"/>
                <w:color w:val="auto"/>
              </w:rPr>
            </w:pPr>
          </w:p>
        </w:tc>
        <w:tc>
          <w:tcPr>
            <w:tcW w:w="880" w:type="dxa"/>
            <w:vAlign w:val="bottom"/>
          </w:tcPr>
          <w:p>
            <w:pPr>
              <w:jc w:val="center"/>
              <w:ind w:right="72"/>
              <w:spacing w:after="0"/>
              <w:rPr>
                <w:sz w:val="20"/>
                <w:szCs w:val="20"/>
                <w:color w:val="auto"/>
              </w:rPr>
            </w:pPr>
            <w:r>
              <w:rPr>
                <w:rFonts w:ascii="Arial" w:cs="Arial" w:eastAsia="Arial" w:hAnsi="Arial"/>
                <w:sz w:val="18"/>
                <w:szCs w:val="18"/>
                <w:color w:val="auto"/>
                <w:w w:val="91"/>
              </w:rPr>
              <w:t>8/5/2018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color w:val="auto"/>
                <w:w w:val="87"/>
              </w:rPr>
              <w:t>8/29/2018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12"/>
              <w:spacing w:after="0"/>
              <w:rPr>
                <w:sz w:val="20"/>
                <w:szCs w:val="20"/>
                <w:color w:val="auto"/>
              </w:rPr>
            </w:pPr>
            <w:r>
              <w:rPr>
                <w:rFonts w:ascii="Arial" w:cs="Arial" w:eastAsia="Arial" w:hAnsi="Arial"/>
                <w:sz w:val="18"/>
                <w:szCs w:val="18"/>
                <w:color w:val="auto"/>
                <w:w w:val="89"/>
              </w:rPr>
              <w:t>1/14/2019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Total</w:t>
            </w:r>
          </w:p>
        </w:tc>
      </w:tr>
      <w:tr>
        <w:trPr>
          <w:trHeight w:val="243"/>
        </w:trPr>
        <w:tc>
          <w:tcPr>
            <w:tcW w:w="56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Snodgrass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Dotson</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McPartland</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475,000</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220,000</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7"/>
        </w:trPr>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12"/>
              <w:spacing w:after="0"/>
              <w:rPr>
                <w:sz w:val="20"/>
                <w:szCs w:val="20"/>
                <w:color w:val="auto"/>
              </w:rPr>
            </w:pPr>
            <w:r>
              <w:rPr>
                <w:rFonts w:ascii="Arial" w:cs="Arial" w:eastAsia="Arial" w:hAnsi="Arial"/>
                <w:sz w:val="18"/>
                <w:szCs w:val="18"/>
                <w:color w:val="auto"/>
                <w:w w:val="90"/>
              </w:rPr>
              <w:t>Option</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Option Grant</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3"/>
              </w:rPr>
              <w:t>Modifications</w:t>
            </w:r>
          </w:p>
        </w:tc>
        <w:tc>
          <w:tcPr>
            <w:tcW w:w="260" w:type="dxa"/>
            <w:vAlign w:val="bottom"/>
          </w:tcPr>
          <w:p>
            <w:pPr>
              <w:spacing w:after="0"/>
              <w:rPr>
                <w:sz w:val="19"/>
                <w:szCs w:val="19"/>
                <w:color w:val="auto"/>
              </w:rPr>
            </w:pPr>
          </w:p>
        </w:tc>
        <w:tc>
          <w:tcPr>
            <w:tcW w:w="116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Option Grant</w:t>
            </w:r>
          </w:p>
        </w:tc>
      </w:tr>
      <w:tr>
        <w:trPr>
          <w:trHeight w:val="252"/>
        </w:trPr>
        <w:tc>
          <w:tcPr>
            <w:tcW w:w="5620" w:type="dxa"/>
            <w:vAlign w:val="bottom"/>
          </w:tcPr>
          <w:p>
            <w:pPr>
              <w:ind w:left="40"/>
              <w:spacing w:after="0"/>
              <w:rPr>
                <w:sz w:val="20"/>
                <w:szCs w:val="20"/>
                <w:color w:val="auto"/>
              </w:rPr>
            </w:pPr>
            <w:r>
              <w:rPr>
                <w:rFonts w:ascii="Arial" w:cs="Arial" w:eastAsia="Arial" w:hAnsi="Arial"/>
                <w:sz w:val="18"/>
                <w:szCs w:val="18"/>
                <w:color w:val="auto"/>
              </w:rPr>
              <w:t>Option Award Assumptions – Fiscal Year Ended March 31, 2019</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8"/>
              </w:rPr>
              <w:t>8/5/2018</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9"/>
              </w:rPr>
              <w:t>8/29/2018</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1/14/2019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56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21"/>
                <w:szCs w:val="21"/>
                <w:color w:val="auto"/>
              </w:rPr>
            </w:pPr>
          </w:p>
        </w:tc>
      </w:tr>
      <w:tr>
        <w:trPr>
          <w:trHeight w:val="242"/>
        </w:trPr>
        <w:tc>
          <w:tcPr>
            <w:tcW w:w="5620" w:type="dxa"/>
            <w:vAlign w:val="bottom"/>
          </w:tcPr>
          <w:p>
            <w:pPr>
              <w:spacing w:after="0"/>
              <w:rPr>
                <w:sz w:val="20"/>
                <w:szCs w:val="20"/>
                <w:color w:val="auto"/>
              </w:rPr>
            </w:pPr>
            <w:r>
              <w:rPr>
                <w:rFonts w:ascii="Arial" w:cs="Arial" w:eastAsia="Arial" w:hAnsi="Arial"/>
                <w:sz w:val="18"/>
                <w:szCs w:val="18"/>
                <w:color w:val="auto"/>
              </w:rPr>
              <w:t>Volatility</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99.29%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93.56%</w:t>
            </w:r>
          </w:p>
        </w:tc>
      </w:tr>
      <w:tr>
        <w:trPr>
          <w:trHeight w:val="244"/>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5620" w:type="dxa"/>
            <w:vAlign w:val="bottom"/>
          </w:tcPr>
          <w:p>
            <w:pPr>
              <w:spacing w:after="0"/>
              <w:rPr>
                <w:sz w:val="20"/>
                <w:szCs w:val="20"/>
                <w:color w:val="auto"/>
              </w:rPr>
            </w:pPr>
            <w:r>
              <w:rPr>
                <w:rFonts w:ascii="Arial" w:cs="Arial" w:eastAsia="Arial" w:hAnsi="Arial"/>
                <w:sz w:val="18"/>
                <w:szCs w:val="18"/>
                <w:color w:val="auto"/>
              </w:rPr>
              <w:t>Dividend rate</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0%</w:t>
            </w:r>
          </w:p>
        </w:tc>
      </w:tr>
      <w:tr>
        <w:trPr>
          <w:trHeight w:val="244"/>
        </w:trPr>
        <w:tc>
          <w:tcPr>
            <w:tcW w:w="5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5620" w:type="dxa"/>
            <w:vAlign w:val="bottom"/>
          </w:tcPr>
          <w:p>
            <w:pPr>
              <w:spacing w:after="0"/>
              <w:rPr>
                <w:sz w:val="20"/>
                <w:szCs w:val="20"/>
                <w:color w:val="auto"/>
              </w:rPr>
            </w:pPr>
            <w:r>
              <w:rPr>
                <w:rFonts w:ascii="Arial" w:cs="Arial" w:eastAsia="Arial" w:hAnsi="Arial"/>
                <w:sz w:val="18"/>
                <w:szCs w:val="18"/>
                <w:color w:val="auto"/>
              </w:rPr>
              <w:t>Fair value per share</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0.988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left="800" w:right="20"/>
        <w:spacing w:after="0" w:line="288" w:lineRule="auto"/>
        <w:rPr>
          <w:sz w:val="20"/>
          <w:szCs w:val="20"/>
          <w:color w:val="auto"/>
        </w:rPr>
      </w:pPr>
      <w:r>
        <w:rPr>
          <w:rFonts w:ascii="Arial" w:cs="Arial" w:eastAsia="Arial" w:hAnsi="Arial"/>
          <w:sz w:val="16"/>
          <w:szCs w:val="16"/>
          <w:color w:val="auto"/>
        </w:rPr>
        <w:t>Amounts shown for option modification compensation reflect the modification date incremental fair value resulting from the reduction of exercise prices in excess of $1.56 per share to $1.50 per share for options previously granted to the NEOs, as permitted by the 2016 Plan. Options to purchase 555,375 shares, 346,250 shares and 231,001 shares of our common stock and having pre-modification exercise prices from $1.96 per share to $10.00 per share were modified to reduce the exercise price to $1.50 per share for Mr. Singh, Dr. Snodgrass and Mr. Dotson, respectively. Options to purchase 385,000 shares of our common stock and having pre-modification exercise prices from $1.96 per share to $3.80 per share were modified to reduce the exercise price to $1.50 per share for Dr. Smith. Options to purchase 265,000 shares of our common stock and having pre-modification exercise prices from $1.96 per share to $4.27 per share were modified to reduce the exercise price to $1.50 per share for Mr. McPartland.</w:t>
      </w:r>
    </w:p>
    <w:p>
      <w:pPr>
        <w:spacing w:after="0" w:line="178" w:lineRule="exact"/>
        <w:rPr>
          <w:sz w:val="20"/>
          <w:szCs w:val="20"/>
          <w:color w:val="auto"/>
        </w:rPr>
      </w:pPr>
    </w:p>
    <w:p>
      <w:pPr>
        <w:jc w:val="both"/>
        <w:ind w:left="800" w:right="20" w:hanging="792"/>
        <w:spacing w:after="0" w:line="206" w:lineRule="auto"/>
        <w:tabs>
          <w:tab w:leader="none" w:pos="80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Amounts reported in the Bonus column reflect bonuses earned and accrued during the year ended March 31, 2019 by each NEO for attainment of performance-based objectives during that period. Bonus amounts earned during the year ended March 31, 2019 were paid to each NEO during the subsequent fiscal year.</w:t>
      </w:r>
    </w:p>
    <w:p>
      <w:pPr>
        <w:spacing w:after="0" w:line="212" w:lineRule="exact"/>
        <w:rPr>
          <w:rFonts w:ascii="Arial" w:cs="Arial" w:eastAsia="Arial" w:hAnsi="Arial"/>
          <w:sz w:val="30"/>
          <w:szCs w:val="30"/>
          <w:color w:val="auto"/>
          <w:vertAlign w:val="superscript"/>
        </w:rPr>
      </w:pPr>
    </w:p>
    <w:p>
      <w:pPr>
        <w:ind w:left="800" w:right="20"/>
        <w:spacing w:after="0" w:line="268" w:lineRule="auto"/>
        <w:rPr>
          <w:rFonts w:ascii="Arial" w:cs="Arial" w:eastAsia="Arial" w:hAnsi="Arial"/>
          <w:sz w:val="30"/>
          <w:szCs w:val="30"/>
          <w:color w:val="auto"/>
          <w:vertAlign w:val="superscript"/>
        </w:rPr>
      </w:pPr>
      <w:r>
        <w:rPr>
          <w:rFonts w:ascii="Arial" w:cs="Arial" w:eastAsia="Arial" w:hAnsi="Arial"/>
          <w:sz w:val="18"/>
          <w:szCs w:val="18"/>
          <w:color w:val="auto"/>
        </w:rPr>
        <w:t>The Compensation Committee has not yet determined or awarded a bonus to any NEO for our fiscal year ended March 31, 2020, nor have any bonus amounts been accrued as of the date of this prospectus.</w:t>
      </w:r>
    </w:p>
    <w:p>
      <w:pPr>
        <w:spacing w:after="0" w:line="185" w:lineRule="exact"/>
        <w:rPr>
          <w:rFonts w:ascii="Arial" w:cs="Arial" w:eastAsia="Arial" w:hAnsi="Arial"/>
          <w:sz w:val="30"/>
          <w:szCs w:val="30"/>
          <w:color w:val="auto"/>
          <w:vertAlign w:val="superscript"/>
        </w:rPr>
      </w:pPr>
    </w:p>
    <w:p>
      <w:pPr>
        <w:ind w:left="820"/>
        <w:spacing w:after="0"/>
        <w:rPr>
          <w:rFonts w:ascii="Arial" w:cs="Arial" w:eastAsia="Arial" w:hAnsi="Arial"/>
          <w:sz w:val="30"/>
          <w:szCs w:val="30"/>
          <w:color w:val="auto"/>
          <w:vertAlign w:val="superscript"/>
        </w:rPr>
      </w:pPr>
      <w:r>
        <w:rPr>
          <w:rFonts w:ascii="Arial" w:cs="Arial" w:eastAsia="Arial" w:hAnsi="Arial"/>
          <w:sz w:val="16"/>
          <w:szCs w:val="16"/>
          <w:color w:val="auto"/>
        </w:rPr>
        <w:t>No NEO is entitled to any perquisites or other personal benefits that, in the aggregate, are worth over $50,000 or over 10% of their base salary.</w:t>
      </w:r>
    </w:p>
    <w:p>
      <w:pPr>
        <w:sectPr>
          <w:pgSz w:w="11900" w:h="16838" w:orient="portrait"/>
          <w:cols w:equalWidth="0" w:num="1">
            <w:col w:w="11260"/>
          </w:cols>
          <w:pgMar w:left="320" w:top="13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31" w:right="319" w:bottom="1440" w:gutter="0" w:footer="0" w:header="0"/>
          <w:type w:val="continuous"/>
        </w:sectPr>
      </w:pPr>
    </w:p>
    <w:bookmarkStart w:id="32" w:name="page33"/>
    <w:bookmarkEnd w:id="3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Following the approval of our 2019 Employee Stock Purchase Plan (the </w:t>
      </w:r>
      <w:r>
        <w:rPr>
          <w:rFonts w:ascii="Arial" w:cs="Arial" w:eastAsia="Arial" w:hAnsi="Arial"/>
          <w:sz w:val="18"/>
          <w:szCs w:val="18"/>
          <w:i w:val="1"/>
          <w:iCs w:val="1"/>
          <w:color w:val="auto"/>
        </w:rPr>
        <w:t>2019 ESPP</w:t>
      </w:r>
      <w:r>
        <w:rPr>
          <w:rFonts w:ascii="Arial" w:cs="Arial" w:eastAsia="Arial" w:hAnsi="Arial"/>
          <w:sz w:val="18"/>
          <w:szCs w:val="18"/>
          <w:color w:val="auto"/>
        </w:rPr>
        <w:t>) by our stockholders in September 2019, the 2019 ESPP became operational effective January 1, 2020. Under our 2019 ESPP, shares of our common stock will be available for purchase by eligible employees, including our NEO’s, who participate in the plan. Eligible employees will be entitled to purchase, by means of payroll deductions, limited amounts of our common stock at a discount to the market price during periodic option periods under the 2019 ESPP. At March 31, 2020, no option period had been completed under the 2019 ESPP.</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Warrants and Options at March 31, 2020</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following table provides information regarding each unexercised stock option and warrant to purchase shares of our common stock held by each of the named executive officers as of March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Stock Options and Warrants</w:t>
            </w: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1"/>
              </w:rPr>
              <w:t>Number of</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180"/>
              <w:spacing w:after="0" w:line="201" w:lineRule="exact"/>
              <w:rPr>
                <w:sz w:val="20"/>
                <w:szCs w:val="20"/>
                <w:color w:val="auto"/>
              </w:rPr>
            </w:pPr>
            <w:r>
              <w:rPr>
                <w:rFonts w:ascii="Arial" w:cs="Arial" w:eastAsia="Arial" w:hAnsi="Arial"/>
                <w:sz w:val="18"/>
                <w:szCs w:val="18"/>
                <w:b w:val="1"/>
                <w:bCs w:val="1"/>
                <w:color w:val="auto"/>
                <w:w w:val="88"/>
              </w:rPr>
              <w:t>Number of</w:t>
            </w: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Securities</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Underlying</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Underlying</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Unexercised</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Options and</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Options and</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Warrants</w:t>
            </w:r>
          </w:p>
        </w:tc>
        <w:tc>
          <w:tcPr>
            <w:tcW w:w="60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Exercise</w:t>
            </w: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0"/>
              </w:rPr>
              <w:t>(#)</w:t>
            </w:r>
          </w:p>
        </w:tc>
        <w:tc>
          <w:tcPr>
            <w:tcW w:w="620" w:type="dxa"/>
            <w:vAlign w:val="bottom"/>
          </w:tcPr>
          <w:p>
            <w:pPr>
              <w:spacing w:after="0"/>
              <w:rPr>
                <w:sz w:val="16"/>
                <w:szCs w:val="16"/>
                <w:color w:val="auto"/>
              </w:rPr>
            </w:pPr>
          </w:p>
        </w:tc>
        <w:tc>
          <w:tcPr>
            <w:tcW w:w="1160" w:type="dxa"/>
            <w:vAlign w:val="bottom"/>
            <w:gridSpan w:val="2"/>
          </w:tcPr>
          <w:p>
            <w:pPr>
              <w:jc w:val="center"/>
              <w:ind w:left="32"/>
              <w:spacing w:after="0" w:line="189" w:lineRule="exact"/>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gridSpan w:val="3"/>
          </w:tcPr>
          <w:p>
            <w:pPr>
              <w:jc w:val="center"/>
              <w:ind w:right="140"/>
              <w:spacing w:after="0" w:line="189" w:lineRule="exact"/>
              <w:rPr>
                <w:sz w:val="20"/>
                <w:szCs w:val="20"/>
                <w:color w:val="auto"/>
              </w:rPr>
            </w:pPr>
            <w:r>
              <w:rPr>
                <w:rFonts w:ascii="Arial" w:cs="Arial" w:eastAsia="Arial" w:hAnsi="Arial"/>
                <w:sz w:val="18"/>
                <w:szCs w:val="18"/>
                <w:b w:val="1"/>
                <w:bCs w:val="1"/>
                <w:color w:val="auto"/>
                <w:w w:val="90"/>
              </w:rPr>
              <w:t>Price</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4680" w:type="dxa"/>
            <w:vAlign w:val="bottom"/>
            <w:gridSpan w:val="2"/>
          </w:tcPr>
          <w:p>
            <w:pPr>
              <w:ind w:left="1820"/>
              <w:spacing w:after="0"/>
              <w:rPr>
                <w:sz w:val="20"/>
                <w:szCs w:val="20"/>
                <w:color w:val="auto"/>
              </w:rPr>
            </w:pPr>
            <w:r>
              <w:rPr>
                <w:rFonts w:ascii="Arial" w:cs="Arial" w:eastAsia="Arial" w:hAnsi="Arial"/>
                <w:sz w:val="18"/>
                <w:szCs w:val="18"/>
                <w:b w:val="1"/>
                <w:bCs w:val="1"/>
                <w:color w:val="auto"/>
              </w:rPr>
              <w:t>Name</w:t>
            </w:r>
          </w:p>
        </w:tc>
        <w:tc>
          <w:tcPr>
            <w:tcW w:w="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5"/>
              </w:rPr>
              <w:t>Exercisable</w:t>
            </w:r>
          </w:p>
        </w:tc>
        <w:tc>
          <w:tcPr>
            <w:tcW w:w="620" w:type="dxa"/>
            <w:vAlign w:val="bottom"/>
          </w:tcPr>
          <w:p>
            <w:pPr>
              <w:spacing w:after="0"/>
              <w:rPr>
                <w:sz w:val="22"/>
                <w:szCs w:val="22"/>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6"/>
              </w:rPr>
              <w:t>Unexercisable</w:t>
            </w:r>
          </w:p>
        </w:tc>
        <w:tc>
          <w:tcPr>
            <w:tcW w:w="6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Date</w:t>
            </w: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080" w:type="dxa"/>
            <w:vAlign w:val="bottom"/>
            <w:tcBorders>
              <w:top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Shawn K. Singh</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4/26/2021</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9/2/2020</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187,500</w:t>
            </w:r>
          </w:p>
        </w:tc>
        <w:tc>
          <w:tcPr>
            <w:tcW w:w="620" w:type="dxa"/>
            <w:vAlign w:val="bottom"/>
          </w:tcPr>
          <w:p>
            <w:pPr>
              <w:ind w:left="280"/>
              <w:spacing w:after="0"/>
              <w:rPr>
                <w:sz w:val="20"/>
                <w:szCs w:val="20"/>
                <w:color w:val="auto"/>
              </w:rPr>
            </w:pPr>
            <w:r>
              <w:rPr>
                <w:rFonts w:ascii="Arial" w:cs="Arial" w:eastAsia="Arial" w:hAnsi="Arial"/>
                <w:sz w:val="12"/>
                <w:szCs w:val="12"/>
                <w:color w:val="auto"/>
              </w:rPr>
              <w:t>(1)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(1)</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6/19/2026</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11/9/2026</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170,138</w:t>
            </w:r>
          </w:p>
        </w:tc>
        <w:tc>
          <w:tcPr>
            <w:tcW w:w="620" w:type="dxa"/>
            <w:vAlign w:val="bottom"/>
          </w:tcPr>
          <w:p>
            <w:pPr>
              <w:ind w:left="280"/>
              <w:spacing w:after="0"/>
              <w:rPr>
                <w:sz w:val="20"/>
                <w:szCs w:val="20"/>
                <w:color w:val="auto"/>
              </w:rPr>
            </w:pPr>
            <w:r>
              <w:rPr>
                <w:rFonts w:ascii="Arial" w:cs="Arial" w:eastAsia="Arial" w:hAnsi="Arial"/>
                <w:sz w:val="12"/>
                <w:szCs w:val="12"/>
                <w:color w:val="auto"/>
              </w:rPr>
              <w:t>(3)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4,862</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(3)</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4/26/2027</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9/19/2027</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2/2/2028</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151,250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68,750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1/14/2029</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58,335</w:t>
            </w:r>
          </w:p>
        </w:tc>
        <w:tc>
          <w:tcPr>
            <w:tcW w:w="620" w:type="dxa"/>
            <w:vAlign w:val="bottom"/>
          </w:tcPr>
          <w:p>
            <w:pPr>
              <w:ind w:left="280"/>
              <w:spacing w:after="0"/>
              <w:rPr>
                <w:sz w:val="20"/>
                <w:szCs w:val="20"/>
                <w:color w:val="auto"/>
              </w:rPr>
            </w:pPr>
            <w:r>
              <w:rPr>
                <w:rFonts w:ascii="Arial" w:cs="Arial" w:eastAsia="Arial" w:hAnsi="Arial"/>
                <w:sz w:val="12"/>
                <w:szCs w:val="12"/>
                <w:color w:val="auto"/>
              </w:rPr>
              <w:t>(7)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21,665</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(7)</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5/23/2029</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63,750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106,250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9/5/2029</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121,875</w:t>
            </w:r>
          </w:p>
        </w:tc>
        <w:tc>
          <w:tcPr>
            <w:tcW w:w="620" w:type="dxa"/>
            <w:vAlign w:val="bottom"/>
          </w:tcPr>
          <w:p>
            <w:pPr>
              <w:ind w:left="280"/>
              <w:spacing w:after="0"/>
              <w:rPr>
                <w:sz w:val="20"/>
                <w:szCs w:val="20"/>
                <w:color w:val="auto"/>
              </w:rPr>
            </w:pPr>
            <w:r>
              <w:rPr>
                <w:rFonts w:ascii="Arial" w:cs="Arial" w:eastAsia="Arial" w:hAnsi="Arial"/>
                <w:sz w:val="12"/>
                <w:szCs w:val="12"/>
                <w:color w:val="auto"/>
              </w:rPr>
              <w:t>(10)</w:t>
            </w:r>
          </w:p>
        </w:tc>
        <w:tc>
          <w:tcPr>
            <w:tcW w:w="1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178,125</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10/21/2029</w:t>
            </w: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ind w:left="100"/>
              <w:spacing w:after="0"/>
              <w:rPr>
                <w:sz w:val="20"/>
                <w:szCs w:val="20"/>
                <w:color w:val="auto"/>
              </w:rPr>
            </w:pPr>
            <w:r>
              <w:rPr>
                <w:rFonts w:ascii="Arial" w:cs="Arial" w:eastAsia="Arial" w:hAnsi="Arial"/>
                <w:sz w:val="18"/>
                <w:szCs w:val="18"/>
                <w:i w:val="1"/>
                <w:iCs w:val="1"/>
                <w:color w:val="auto"/>
              </w:rPr>
              <w:t>Total:</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1,604,848</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392,152</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 Ralph Snodgrass, Ph.D.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9/20/2020</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117,187</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6/19/2026</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620" w:type="dxa"/>
            <w:vAlign w:val="bottom"/>
          </w:tcPr>
          <w:p>
            <w:pPr>
              <w:ind w:left="280"/>
              <w:spacing w:after="0"/>
              <w:rPr>
                <w:sz w:val="20"/>
                <w:szCs w:val="20"/>
                <w:color w:val="auto"/>
              </w:rPr>
            </w:pPr>
            <w:r>
              <w:rPr>
                <w:rFonts w:ascii="Arial" w:cs="Arial" w:eastAsia="Arial" w:hAnsi="Arial"/>
                <w:sz w:val="12"/>
                <w:szCs w:val="12"/>
                <w:color w:val="auto"/>
              </w:rPr>
              <w:t>(2)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11/9/2026</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121,527</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4/26/2027</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9/19/2027</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2/2/2028</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105,468</w:t>
            </w:r>
          </w:p>
        </w:tc>
        <w:tc>
          <w:tcPr>
            <w:tcW w:w="620" w:type="dxa"/>
            <w:vAlign w:val="bottom"/>
          </w:tcPr>
          <w:p>
            <w:pPr>
              <w:ind w:left="280"/>
              <w:spacing w:after="0"/>
              <w:rPr>
                <w:sz w:val="20"/>
                <w:szCs w:val="20"/>
                <w:color w:val="auto"/>
              </w:rPr>
            </w:pPr>
            <w:r>
              <w:rPr>
                <w:rFonts w:ascii="Arial" w:cs="Arial" w:eastAsia="Arial" w:hAnsi="Arial"/>
                <w:sz w:val="12"/>
                <w:szCs w:val="12"/>
                <w:color w:val="auto"/>
              </w:rPr>
              <w:t>(5)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19,532</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(4)</w:t>
            </w: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8/5/2028</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68,750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5/23/2029</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71,094</w:t>
            </w:r>
          </w:p>
        </w:tc>
        <w:tc>
          <w:tcPr>
            <w:tcW w:w="620" w:type="dxa"/>
            <w:vAlign w:val="bottom"/>
          </w:tcPr>
          <w:p>
            <w:pPr>
              <w:ind w:left="280"/>
              <w:spacing w:after="0"/>
              <w:rPr>
                <w:sz w:val="20"/>
                <w:szCs w:val="20"/>
                <w:color w:val="auto"/>
              </w:rPr>
            </w:pPr>
            <w:r>
              <w:rPr>
                <w:rFonts w:ascii="Arial" w:cs="Arial" w:eastAsia="Arial" w:hAnsi="Arial"/>
                <w:sz w:val="12"/>
                <w:szCs w:val="12"/>
                <w:color w:val="auto"/>
              </w:rPr>
              <w:t>(10)</w:t>
            </w:r>
          </w:p>
        </w:tc>
        <w:tc>
          <w:tcPr>
            <w:tcW w:w="1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103,906</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10/21/2029</w:t>
            </w: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ind w:left="100"/>
              <w:spacing w:after="0"/>
              <w:rPr>
                <w:sz w:val="20"/>
                <w:szCs w:val="20"/>
                <w:color w:val="auto"/>
              </w:rPr>
            </w:pPr>
            <w:r>
              <w:rPr>
                <w:rFonts w:ascii="Arial" w:cs="Arial" w:eastAsia="Arial" w:hAnsi="Arial"/>
                <w:sz w:val="18"/>
                <w:szCs w:val="18"/>
                <w:i w:val="1"/>
                <w:iCs w:val="1"/>
                <w:color w:val="auto"/>
              </w:rPr>
              <w:t>Total:</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1,039,026</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215,974</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Mark A. Smith, M.D. Ph.D.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168,750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6/19/2026</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620" w:type="dxa"/>
            <w:vAlign w:val="bottom"/>
          </w:tcPr>
          <w:p>
            <w:pPr>
              <w:ind w:left="280"/>
              <w:spacing w:after="0"/>
              <w:rPr>
                <w:sz w:val="20"/>
                <w:szCs w:val="20"/>
                <w:color w:val="auto"/>
              </w:rPr>
            </w:pPr>
            <w:r>
              <w:rPr>
                <w:rFonts w:ascii="Arial" w:cs="Arial" w:eastAsia="Arial" w:hAnsi="Arial"/>
                <w:sz w:val="12"/>
                <w:szCs w:val="12"/>
                <w:color w:val="auto"/>
              </w:rPr>
              <w:t>(2)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11/9/2026</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121,527</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4/26/2027</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9/19/2027</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2/2/2028</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84,375</w:t>
            </w:r>
          </w:p>
        </w:tc>
        <w:tc>
          <w:tcPr>
            <w:tcW w:w="620" w:type="dxa"/>
            <w:vAlign w:val="bottom"/>
          </w:tcPr>
          <w:p>
            <w:pPr>
              <w:ind w:left="280"/>
              <w:spacing w:after="0"/>
              <w:rPr>
                <w:sz w:val="20"/>
                <w:szCs w:val="20"/>
                <w:color w:val="auto"/>
              </w:rPr>
            </w:pPr>
            <w:r>
              <w:rPr>
                <w:rFonts w:ascii="Arial" w:cs="Arial" w:eastAsia="Arial" w:hAnsi="Arial"/>
                <w:sz w:val="12"/>
                <w:szCs w:val="12"/>
                <w:color w:val="auto"/>
              </w:rPr>
              <w:t>(5)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15,625</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8/5/2028</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68,750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5/23/2029</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40,625</w:t>
            </w:r>
          </w:p>
        </w:tc>
        <w:tc>
          <w:tcPr>
            <w:tcW w:w="620" w:type="dxa"/>
            <w:vAlign w:val="bottom"/>
          </w:tcPr>
          <w:p>
            <w:pPr>
              <w:ind w:left="280"/>
              <w:spacing w:after="0"/>
              <w:rPr>
                <w:sz w:val="20"/>
                <w:szCs w:val="20"/>
                <w:color w:val="auto"/>
              </w:rPr>
            </w:pPr>
            <w:r>
              <w:rPr>
                <w:rFonts w:ascii="Arial" w:cs="Arial" w:eastAsia="Arial" w:hAnsi="Arial"/>
                <w:sz w:val="12"/>
                <w:szCs w:val="12"/>
                <w:color w:val="auto"/>
              </w:rPr>
              <w:t>(10)</w:t>
            </w:r>
          </w:p>
        </w:tc>
        <w:tc>
          <w:tcPr>
            <w:tcW w:w="1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59,375</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10/21/2029</w:t>
            </w: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ind w:left="100"/>
              <w:spacing w:after="0"/>
              <w:rPr>
                <w:sz w:val="20"/>
                <w:szCs w:val="20"/>
                <w:color w:val="auto"/>
              </w:rPr>
            </w:pPr>
            <w:r>
              <w:rPr>
                <w:rFonts w:ascii="Arial" w:cs="Arial" w:eastAsia="Arial" w:hAnsi="Arial"/>
                <w:sz w:val="18"/>
                <w:szCs w:val="18"/>
                <w:i w:val="1"/>
                <w:iCs w:val="1"/>
                <w:color w:val="auto"/>
              </w:rPr>
              <w:t>Total:</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864,027</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170,973</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Jerrold D. Dotson</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10/30/2022</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10/27/2023</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9/2/2020</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70,312</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6/19/2026</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20" w:type="dxa"/>
            <w:vAlign w:val="bottom"/>
          </w:tcPr>
          <w:p>
            <w:pPr>
              <w:ind w:left="280"/>
              <w:spacing w:after="0"/>
              <w:rPr>
                <w:sz w:val="20"/>
                <w:szCs w:val="20"/>
                <w:color w:val="auto"/>
              </w:rPr>
            </w:pPr>
            <w:r>
              <w:rPr>
                <w:rFonts w:ascii="Arial" w:cs="Arial" w:eastAsia="Arial" w:hAnsi="Arial"/>
                <w:sz w:val="12"/>
                <w:szCs w:val="12"/>
                <w:color w:val="auto"/>
              </w:rPr>
              <w:t>(2)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11/9/2026</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97,222</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4/26/2027</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9/19/2027</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2/2/2028</w:t>
            </w:r>
          </w:p>
        </w:tc>
        <w:tc>
          <w:tcPr>
            <w:tcW w:w="0" w:type="dxa"/>
            <w:vAlign w:val="bottom"/>
          </w:tcPr>
          <w:p>
            <w:pPr>
              <w:spacing w:after="0"/>
              <w:rPr>
                <w:sz w:val="1"/>
                <w:szCs w:val="1"/>
                <w:color w:val="auto"/>
              </w:rPr>
            </w:pPr>
          </w:p>
        </w:tc>
      </w:tr>
      <w:tr>
        <w:trPr>
          <w:trHeight w:val="242"/>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84,375</w:t>
            </w:r>
          </w:p>
        </w:tc>
        <w:tc>
          <w:tcPr>
            <w:tcW w:w="620" w:type="dxa"/>
            <w:vAlign w:val="bottom"/>
          </w:tcPr>
          <w:p>
            <w:pPr>
              <w:ind w:left="280"/>
              <w:spacing w:after="0"/>
              <w:rPr>
                <w:sz w:val="20"/>
                <w:szCs w:val="20"/>
                <w:color w:val="auto"/>
              </w:rPr>
            </w:pPr>
            <w:r>
              <w:rPr>
                <w:rFonts w:ascii="Arial" w:cs="Arial" w:eastAsia="Arial" w:hAnsi="Arial"/>
                <w:sz w:val="12"/>
                <w:szCs w:val="12"/>
                <w:color w:val="auto"/>
              </w:rPr>
              <w:t>(5)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15,625</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8/5/2028</w:t>
            </w:r>
          </w:p>
        </w:tc>
        <w:tc>
          <w:tcPr>
            <w:tcW w:w="0" w:type="dxa"/>
            <w:vAlign w:val="bottom"/>
          </w:tcPr>
          <w:p>
            <w:pPr>
              <w:spacing w:after="0"/>
              <w:rPr>
                <w:sz w:val="1"/>
                <w:szCs w:val="1"/>
                <w:color w:val="auto"/>
              </w:rPr>
            </w:pPr>
          </w:p>
        </w:tc>
      </w:tr>
      <w:tr>
        <w:trPr>
          <w:trHeight w:val="244"/>
        </w:trPr>
        <w:tc>
          <w:tcPr>
            <w:tcW w:w="520" w:type="dxa"/>
            <w:vAlign w:val="bottom"/>
            <w:shd w:val="clear" w:color="auto" w:fill="CCEEFF"/>
          </w:tcPr>
          <w:p>
            <w:pPr>
              <w:spacing w:after="0"/>
              <w:rPr>
                <w:sz w:val="21"/>
                <w:szCs w:val="21"/>
                <w:color w:val="auto"/>
              </w:rPr>
            </w:pPr>
          </w:p>
        </w:tc>
        <w:tc>
          <w:tcPr>
            <w:tcW w:w="40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68,750</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5/23/2029</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60,938</w:t>
            </w:r>
          </w:p>
        </w:tc>
        <w:tc>
          <w:tcPr>
            <w:tcW w:w="620" w:type="dxa"/>
            <w:vAlign w:val="bottom"/>
          </w:tcPr>
          <w:p>
            <w:pPr>
              <w:ind w:left="280"/>
              <w:spacing w:after="0"/>
              <w:rPr>
                <w:sz w:val="20"/>
                <w:szCs w:val="20"/>
                <w:color w:val="auto"/>
              </w:rPr>
            </w:pPr>
            <w:r>
              <w:rPr>
                <w:rFonts w:ascii="Arial" w:cs="Arial" w:eastAsia="Arial" w:hAnsi="Arial"/>
                <w:sz w:val="12"/>
                <w:szCs w:val="12"/>
                <w:color w:val="auto"/>
              </w:rPr>
              <w:t>(10)</w:t>
            </w:r>
          </w:p>
        </w:tc>
        <w:tc>
          <w:tcPr>
            <w:tcW w:w="1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89,062</w:t>
            </w:r>
          </w:p>
        </w:tc>
        <w:tc>
          <w:tcPr>
            <w:tcW w:w="160" w:type="dxa"/>
            <w:vAlign w:val="bottom"/>
          </w:tcPr>
          <w:p>
            <w:pPr>
              <w:spacing w:after="0"/>
              <w:rPr>
                <w:sz w:val="21"/>
                <w:szCs w:val="21"/>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10/21/2029</w:t>
            </w: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ind w:left="60"/>
              <w:spacing w:after="0"/>
              <w:rPr>
                <w:sz w:val="20"/>
                <w:szCs w:val="20"/>
                <w:color w:val="auto"/>
              </w:rPr>
            </w:pPr>
            <w:r>
              <w:rPr>
                <w:rFonts w:ascii="Arial" w:cs="Arial" w:eastAsia="Arial" w:hAnsi="Arial"/>
                <w:sz w:val="18"/>
                <w:szCs w:val="18"/>
                <w:i w:val="1"/>
                <w:iCs w:val="1"/>
                <w:color w:val="auto"/>
              </w:rPr>
              <w:t>Total:</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847,598</w:t>
            </w:r>
          </w:p>
        </w:tc>
        <w:tc>
          <w:tcPr>
            <w:tcW w:w="6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193,403</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Mark A. McPartland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109,375</w:t>
            </w:r>
          </w:p>
        </w:tc>
        <w:tc>
          <w:tcPr>
            <w:tcW w:w="620" w:type="dxa"/>
            <w:vAlign w:val="bottom"/>
            <w:shd w:val="clear" w:color="auto" w:fill="CCEEFF"/>
          </w:tcPr>
          <w:p>
            <w:pPr>
              <w:ind w:left="280"/>
              <w:spacing w:after="0"/>
              <w:rPr>
                <w:sz w:val="20"/>
                <w:szCs w:val="20"/>
                <w:color w:val="auto"/>
              </w:rPr>
            </w:pPr>
            <w:r>
              <w:rPr>
                <w:rFonts w:ascii="Arial" w:cs="Arial" w:eastAsia="Arial" w:hAnsi="Arial"/>
                <w:sz w:val="12"/>
                <w:szCs w:val="12"/>
                <w:color w:val="auto"/>
              </w:rPr>
              <w:t>(6)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9/29/2026</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1" w:right="3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w:t>
            </w:r>
          </w:p>
        </w:tc>
        <w:tc>
          <w:tcPr>
            <w:tcW w:w="760" w:type="dxa"/>
            <w:vAlign w:val="bottom"/>
          </w:tcPr>
          <w:p>
            <w:pPr>
              <w:ind w:left="280"/>
              <w:spacing w:after="0"/>
              <w:rPr>
                <w:sz w:val="20"/>
                <w:szCs w:val="20"/>
                <w:color w:val="auto"/>
              </w:rPr>
            </w:pPr>
            <w:r>
              <w:rPr>
                <w:rFonts w:ascii="Arial" w:cs="Arial" w:eastAsia="Arial" w:hAnsi="Arial"/>
                <w:sz w:val="12"/>
                <w:szCs w:val="12"/>
                <w:color w:val="auto"/>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ind w:left="300"/>
              <w:spacing w:after="0"/>
              <w:rPr>
                <w:sz w:val="20"/>
                <w:szCs w:val="20"/>
                <w:color w:val="auto"/>
              </w:rPr>
            </w:pPr>
            <w:r>
              <w:rPr>
                <w:rFonts w:ascii="Arial" w:cs="Arial" w:eastAsia="Arial" w:hAnsi="Arial"/>
                <w:sz w:val="12"/>
                <w:szCs w:val="12"/>
                <w:color w:val="auto"/>
              </w:rPr>
              <w:t>(6)</w:t>
            </w: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1420" w:type="dxa"/>
            <w:vAlign w:val="bottom"/>
          </w:tcPr>
          <w:p>
            <w:pPr>
              <w:jc w:val="center"/>
              <w:ind w:left="32"/>
              <w:spacing w:after="0"/>
              <w:rPr>
                <w:sz w:val="20"/>
                <w:szCs w:val="20"/>
                <w:color w:val="auto"/>
              </w:rPr>
            </w:pPr>
            <w:r>
              <w:rPr>
                <w:rFonts w:ascii="Arial" w:cs="Arial" w:eastAsia="Arial" w:hAnsi="Arial"/>
                <w:sz w:val="18"/>
                <w:szCs w:val="18"/>
                <w:color w:val="auto"/>
                <w:w w:val="87"/>
              </w:rPr>
              <w:t>11/9/2026</w:t>
            </w:r>
          </w:p>
        </w:tc>
      </w:tr>
      <w:tr>
        <w:trPr>
          <w:trHeight w:val="252"/>
        </w:trPr>
        <w:tc>
          <w:tcPr>
            <w:tcW w:w="5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97,222</w:t>
            </w:r>
          </w:p>
        </w:tc>
        <w:tc>
          <w:tcPr>
            <w:tcW w:w="7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7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7"/>
              </w:rPr>
              <w:t>4/26/2027</w:t>
            </w:r>
          </w:p>
        </w:tc>
      </w:tr>
      <w:tr>
        <w:trPr>
          <w:trHeight w:val="242"/>
        </w:trPr>
        <w:tc>
          <w:tcPr>
            <w:tcW w:w="5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50,000</w:t>
            </w:r>
          </w:p>
        </w:tc>
        <w:tc>
          <w:tcPr>
            <w:tcW w:w="7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1420" w:type="dxa"/>
            <w:vAlign w:val="bottom"/>
          </w:tcPr>
          <w:p>
            <w:pPr>
              <w:jc w:val="center"/>
              <w:ind w:left="32"/>
              <w:spacing w:after="0"/>
              <w:rPr>
                <w:sz w:val="20"/>
                <w:szCs w:val="20"/>
                <w:color w:val="auto"/>
              </w:rPr>
            </w:pPr>
            <w:r>
              <w:rPr>
                <w:rFonts w:ascii="Arial" w:cs="Arial" w:eastAsia="Arial" w:hAnsi="Arial"/>
                <w:sz w:val="18"/>
                <w:szCs w:val="18"/>
                <w:color w:val="auto"/>
                <w:w w:val="87"/>
              </w:rPr>
              <w:t>9/19/2027</w:t>
            </w:r>
          </w:p>
        </w:tc>
      </w:tr>
      <w:tr>
        <w:trPr>
          <w:trHeight w:val="244"/>
        </w:trPr>
        <w:tc>
          <w:tcPr>
            <w:tcW w:w="5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7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8"/>
              </w:rPr>
              <w:t>2/2/2028</w:t>
            </w:r>
          </w:p>
        </w:tc>
      </w:tr>
      <w:tr>
        <w:trPr>
          <w:trHeight w:val="242"/>
        </w:trPr>
        <w:tc>
          <w:tcPr>
            <w:tcW w:w="5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126,562</w:t>
            </w:r>
          </w:p>
        </w:tc>
        <w:tc>
          <w:tcPr>
            <w:tcW w:w="760" w:type="dxa"/>
            <w:vAlign w:val="bottom"/>
          </w:tcPr>
          <w:p>
            <w:pPr>
              <w:ind w:left="280"/>
              <w:spacing w:after="0"/>
              <w:rPr>
                <w:sz w:val="20"/>
                <w:szCs w:val="20"/>
                <w:color w:val="auto"/>
              </w:rPr>
            </w:pPr>
            <w:r>
              <w:rPr>
                <w:rFonts w:ascii="Arial" w:cs="Arial" w:eastAsia="Arial" w:hAnsi="Arial"/>
                <w:sz w:val="12"/>
                <w:szCs w:val="12"/>
                <w:color w:val="auto"/>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23,438</w:t>
            </w:r>
          </w:p>
        </w:tc>
        <w:tc>
          <w:tcPr>
            <w:tcW w:w="760" w:type="dxa"/>
            <w:vAlign w:val="bottom"/>
          </w:tcPr>
          <w:p>
            <w:pPr>
              <w:ind w:left="300"/>
              <w:spacing w:after="0"/>
              <w:rPr>
                <w:sz w:val="20"/>
                <w:szCs w:val="20"/>
                <w:color w:val="auto"/>
              </w:rPr>
            </w:pPr>
            <w:r>
              <w:rPr>
                <w:rFonts w:ascii="Arial" w:cs="Arial" w:eastAsia="Arial" w:hAnsi="Arial"/>
                <w:sz w:val="12"/>
                <w:szCs w:val="12"/>
                <w:color w:val="auto"/>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1420" w:type="dxa"/>
            <w:vAlign w:val="bottom"/>
          </w:tcPr>
          <w:p>
            <w:pPr>
              <w:jc w:val="center"/>
              <w:ind w:left="32"/>
              <w:spacing w:after="0"/>
              <w:rPr>
                <w:sz w:val="20"/>
                <w:szCs w:val="20"/>
                <w:color w:val="auto"/>
              </w:rPr>
            </w:pPr>
            <w:r>
              <w:rPr>
                <w:rFonts w:ascii="Arial" w:cs="Arial" w:eastAsia="Arial" w:hAnsi="Arial"/>
                <w:sz w:val="18"/>
                <w:szCs w:val="18"/>
                <w:color w:val="auto"/>
                <w:w w:val="88"/>
              </w:rPr>
              <w:t>8/5/2028</w:t>
            </w:r>
          </w:p>
        </w:tc>
      </w:tr>
      <w:tr>
        <w:trPr>
          <w:trHeight w:val="244"/>
        </w:trPr>
        <w:tc>
          <w:tcPr>
            <w:tcW w:w="5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68,750</w:t>
            </w:r>
          </w:p>
        </w:tc>
        <w:tc>
          <w:tcPr>
            <w:tcW w:w="7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7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2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7"/>
              </w:rPr>
              <w:t>5/23/2029</w:t>
            </w:r>
          </w:p>
        </w:tc>
      </w:tr>
      <w:tr>
        <w:trPr>
          <w:trHeight w:val="250"/>
        </w:trPr>
        <w:tc>
          <w:tcPr>
            <w:tcW w:w="524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40,625</w:t>
            </w:r>
          </w:p>
        </w:tc>
        <w:tc>
          <w:tcPr>
            <w:tcW w:w="760" w:type="dxa"/>
            <w:vAlign w:val="bottom"/>
          </w:tcPr>
          <w:p>
            <w:pPr>
              <w:ind w:left="280"/>
              <w:spacing w:after="0"/>
              <w:rPr>
                <w:sz w:val="20"/>
                <w:szCs w:val="20"/>
                <w:color w:val="auto"/>
              </w:rPr>
            </w:pPr>
            <w:r>
              <w:rPr>
                <w:rFonts w:ascii="Arial" w:cs="Arial" w:eastAsia="Arial" w:hAnsi="Arial"/>
                <w:sz w:val="12"/>
                <w:szCs w:val="12"/>
                <w:color w:val="auto"/>
              </w:rPr>
              <w:t>(10)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59,375</w:t>
            </w:r>
          </w:p>
        </w:tc>
        <w:tc>
          <w:tcPr>
            <w:tcW w:w="760" w:type="dxa"/>
            <w:vAlign w:val="bottom"/>
          </w:tcPr>
          <w:p>
            <w:pPr>
              <w:ind w:left="300"/>
              <w:spacing w:after="0"/>
              <w:rPr>
                <w:sz w:val="20"/>
                <w:szCs w:val="20"/>
                <w:color w:val="auto"/>
              </w:rPr>
            </w:pPr>
            <w:r>
              <w:rPr>
                <w:rFonts w:ascii="Arial" w:cs="Arial" w:eastAsia="Arial" w:hAnsi="Arial"/>
                <w:sz w:val="12"/>
                <w:szCs w:val="12"/>
                <w:color w:val="auto"/>
              </w:rPr>
              <w:t>(10)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420" w:type="dxa"/>
            <w:vAlign w:val="bottom"/>
          </w:tcPr>
          <w:p>
            <w:pPr>
              <w:jc w:val="center"/>
              <w:ind w:left="52"/>
              <w:spacing w:after="0"/>
              <w:rPr>
                <w:sz w:val="20"/>
                <w:szCs w:val="20"/>
                <w:color w:val="auto"/>
              </w:rPr>
            </w:pPr>
            <w:r>
              <w:rPr>
                <w:rFonts w:ascii="Arial" w:cs="Arial" w:eastAsia="Arial" w:hAnsi="Arial"/>
                <w:sz w:val="18"/>
                <w:szCs w:val="18"/>
                <w:color w:val="auto"/>
                <w:w w:val="88"/>
              </w:rPr>
              <w:t>10/21/2029</w:t>
            </w:r>
          </w:p>
        </w:tc>
      </w:tr>
      <w:tr>
        <w:trPr>
          <w:trHeight w:val="243"/>
        </w:trPr>
        <w:tc>
          <w:tcPr>
            <w:tcW w:w="524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Total: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682,534</w:t>
            </w:r>
          </w:p>
        </w:tc>
        <w:tc>
          <w:tcPr>
            <w:tcW w:w="7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182,466</w:t>
            </w:r>
          </w:p>
        </w:tc>
        <w:tc>
          <w:tcPr>
            <w:tcW w:w="7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left="800" w:hanging="792"/>
        <w:spacing w:after="0" w:line="216" w:lineRule="auto"/>
        <w:tabs>
          <w:tab w:leader="none" w:pos="80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Represents an option to purchase shares of our common stock at $3.49 per share granted on June 19, 2016 when the market price of our common stock was $3.49 per share. The option became exercisable for 25% of the shares granted on June 19, 2017 with the remaining shares becoming exercisable ratably monthly through June 19, 2020, when all shares granted will be fully exercisable. The exercise price of the option was reduced to $1.50 per share on August 29, 2018.</w:t>
      </w:r>
    </w:p>
    <w:p>
      <w:pPr>
        <w:spacing w:after="0" w:line="210" w:lineRule="exact"/>
        <w:rPr>
          <w:rFonts w:ascii="Arial" w:cs="Arial" w:eastAsia="Arial" w:hAnsi="Arial"/>
          <w:sz w:val="30"/>
          <w:szCs w:val="30"/>
          <w:color w:val="auto"/>
          <w:vertAlign w:val="superscript"/>
        </w:rPr>
      </w:pPr>
    </w:p>
    <w:p>
      <w:pPr>
        <w:jc w:val="both"/>
        <w:ind w:left="800" w:hanging="792"/>
        <w:spacing w:after="0" w:line="206" w:lineRule="auto"/>
        <w:tabs>
          <w:tab w:leader="none" w:pos="80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Represents an option to purchase shares of our common stock at $3.80 per share granted on November 9, 2016 when the market price of our common stock was $3.80 per share. All shares granted are now fully exercisable. The exercise price of the option was reduced to $1.50 per share on August 29, 2018.</w:t>
      </w:r>
    </w:p>
    <w:p>
      <w:pPr>
        <w:spacing w:after="0" w:line="212" w:lineRule="exact"/>
        <w:rPr>
          <w:rFonts w:ascii="Arial" w:cs="Arial" w:eastAsia="Arial" w:hAnsi="Arial"/>
          <w:sz w:val="30"/>
          <w:szCs w:val="30"/>
          <w:color w:val="auto"/>
          <w:vertAlign w:val="superscript"/>
        </w:rPr>
      </w:pPr>
    </w:p>
    <w:p>
      <w:pPr>
        <w:jc w:val="both"/>
        <w:ind w:left="800" w:hanging="792"/>
        <w:spacing w:after="0" w:line="206" w:lineRule="auto"/>
        <w:tabs>
          <w:tab w:leader="none" w:pos="80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Represents an option to purchase shares of our common stock at $1.96 per share granted on April 26, 2017 when the market price of our common stock was $1.96 per share. All shares granted are now fully exercisable. The exercise price of the option was reduced to $1.50 per share on August 29, 2018.</w:t>
      </w:r>
    </w:p>
    <w:p>
      <w:pPr>
        <w:spacing w:after="0" w:line="212" w:lineRule="exact"/>
        <w:rPr>
          <w:rFonts w:ascii="Arial" w:cs="Arial" w:eastAsia="Arial" w:hAnsi="Arial"/>
          <w:sz w:val="30"/>
          <w:szCs w:val="30"/>
          <w:color w:val="auto"/>
          <w:vertAlign w:val="superscript"/>
        </w:rPr>
      </w:pPr>
    </w:p>
    <w:p>
      <w:pPr>
        <w:jc w:val="both"/>
        <w:ind w:left="800" w:hanging="792"/>
        <w:spacing w:after="0" w:line="216" w:lineRule="auto"/>
        <w:tabs>
          <w:tab w:leader="none" w:pos="800" w:val="left"/>
        </w:tabs>
        <w:numPr>
          <w:ilvl w:val="0"/>
          <w:numId w:val="14"/>
        </w:numPr>
        <w:rPr>
          <w:rFonts w:ascii="Arial" w:cs="Arial" w:eastAsia="Arial" w:hAnsi="Arial"/>
          <w:sz w:val="29"/>
          <w:szCs w:val="29"/>
          <w:color w:val="auto"/>
          <w:vertAlign w:val="superscript"/>
        </w:rPr>
      </w:pPr>
      <w:r>
        <w:rPr>
          <w:rFonts w:ascii="Arial" w:cs="Arial" w:eastAsia="Arial" w:hAnsi="Arial"/>
          <w:sz w:val="17"/>
          <w:szCs w:val="17"/>
          <w:color w:val="auto"/>
        </w:rPr>
        <w:t>Represents an option to purchase shares of our common stock at $1.70 per share granted on January 14, 2019 when the market price of our common stock was $1.70 per share. The option became exercisable for 25% of the shares granted immediately upon grant, with the remaining shares becoming exercisable ratably monthly through January 14, 2021, when all shares granted will be fully exercisable.</w:t>
      </w:r>
    </w:p>
    <w:p>
      <w:pPr>
        <w:spacing w:after="0" w:line="212" w:lineRule="exact"/>
        <w:rPr>
          <w:rFonts w:ascii="Arial" w:cs="Arial" w:eastAsia="Arial" w:hAnsi="Arial"/>
          <w:sz w:val="29"/>
          <w:szCs w:val="29"/>
          <w:color w:val="auto"/>
          <w:vertAlign w:val="superscript"/>
        </w:rPr>
      </w:pPr>
    </w:p>
    <w:p>
      <w:pPr>
        <w:jc w:val="both"/>
        <w:ind w:left="800" w:hanging="792"/>
        <w:spacing w:after="0" w:line="216" w:lineRule="auto"/>
        <w:tabs>
          <w:tab w:leader="none" w:pos="800" w:val="left"/>
        </w:tabs>
        <w:numPr>
          <w:ilvl w:val="0"/>
          <w:numId w:val="14"/>
        </w:numPr>
        <w:rPr>
          <w:rFonts w:ascii="Arial" w:cs="Arial" w:eastAsia="Arial" w:hAnsi="Arial"/>
          <w:sz w:val="29"/>
          <w:szCs w:val="29"/>
          <w:color w:val="auto"/>
          <w:vertAlign w:val="superscript"/>
        </w:rPr>
      </w:pPr>
      <w:r>
        <w:rPr>
          <w:rFonts w:ascii="Arial" w:cs="Arial" w:eastAsia="Arial" w:hAnsi="Arial"/>
          <w:sz w:val="17"/>
          <w:szCs w:val="17"/>
          <w:color w:val="auto"/>
        </w:rPr>
        <w:t>Represents an option to purchase shares of our common stock at $1.27 per share granted on August 5, 2018 when the market price of our common stock was $1.27 per share. The option became exercisable for 25% of the shares granted immediately upon grant, with the remaining shares becoming exercisable ratably monthly through August 5, 2020, when all shares granted will be fully exercisable.</w:t>
      </w:r>
    </w:p>
    <w:p>
      <w:pPr>
        <w:spacing w:after="0" w:line="212" w:lineRule="exact"/>
        <w:rPr>
          <w:rFonts w:ascii="Arial" w:cs="Arial" w:eastAsia="Arial" w:hAnsi="Arial"/>
          <w:sz w:val="29"/>
          <w:szCs w:val="29"/>
          <w:color w:val="auto"/>
          <w:vertAlign w:val="superscript"/>
        </w:rPr>
      </w:pPr>
    </w:p>
    <w:p>
      <w:pPr>
        <w:jc w:val="both"/>
        <w:ind w:left="800" w:hanging="792"/>
        <w:spacing w:after="0" w:line="216" w:lineRule="auto"/>
        <w:tabs>
          <w:tab w:leader="none" w:pos="80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Represents an option to purchase shares of our common stock at $4.27 per share granted on September 29, 2016 when the market price of our common stock was $4.27 per share. The option became exercisable for 25% of the shares granted on September 29, 2017, with the remaining shares becoming exercisable ratably monthly through September 29, 2020, when all shares granted will be fully exercisable. The exercise price of the option was reduced to $1.50 per share on August 29, 2018.</w:t>
      </w:r>
    </w:p>
    <w:p>
      <w:pPr>
        <w:spacing w:after="0" w:line="210" w:lineRule="exact"/>
        <w:rPr>
          <w:rFonts w:ascii="Arial" w:cs="Arial" w:eastAsia="Arial" w:hAnsi="Arial"/>
          <w:sz w:val="30"/>
          <w:szCs w:val="30"/>
          <w:color w:val="auto"/>
          <w:vertAlign w:val="superscript"/>
        </w:rPr>
      </w:pPr>
    </w:p>
    <w:p>
      <w:pPr>
        <w:jc w:val="both"/>
        <w:ind w:left="800" w:right="20" w:hanging="792"/>
        <w:spacing w:after="0" w:line="216" w:lineRule="auto"/>
        <w:tabs>
          <w:tab w:leader="none" w:pos="800" w:val="left"/>
        </w:tabs>
        <w:numPr>
          <w:ilvl w:val="0"/>
          <w:numId w:val="14"/>
        </w:numPr>
        <w:rPr>
          <w:rFonts w:ascii="Arial" w:cs="Arial" w:eastAsia="Arial" w:hAnsi="Arial"/>
          <w:sz w:val="29"/>
          <w:szCs w:val="29"/>
          <w:color w:val="auto"/>
          <w:vertAlign w:val="superscript"/>
        </w:rPr>
      </w:pPr>
      <w:r>
        <w:rPr>
          <w:rFonts w:ascii="Arial" w:cs="Arial" w:eastAsia="Arial" w:hAnsi="Arial"/>
          <w:sz w:val="17"/>
          <w:szCs w:val="17"/>
          <w:color w:val="auto"/>
        </w:rPr>
        <w:t>Represents an option to purchase shares of our common stock at $1.00 per share granted on May 23, 2019 when the market price of our common stock was $0.80 per share. The option became exercisable for 62.5% of the shares granted immediately upon grant, with the remaining shares becoming exercisable ratably monthly through May 23, 2022, when all shares granted will be fully exercisable.</w:t>
      </w:r>
    </w:p>
    <w:p>
      <w:pPr>
        <w:spacing w:after="0" w:line="212" w:lineRule="exact"/>
        <w:rPr>
          <w:rFonts w:ascii="Arial" w:cs="Arial" w:eastAsia="Arial" w:hAnsi="Arial"/>
          <w:sz w:val="29"/>
          <w:szCs w:val="29"/>
          <w:color w:val="auto"/>
          <w:vertAlign w:val="superscript"/>
        </w:rPr>
      </w:pPr>
    </w:p>
    <w:p>
      <w:pPr>
        <w:jc w:val="both"/>
        <w:ind w:left="800" w:hanging="792"/>
        <w:spacing w:after="0" w:line="216" w:lineRule="auto"/>
        <w:tabs>
          <w:tab w:leader="none" w:pos="800" w:val="left"/>
        </w:tabs>
        <w:numPr>
          <w:ilvl w:val="0"/>
          <w:numId w:val="14"/>
        </w:numPr>
        <w:rPr>
          <w:rFonts w:ascii="Arial" w:cs="Arial" w:eastAsia="Arial" w:hAnsi="Arial"/>
          <w:sz w:val="29"/>
          <w:szCs w:val="29"/>
          <w:color w:val="auto"/>
          <w:vertAlign w:val="superscript"/>
        </w:rPr>
      </w:pPr>
      <w:r>
        <w:rPr>
          <w:rFonts w:ascii="Arial" w:cs="Arial" w:eastAsia="Arial" w:hAnsi="Arial"/>
          <w:sz w:val="17"/>
          <w:szCs w:val="17"/>
          <w:color w:val="auto"/>
        </w:rPr>
        <w:t>Represents an option to purchase shares of our common stock at $1.00 per share granted on May 23, 2019 when the market price of our common stock was $0.80 per share. The option became exercisable for 25% of the shares granted immediately upon grant, with the remaining shares becoming exercisable ratably monthly through My 23, 2022, when all shares granted will be fully exercisable.</w:t>
      </w:r>
    </w:p>
    <w:p>
      <w:pPr>
        <w:spacing w:after="0" w:line="212" w:lineRule="exact"/>
        <w:rPr>
          <w:rFonts w:ascii="Arial" w:cs="Arial" w:eastAsia="Arial" w:hAnsi="Arial"/>
          <w:sz w:val="29"/>
          <w:szCs w:val="29"/>
          <w:color w:val="auto"/>
          <w:vertAlign w:val="superscript"/>
        </w:rPr>
      </w:pPr>
    </w:p>
    <w:p>
      <w:pPr>
        <w:jc w:val="both"/>
        <w:ind w:left="800" w:hanging="792"/>
        <w:spacing w:after="0" w:line="216" w:lineRule="auto"/>
        <w:tabs>
          <w:tab w:leader="none" w:pos="800" w:val="left"/>
        </w:tabs>
        <w:numPr>
          <w:ilvl w:val="0"/>
          <w:numId w:val="14"/>
        </w:numPr>
        <w:rPr>
          <w:rFonts w:ascii="Arial" w:cs="Arial" w:eastAsia="Arial" w:hAnsi="Arial"/>
          <w:sz w:val="29"/>
          <w:szCs w:val="29"/>
          <w:color w:val="auto"/>
          <w:vertAlign w:val="superscript"/>
        </w:rPr>
      </w:pPr>
      <w:r>
        <w:rPr>
          <w:rFonts w:ascii="Arial" w:cs="Arial" w:eastAsia="Arial" w:hAnsi="Arial"/>
          <w:sz w:val="17"/>
          <w:szCs w:val="17"/>
          <w:color w:val="auto"/>
        </w:rPr>
        <w:t>Represents an option to purchase shares of our common stock at $1.00 per share granted on September 5, 2019 when the market price of our common stock was $0.84 per share. The option became exercisable for 25% of the shares granted immediately upon grant, with the remaining shares becoming exercisable ratably monthly through September 5, 2022, when all shares granted will be fully exercisable.</w:t>
      </w:r>
    </w:p>
    <w:p>
      <w:pPr>
        <w:spacing w:after="0" w:line="212" w:lineRule="exact"/>
        <w:rPr>
          <w:rFonts w:ascii="Arial" w:cs="Arial" w:eastAsia="Arial" w:hAnsi="Arial"/>
          <w:sz w:val="29"/>
          <w:szCs w:val="29"/>
          <w:color w:val="auto"/>
          <w:vertAlign w:val="superscript"/>
        </w:rPr>
      </w:pPr>
    </w:p>
    <w:p>
      <w:pPr>
        <w:jc w:val="both"/>
        <w:ind w:left="800" w:hanging="792"/>
        <w:spacing w:after="0" w:line="216" w:lineRule="auto"/>
        <w:tabs>
          <w:tab w:leader="none" w:pos="800" w:val="left"/>
        </w:tabs>
        <w:numPr>
          <w:ilvl w:val="0"/>
          <w:numId w:val="14"/>
        </w:numPr>
        <w:rPr>
          <w:rFonts w:ascii="Arial" w:cs="Arial" w:eastAsia="Arial" w:hAnsi="Arial"/>
          <w:sz w:val="29"/>
          <w:szCs w:val="29"/>
          <w:color w:val="auto"/>
          <w:vertAlign w:val="superscript"/>
        </w:rPr>
      </w:pPr>
      <w:r>
        <w:rPr>
          <w:rFonts w:ascii="Arial" w:cs="Arial" w:eastAsia="Arial" w:hAnsi="Arial"/>
          <w:sz w:val="17"/>
          <w:szCs w:val="17"/>
          <w:color w:val="auto"/>
        </w:rPr>
        <w:t>Represents an option to purchase shares of our common stock at $1.41 per share granted on October 21, 2019 when the market price of our common stock was $1.41 per share. The option became exercisable for 25% of the shares granted immediately upon grant, with the remaining shares becoming exercisable ratably monthly through October 21, 2021, when all shares granted will be fully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employment agreements with Mr. Singh and Dr. Snodgrass, the material terms of which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Singh Agreement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entered into an employment agreement with Mr. Singh on April 28, 2010. Under the agreement, as amended on June 22, 2016, Mr. Singh’s base salary was increased from $347,500 per year to $395,000 per year, effective June 16, 2016. The Compensation Committee has subsequently adjusted Mr. Singh’s base annual salary to $477,000 effective in July 2018 and to $498,000 effective in April 2019. Under his agreement, Mr. Singh is eligible to receive an annual incentive cash bonus of up to 50% of his base salary. The Compensation Committee awarded Mr. Singh a cash bonus of $110,305 for attainment of performance-based objectives during the year ended March 31, 2019. The Compensation Committee has not yet determined or awarded a bonus to Mr. Singh for attainment of performance-based objectives during our fiscal year ended March 31, 2020. The award of his annual incentive bonus is at the discretion of the Compensation Committee of our Board of Directors. In the event we terminate Mr. Singh’s employment without cause, he is entitled to receive severance in an amount equal to:</w:t>
      </w:r>
    </w:p>
    <w:p>
      <w:pPr>
        <w:spacing w:after="0" w:line="178" w:lineRule="exact"/>
        <w:rPr>
          <w:sz w:val="20"/>
          <w:szCs w:val="20"/>
          <w:color w:val="auto"/>
        </w:rPr>
      </w:pPr>
    </w:p>
    <w:p>
      <w:pPr>
        <w:ind w:left="660" w:hanging="490"/>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pro-rated portion of the incentive cash bonus that the Board of Directors determines in good faith that Mr. Singh earned prior to his termination; and</w:t>
      </w:r>
    </w:p>
    <w:p>
      <w:pPr>
        <w:spacing w:after="0" w:line="248" w:lineRule="exact"/>
        <w:rPr>
          <w:rFonts w:ascii="Arial" w:cs="Arial" w:eastAsia="Arial" w:hAnsi="Arial"/>
          <w:sz w:val="16"/>
          <w:szCs w:val="16"/>
          <w:color w:val="auto"/>
        </w:rPr>
      </w:pPr>
    </w:p>
    <w:p>
      <w:pPr>
        <w:ind w:left="660" w:hanging="490"/>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such amounts required to reimburse him for Consolidated Omnibus Budget Reconciliation Act (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18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Snodgrass Agreement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entered into an employment agreement with Dr. Snodgrass on April 28, 2010. Under the agreement, as amended on June 22, 2016, Dr. Snodgrass’s base salary was increased from $305,000 per year to $350,000 per year, effective June 16, 2016. The Compensation Committee has subsequently adjusted Dr. Snodgrass’ base annual salary to $397,000 effective in July 2018 and to $416,850 effective in April 2019. Under his agreement, Dr. Snodgrass is eligible to receive an annual incentive cash bonus of up to 50% of his base salary. The Compensation Committee awarded Dr. Snodgrass cash bonuses of $73,444 for attainment of performance-based objectives during the year ended March 31, 2019. The Compensation Committee has not yet determined or awarded a bonus to Dr. Snodgrass for attainment of performance-based objectives during our fiscal year ended March 31, 2020. The award of his annual incentive bonus is at the discretion of the Compensation Committee of the Board of Directors. In the event we terminate Dr. Snodgrass’s employment without cause, he is entitled to receive severance in an amount equal to:</w:t>
      </w:r>
    </w:p>
    <w:p>
      <w:pPr>
        <w:spacing w:after="0" w:line="178" w:lineRule="exact"/>
        <w:rPr>
          <w:sz w:val="20"/>
          <w:szCs w:val="20"/>
          <w:color w:val="auto"/>
        </w:rPr>
      </w:pPr>
    </w:p>
    <w:p>
      <w:pPr>
        <w:ind w:left="660" w:hanging="49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pro-rated portion of the incentive bonus that the Board of Directors determines in good faith that Dr. Snodgrass earned prior to his termination; and</w:t>
      </w:r>
    </w:p>
    <w:p>
      <w:pPr>
        <w:spacing w:after="0" w:line="248" w:lineRule="exact"/>
        <w:rPr>
          <w:rFonts w:ascii="Arial" w:cs="Arial" w:eastAsia="Arial" w:hAnsi="Arial"/>
          <w:sz w:val="16"/>
          <w:szCs w:val="16"/>
          <w:color w:val="auto"/>
        </w:rPr>
      </w:pPr>
    </w:p>
    <w:p>
      <w:pPr>
        <w:ind w:left="660" w:hanging="490"/>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such amounts required to reimburse him for COBRA payments for continuation of his medical health benefits for such twelve-month period.</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In addition, in the event Dr. Snodgrass terminates his employment with "good reason" (as defined below), he is entitled to twelve months of his then-current base salary payable in the form of salary continuation.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Provisions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we affect the event without the executive’s consent (subject to our right to cure):</w:t>
      </w:r>
    </w:p>
    <w:p>
      <w:pPr>
        <w:spacing w:after="0" w:line="197" w:lineRule="exact"/>
        <w:rPr>
          <w:sz w:val="20"/>
          <w:szCs w:val="20"/>
          <w:color w:val="auto"/>
        </w:rPr>
      </w:pPr>
    </w:p>
    <w:p>
      <w:pPr>
        <w:ind w:left="660" w:hanging="490"/>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material reduction in the executive’s responsibility; or</w:t>
      </w:r>
    </w:p>
    <w:p>
      <w:pPr>
        <w:spacing w:after="0" w:line="225" w:lineRule="exact"/>
        <w:rPr>
          <w:rFonts w:ascii="Arial" w:cs="Arial" w:eastAsia="Arial" w:hAnsi="Arial"/>
          <w:sz w:val="18"/>
          <w:szCs w:val="18"/>
          <w:color w:val="auto"/>
        </w:rPr>
      </w:pPr>
    </w:p>
    <w:p>
      <w:pPr>
        <w:ind w:left="660" w:right="20" w:hanging="490"/>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except for reductions that are comparable to reductions generally applicable to similarly situated executives of VistaGen.</w:t>
      </w:r>
    </w:p>
    <w:p>
      <w:pPr>
        <w:spacing w:after="0" w:line="1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Act),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their respective employment agreements, the estimated amount that could be paid by us assuming that a change of control occurred on the last business day of our current fiscal year, is $498,000 for Mr. Singh and $416,850 for Dr. Snodgrass, excluding the imputed value of accelerated vesting of incentive stock options, if 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2"/>
        </w:trPr>
        <w:tc>
          <w:tcPr>
            <w:tcW w:w="3500" w:type="dxa"/>
            <w:vAlign w:val="bottom"/>
          </w:tcPr>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80" w:type="dxa"/>
            <w:vAlign w:val="bottom"/>
          </w:tcPr>
          <w:p>
            <w:pPr>
              <w:spacing w:after="0"/>
              <w:rPr>
                <w:sz w:val="19"/>
                <w:szCs w:val="19"/>
                <w:color w:val="auto"/>
              </w:rPr>
            </w:pPr>
          </w:p>
        </w:tc>
      </w:tr>
      <w:tr>
        <w:trPr>
          <w:trHeight w:val="648"/>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740" w:type="dxa"/>
            <w:vAlign w:val="bottom"/>
            <w:gridSpan w:val="3"/>
          </w:tcPr>
          <w:p>
            <w:pPr>
              <w:ind w:left="120"/>
              <w:spacing w:after="0"/>
              <w:rPr>
                <w:sz w:val="20"/>
                <w:szCs w:val="20"/>
                <w:color w:val="auto"/>
              </w:rPr>
            </w:pPr>
            <w:r>
              <w:rPr>
                <w:rFonts w:ascii="Arial" w:cs="Arial" w:eastAsia="Arial" w:hAnsi="Arial"/>
                <w:sz w:val="18"/>
                <w:szCs w:val="18"/>
                <w:b w:val="1"/>
                <w:bCs w:val="1"/>
                <w:color w:val="auto"/>
              </w:rPr>
              <w:t>BOARD OF DIRECTORS</w:t>
            </w:r>
          </w:p>
        </w:tc>
      </w:tr>
      <w:tr>
        <w:trPr>
          <w:trHeight w:val="441"/>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4"/>
                <w:szCs w:val="24"/>
                <w:color w:val="auto"/>
              </w:rPr>
            </w:pPr>
          </w:p>
        </w:tc>
        <w:tc>
          <w:tcPr>
            <w:tcW w:w="88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b w:val="1"/>
                <w:bCs w:val="1"/>
                <w:color w:val="auto"/>
                <w:w w:val="88"/>
              </w:rPr>
              <w:t>Age</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5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4"/>
                <w:szCs w:val="24"/>
                <w:color w:val="auto"/>
                <w:vertAlign w:val="superscript"/>
              </w:rPr>
              <w:t>(1)</w:t>
            </w:r>
          </w:p>
        </w:tc>
        <w:tc>
          <w:tcPr>
            <w:tcW w:w="100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83</w:t>
            </w:r>
          </w:p>
        </w:tc>
        <w:tc>
          <w:tcPr>
            <w:tcW w:w="36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tcPr>
          <w:p>
            <w:pPr>
              <w:spacing w:after="0" w:line="216" w:lineRule="exact"/>
              <w:rPr>
                <w:sz w:val="20"/>
                <w:szCs w:val="20"/>
                <w:color w:val="auto"/>
              </w:rPr>
            </w:pPr>
            <w:r>
              <w:rPr>
                <w:rFonts w:ascii="Arial" w:cs="Arial" w:eastAsia="Arial" w:hAnsi="Arial"/>
                <w:sz w:val="18"/>
                <w:szCs w:val="18"/>
                <w:color w:val="auto"/>
              </w:rPr>
              <w:t xml:space="preserve">Ann M. Cunningham, MBA </w:t>
            </w:r>
            <w:r>
              <w:rPr>
                <w:rFonts w:ascii="Arial" w:cs="Arial" w:eastAsia="Arial" w:hAnsi="Arial"/>
                <w:sz w:val="24"/>
                <w:szCs w:val="24"/>
                <w:color w:val="auto"/>
                <w:vertAlign w:val="superscript"/>
              </w:rPr>
              <w:t>(2)</w:t>
            </w:r>
          </w:p>
        </w:tc>
        <w:tc>
          <w:tcPr>
            <w:tcW w:w="100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52</w:t>
            </w:r>
          </w:p>
        </w:tc>
        <w:tc>
          <w:tcPr>
            <w:tcW w:w="360" w:type="dxa"/>
            <w:vAlign w:val="bottom"/>
          </w:tcPr>
          <w:p>
            <w:pPr>
              <w:spacing w:after="0"/>
              <w:rPr>
                <w:sz w:val="18"/>
                <w:szCs w:val="18"/>
                <w:color w:val="auto"/>
              </w:rPr>
            </w:pP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(3)</w:t>
            </w:r>
          </w:p>
        </w:tc>
        <w:tc>
          <w:tcPr>
            <w:tcW w:w="100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76</w:t>
            </w:r>
          </w:p>
        </w:tc>
        <w:tc>
          <w:tcPr>
            <w:tcW w:w="36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Shawn K. Singh</w:t>
            </w:r>
          </w:p>
        </w:tc>
        <w:tc>
          <w:tcPr>
            <w:tcW w:w="100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57</w:t>
            </w:r>
          </w:p>
        </w:tc>
        <w:tc>
          <w:tcPr>
            <w:tcW w:w="360" w:type="dxa"/>
            <w:vAlign w:val="bottom"/>
          </w:tcPr>
          <w:p>
            <w:pPr>
              <w:spacing w:after="0"/>
              <w:rPr>
                <w:sz w:val="18"/>
                <w:szCs w:val="18"/>
                <w:color w:val="auto"/>
              </w:rPr>
            </w:pP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H. Ralph Snodgrass, Ph.D.</w:t>
            </w:r>
          </w:p>
        </w:tc>
        <w:tc>
          <w:tcPr>
            <w:tcW w:w="100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70</w:t>
            </w:r>
          </w:p>
        </w:tc>
        <w:tc>
          <w:tcPr>
            <w:tcW w:w="36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President, Chief Scientific Officer and Director</w:t>
            </w:r>
          </w:p>
        </w:tc>
      </w:tr>
      <w:tr>
        <w:trPr>
          <w:trHeight w:val="320"/>
        </w:trPr>
        <w:tc>
          <w:tcPr>
            <w:tcW w:w="3500" w:type="dxa"/>
            <w:vAlign w:val="bottom"/>
          </w:tcPr>
          <w:p>
            <w:pPr>
              <w:spacing w:after="0"/>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4"/>
                <w:szCs w:val="24"/>
                <w:color w:val="auto"/>
                <w:vertAlign w:val="superscript"/>
              </w:rPr>
              <w:t>(4)</w:t>
            </w:r>
          </w:p>
        </w:tc>
        <w:tc>
          <w:tcPr>
            <w:tcW w:w="100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79</w:t>
            </w:r>
          </w:p>
        </w:tc>
        <w:tc>
          <w:tcPr>
            <w:tcW w:w="360" w:type="dxa"/>
            <w:vAlign w:val="bottom"/>
          </w:tcPr>
          <w:p>
            <w:pPr>
              <w:spacing w:after="0"/>
              <w:rPr>
                <w:sz w:val="24"/>
                <w:szCs w:val="24"/>
                <w:color w:val="auto"/>
              </w:rPr>
            </w:pPr>
          </w:p>
        </w:tc>
        <w:tc>
          <w:tcPr>
            <w:tcW w:w="63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104" w:lineRule="exact"/>
        <w:rPr>
          <w:sz w:val="20"/>
          <w:szCs w:val="20"/>
          <w:color w:val="auto"/>
        </w:rPr>
      </w:pPr>
    </w:p>
    <w:p>
      <w:pPr>
        <w:ind w:left="800" w:hanging="792"/>
        <w:spacing w:after="0" w:line="190" w:lineRule="auto"/>
        <w:tabs>
          <w:tab w:leader="none" w:pos="800" w:val="left"/>
        </w:tabs>
        <w:numPr>
          <w:ilvl w:val="0"/>
          <w:numId w:val="18"/>
        </w:numPr>
        <w:rPr>
          <w:rFonts w:ascii="Arial" w:cs="Arial" w:eastAsia="Arial" w:hAnsi="Arial"/>
          <w:sz w:val="30"/>
          <w:szCs w:val="30"/>
          <w:color w:val="auto"/>
          <w:vertAlign w:val="superscript"/>
        </w:rPr>
      </w:pPr>
      <w:r>
        <w:rPr>
          <w:rFonts w:ascii="Arial" w:cs="Arial" w:eastAsia="Arial" w:hAnsi="Arial"/>
          <w:sz w:val="18"/>
          <w:szCs w:val="18"/>
          <w:color w:val="auto"/>
        </w:rPr>
        <w:t>Chairman of the Board; Chairman of the Audit Committee and member of the Compensation Committee and Corporate Governance and Nominating Committee.</w:t>
      </w:r>
    </w:p>
    <w:p>
      <w:pPr>
        <w:spacing w:after="0" w:line="1" w:lineRule="exact"/>
        <w:rPr>
          <w:rFonts w:ascii="Arial" w:cs="Arial" w:eastAsia="Arial" w:hAnsi="Arial"/>
          <w:sz w:val="30"/>
          <w:szCs w:val="30"/>
          <w:color w:val="auto"/>
          <w:vertAlign w:val="superscript"/>
        </w:rPr>
      </w:pPr>
    </w:p>
    <w:p>
      <w:pPr>
        <w:ind w:left="800" w:hanging="792"/>
        <w:spacing w:after="0" w:line="180" w:lineRule="auto"/>
        <w:tabs>
          <w:tab w:leader="none" w:pos="800" w:val="left"/>
        </w:tabs>
        <w:numPr>
          <w:ilvl w:val="0"/>
          <w:numId w:val="18"/>
        </w:numPr>
        <w:rPr>
          <w:rFonts w:ascii="Arial" w:cs="Arial" w:eastAsia="Arial" w:hAnsi="Arial"/>
          <w:sz w:val="25"/>
          <w:szCs w:val="25"/>
          <w:color w:val="auto"/>
          <w:vertAlign w:val="superscript"/>
        </w:rPr>
      </w:pPr>
      <w:r>
        <w:rPr>
          <w:rFonts w:ascii="Arial" w:cs="Arial" w:eastAsia="Arial" w:hAnsi="Arial"/>
          <w:sz w:val="15"/>
          <w:szCs w:val="15"/>
          <w:color w:val="auto"/>
        </w:rPr>
        <w:t>Member of the Corporate Governance and Nominating Committee.</w:t>
      </w:r>
    </w:p>
    <w:p>
      <w:pPr>
        <w:spacing w:after="0" w:line="8" w:lineRule="exact"/>
        <w:rPr>
          <w:rFonts w:ascii="Arial" w:cs="Arial" w:eastAsia="Arial" w:hAnsi="Arial"/>
          <w:sz w:val="25"/>
          <w:szCs w:val="25"/>
          <w:color w:val="auto"/>
          <w:vertAlign w:val="superscript"/>
        </w:rPr>
      </w:pPr>
    </w:p>
    <w:p>
      <w:pPr>
        <w:ind w:left="800" w:hanging="792"/>
        <w:spacing w:after="0" w:line="181" w:lineRule="auto"/>
        <w:tabs>
          <w:tab w:leader="none" w:pos="80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Chairman of the Corporate Governance and Nominating Committee and member of the Audit Committee and Compensation Committee.</w:t>
      </w:r>
    </w:p>
    <w:p>
      <w:pPr>
        <w:spacing w:after="0" w:line="7" w:lineRule="exact"/>
        <w:rPr>
          <w:rFonts w:ascii="Arial" w:cs="Arial" w:eastAsia="Arial" w:hAnsi="Arial"/>
          <w:sz w:val="24"/>
          <w:szCs w:val="24"/>
          <w:color w:val="auto"/>
          <w:vertAlign w:val="superscript"/>
        </w:rPr>
      </w:pPr>
    </w:p>
    <w:p>
      <w:pPr>
        <w:ind w:left="800" w:hanging="792"/>
        <w:spacing w:after="0" w:line="181" w:lineRule="auto"/>
        <w:tabs>
          <w:tab w:leader="none" w:pos="80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Chairman of the Compensation Committee and member of the Audit Committee and Corporate Governance and Nominating Committee.</w:t>
      </w:r>
    </w:p>
    <w:p>
      <w:pPr>
        <w:spacing w:after="0" w:line="21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Jon S. Saxe, J.D., LL.M. </w:t>
      </w:r>
      <w:r>
        <w:rPr>
          <w:rFonts w:ascii="Arial" w:cs="Arial" w:eastAsia="Arial" w:hAnsi="Arial"/>
          <w:sz w:val="16"/>
          <w:szCs w:val="16"/>
          <w:color w:val="auto"/>
        </w:rPr>
        <w:t>has served as Chairman of our Board since 2000, first as Chairman of the Board of Directors of VistaGen California, then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of our Board after completion of the Merger.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Durect Corporation (NASDAQ: DRRX), and six private life science companies, Achelios, Arbor Vita Corporation, Aether, Inc., Arcuo Medical, LLC, Cancer Prevention Pharmaceuticals, Inc., Trellis Bioscience, Inc. and Epalex Corporation. Mr. Saxe has also served as a director of other biotechnology and pharmaceutical companies, including ID Biomedical (acquired by GlaxoSmithKline), Sciele Pharmaceuticals, Inc. (acquired by Shionogi), Amalyte (acquired by Kemin Industries), Cell Pathways (acquired by OSI Pharmaceuticals), Lumos Pharma, Inc. (merged with New Link Genetics) and other companies, both public and private. Mr. Saxe has a B.S.Ch.E. from Carnegie-Mellon University, a J.D. degree from George Washington University and an LL.M. degree from New York University.</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selected Mr. Saxe to serve as Chairman of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Ann M. Cunningham, MBA, </w:t>
      </w:r>
      <w:r>
        <w:rPr>
          <w:rFonts w:ascii="Arial" w:cs="Arial" w:eastAsia="Arial" w:hAnsi="Arial"/>
          <w:sz w:val="16"/>
          <w:szCs w:val="16"/>
          <w:color w:val="auto"/>
        </w:rPr>
        <w:t>was appointed to serve on our Board on January 10, 2019. Ms. Cunningham is the Founder and Managing Partner of i3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Strategy Partners, a consulting firm founded in 2018 that specializes in assisting companies in the pharmaceutical space. Prior to founding i3 Strategy Partners, Ms. Cunningham served as Vice President, Neurodegenerative Diseases and Psychiatry for Teva Pharmaceuticals Industries, Ltd. from 2015 to 2018, as Senior Marketing Director for Otsuka Pharmaceutical Companies from 2013 to 2015 and in several marketing-focused positions for Eli Lily and Company from 1999 to 2013, including serving as Global Marketing Senior Director from 2009 to 2013. Ms. Cunningham holds a B.A. degree in Psychology from Yale University and an MBA, with a focus on marketing management, from the University of Michigan.</w:t>
      </w:r>
    </w:p>
    <w:p>
      <w:pPr>
        <w:spacing w:after="0" w:line="17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Ms. Cunningham to serve on our Board due to her substantial experience in healthcare marketing, particularly in the successful development, positioning and commercial launch of products to treat diseases of the central nervous system. Ms. Cunningham brings an insightful commercial perspective to us and to our Board that is critical as our pipeline products move from clinical development to commercialization.</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Jerry B. Gin, Ph.D., MBA </w:t>
      </w:r>
      <w:r>
        <w:rPr>
          <w:rFonts w:ascii="Arial" w:cs="Arial" w:eastAsia="Arial" w:hAnsi="Arial"/>
          <w:sz w:val="16"/>
          <w:szCs w:val="16"/>
          <w:color w:val="auto"/>
        </w:rPr>
        <w:t>was appointed to serve on our Board of Directors on March 29, 2016. Dr. Gin is currently the co-founder and CEO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Nuvora, Inc., a 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9" w:name="page40"/>
    <w:bookmarkEnd w:id="3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selected Dr. Gin to serve on our Board of Directors due to his extensive experience in the healthcare industry, focusing his substantial business and scientific expertise on founding and developing numerous biopharmaceutical, diagnostic and biotechnology companies and propelling them to their next platforms of growth and value.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Shawn K. Singh </w:t>
      </w:r>
      <w:r>
        <w:rPr>
          <w:rFonts w:ascii="Arial" w:cs="Arial" w:eastAsia="Arial" w:hAnsi="Arial"/>
          <w:sz w:val="18"/>
          <w:szCs w:val="18"/>
          <w:color w:val="auto"/>
        </w:rPr>
        <w:t>Please see Mr. Singh’s biography on page 18 of this prospectus, under the section titled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Executive Officers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drug development, intellectual property, regulatory affairs and strategic collaborations.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Please see Dr. Snodgrass’s biography on page 18 of this prospectus, under the section titled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Executive Officers</w:t>
      </w:r>
      <w:r>
        <w:rPr>
          <w:rFonts w:ascii="Arial" w:cs="Arial" w:eastAsia="Arial" w:hAnsi="Arial"/>
          <w:sz w:val="16"/>
          <w:szCs w:val="16"/>
          <w:color w:val="auto"/>
        </w:rPr>
        <w:t>.</w:t>
      </w:r>
    </w:p>
    <w:p>
      <w:pPr>
        <w:spacing w:after="0" w:line="24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which allow him to bring to us and the Board of Directors a unique understanding of the challenges and opportunities associated with pluripotent stem cell biology, as well as credibility in the markets in which we operate.</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 xml:space="preserve">Brian J. Underdown, Ph.D. </w:t>
      </w:r>
      <w:r>
        <w:rPr>
          <w:rFonts w:ascii="Arial" w:cs="Arial" w:eastAsia="Arial" w:hAnsi="Arial"/>
          <w:sz w:val="16"/>
          <w:szCs w:val="16"/>
          <w:color w:val="auto"/>
        </w:rPr>
        <w:t>has served as a member of our Board of Directors since November 2009, first as a director of VistaGen California, 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 member of our Board after the completion of the Merger. Dr. Underdown retired as a Venture Partner with Lumira Capital Corp.in December 2016, after having served as a Managing Director with Lumira from September 1997 through 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 Dr. Underdown’s current board positions include the following private companies: Kisoji Biotechnology Inc., Naegis Pharmaceuticals, Inc. and Osteo QC. Some of Dr. Underdown’s previous board roles include: Argos Therapeutics (NASDAQ: ARGS), ID Biomedical (acquired by GlaxoSmithKline), enGene Inc. and Ception Therapeutics (acquired by Cephalon). He has served on a number of Boards and advisory bodies of government-sponsored research organizations including CANVAC, the Canadian National Centre of Excellence in Vaccines, Ontario Genomics Institute (Chair), Allergen Plc., the Canadian National Centre of Excellence in Allergy and Asthma. Dr. Underdown obtained his Ph.D. in immunology from McGill University and undertook post-doctoral studies at Washington University School of Medicine.</w:t>
      </w:r>
    </w:p>
    <w:p>
      <w:pPr>
        <w:spacing w:after="0" w:line="17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selected Dr. Underdown to serve on our Board of Directors due to his extensive background working in the biotechnology and pharmaceutical industries, as a director of numerous private and public companies, as well as his substantial corporate finance and venture capital experience funding and advising startup and established biopharmaceutical companies focused on development and commercialization of novel therapeutics.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adopted a director compensation policy for the independent directors of our Board, as “independent” is defined by the rules of the Nasdaq Stock Market rules, which policy became effective for our fiscal year beginning April 1, 2014. Under our independent director compensation policy, our independent directors are entitled to receive a $25,000 annual retainer, payable in cash or shares of our common stock. For service on a committee of the Board, an independent director is entitled to receive an additional annual cash retainer of $7,500 for service on our Audit Committee and Compensation Committee, and $5,000 for service on our Corporate Governance and Nominating Committee. In lieu of the annual cash retainer for committee participation, each independent director serving as a chair of a Board committee shall receive an annual cash retainer of $15,000 for the Audit Committee and Compensation Committee chairs and $10,000 for the Corporate Governance and Nominating Committee chair. In addition, each independent director will also receive an annual grant of an option or warrant to purchase a minimum of 12,000 shares of our common stock, which will vest monthly over a one-year period from the date of grant. Prorated grants are made for partial years of service.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paid our independent directors cash compensation consistent with the policy noted above during our fiscal year ended March 31, 2020.</w:t>
      </w:r>
    </w:p>
    <w:p>
      <w:pPr>
        <w:spacing w:after="0" w:line="24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In May 2019, we granted to each of our four independent directors options to purchase 50,000 shares of our common stock at an exercise price of $1.00 per share under the terms of our Amended and Restated 2016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xml:space="preserve">). In October 2019, following the approval by our stockholders of our 2019 Omnibus Equity Incentive Plan (the </w:t>
      </w:r>
      <w:r>
        <w:rPr>
          <w:rFonts w:ascii="Arial" w:cs="Arial" w:eastAsia="Arial" w:hAnsi="Arial"/>
          <w:sz w:val="16"/>
          <w:szCs w:val="16"/>
          <w:i w:val="1"/>
          <w:iCs w:val="1"/>
          <w:color w:val="auto"/>
        </w:rPr>
        <w:t>2019 Plan</w:t>
      </w:r>
      <w:r>
        <w:rPr>
          <w:rFonts w:ascii="Arial" w:cs="Arial" w:eastAsia="Arial" w:hAnsi="Arial"/>
          <w:sz w:val="16"/>
          <w:szCs w:val="16"/>
          <w:color w:val="auto"/>
        </w:rPr>
        <w:t>), we granted to each of our four independent directors options to purchase 125,000 shares of our common stock at an exercise price of $1.41 per share under the terms of our 2019 Plan. Each grant awarded to our independent directors during the year ended March 31, 2020 expires ten years after the date of grant.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 summary of the compensation earned by our independent, non-employee directors in our fiscal year ended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2"/>
              </w:rPr>
              <w:t>Fees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Option</w:t>
            </w:r>
          </w:p>
        </w:tc>
        <w:tc>
          <w:tcPr>
            <w:tcW w:w="260" w:type="dxa"/>
            <w:vAlign w:val="bottom"/>
          </w:tcPr>
          <w:p>
            <w:pPr>
              <w:spacing w:after="0"/>
              <w:rPr>
                <w:sz w:val="18"/>
                <w:szCs w:val="18"/>
                <w:color w:val="auto"/>
              </w:rPr>
            </w:pPr>
          </w:p>
        </w:tc>
        <w:tc>
          <w:tcPr>
            <w:tcW w:w="1220" w:type="dxa"/>
            <w:vAlign w:val="bottom"/>
            <w:gridSpan w:val="3"/>
            <w:vMerge w:val="restart"/>
          </w:tcPr>
          <w:p>
            <w:pPr>
              <w:jc w:val="right"/>
              <w:ind w:right="44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40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6"/>
              </w:rPr>
              <w:t>Paid in Cash</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0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vMerge w:val="restart"/>
          </w:tcPr>
          <w:p>
            <w:pPr>
              <w:jc w:val="center"/>
              <w:ind w:right="12"/>
              <w:spacing w:after="0" w:line="244" w:lineRule="exact"/>
              <w:rPr>
                <w:sz w:val="20"/>
                <w:szCs w:val="20"/>
                <w:color w:val="auto"/>
              </w:rPr>
            </w:pPr>
            <w:r>
              <w:rPr>
                <w:rFonts w:ascii="Arial" w:cs="Arial" w:eastAsia="Arial" w:hAnsi="Arial"/>
                <w:sz w:val="18"/>
                <w:szCs w:val="18"/>
                <w:b w:val="1"/>
                <w:bCs w:val="1"/>
                <w:color w:val="auto"/>
                <w:w w:val="82"/>
              </w:rPr>
              <w:t xml:space="preserve">Awards </w:t>
            </w:r>
            <w:r>
              <w:rPr>
                <w:rFonts w:ascii="Arial" w:cs="Arial" w:eastAsia="Arial" w:hAnsi="Arial"/>
                <w:sz w:val="24"/>
                <w:szCs w:val="24"/>
                <w:b w:val="1"/>
                <w:bCs w:val="1"/>
                <w:color w:val="auto"/>
                <w:w w:val="82"/>
                <w:vertAlign w:val="superscript"/>
              </w:rPr>
              <w:t>(2)(7)</w:t>
            </w:r>
          </w:p>
        </w:tc>
        <w:tc>
          <w:tcPr>
            <w:tcW w:w="1480" w:type="dxa"/>
            <w:vAlign w:val="bottom"/>
            <w:gridSpan w:val="4"/>
            <w:vMerge w:val="restart"/>
          </w:tcPr>
          <w:p>
            <w:pPr>
              <w:ind w:left="260"/>
              <w:spacing w:after="0"/>
              <w:rPr>
                <w:sz w:val="20"/>
                <w:szCs w:val="20"/>
                <w:color w:val="auto"/>
              </w:rPr>
            </w:pPr>
            <w:r>
              <w:rPr>
                <w:rFonts w:ascii="Arial" w:cs="Arial" w:eastAsia="Arial" w:hAnsi="Arial"/>
                <w:sz w:val="18"/>
                <w:szCs w:val="18"/>
                <w:b w:val="1"/>
                <w:bCs w:val="1"/>
                <w:color w:val="auto"/>
                <w:w w:val="95"/>
              </w:rPr>
              <w:t>Compensation</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63"/>
        </w:trPr>
        <w:tc>
          <w:tcPr>
            <w:tcW w:w="4060" w:type="dxa"/>
            <w:vAlign w:val="bottom"/>
          </w:tcPr>
          <w:p>
            <w:pPr>
              <w:spacing w:after="0"/>
              <w:rPr>
                <w:sz w:val="14"/>
                <w:szCs w:val="14"/>
                <w:color w:val="auto"/>
              </w:rPr>
            </w:pPr>
          </w:p>
        </w:tc>
        <w:tc>
          <w:tcPr>
            <w:tcW w:w="3000" w:type="dxa"/>
            <w:vAlign w:val="bottom"/>
            <w:gridSpan w:val="3"/>
          </w:tcPr>
          <w:p>
            <w:pPr>
              <w:jc w:val="center"/>
              <w:ind w:left="1857"/>
              <w:spacing w:after="0"/>
              <w:rPr>
                <w:sz w:val="20"/>
                <w:szCs w:val="20"/>
                <w:color w:val="auto"/>
              </w:rPr>
            </w:pPr>
            <w:r>
              <w:rPr>
                <w:rFonts w:ascii="Arial" w:cs="Arial" w:eastAsia="Arial" w:hAnsi="Arial"/>
                <w:sz w:val="12"/>
                <w:szCs w:val="12"/>
                <w:b w:val="1"/>
                <w:bCs w:val="1"/>
                <w:color w:val="auto"/>
                <w:w w:val="95"/>
              </w:rPr>
              <w:t>(1)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333"/>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32"/>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Jon S. Saxe</w:t>
            </w:r>
            <w:r>
              <w:rPr>
                <w:rFonts w:ascii="Arial" w:cs="Arial" w:eastAsia="Arial" w:hAnsi="Arial"/>
                <w:sz w:val="24"/>
                <w:szCs w:val="24"/>
                <w:color w:val="auto"/>
                <w:vertAlign w:val="superscript"/>
              </w:rPr>
              <w:t>(3)</w:t>
            </w:r>
          </w:p>
        </w:tc>
        <w:tc>
          <w:tcPr>
            <w:tcW w:w="25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52,500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153,847</w:t>
            </w:r>
          </w:p>
        </w:tc>
        <w:tc>
          <w:tcPr>
            <w:tcW w:w="0" w:type="dxa"/>
            <w:vAlign w:val="bottom"/>
          </w:tcPr>
          <w:p>
            <w:pPr>
              <w:spacing w:after="0"/>
              <w:rPr>
                <w:sz w:val="1"/>
                <w:szCs w:val="1"/>
                <w:color w:val="auto"/>
              </w:rPr>
            </w:pPr>
          </w:p>
        </w:tc>
      </w:tr>
      <w:tr>
        <w:trPr>
          <w:trHeight w:val="216"/>
        </w:trPr>
        <w:tc>
          <w:tcPr>
            <w:tcW w:w="4060" w:type="dxa"/>
            <w:vAlign w:val="bottom"/>
          </w:tcPr>
          <w:p>
            <w:pPr>
              <w:spacing w:after="0" w:line="216" w:lineRule="exact"/>
              <w:rPr>
                <w:sz w:val="20"/>
                <w:szCs w:val="20"/>
                <w:color w:val="auto"/>
              </w:rPr>
            </w:pPr>
            <w:r>
              <w:rPr>
                <w:rFonts w:ascii="Arial" w:cs="Arial" w:eastAsia="Arial" w:hAnsi="Arial"/>
                <w:sz w:val="18"/>
                <w:szCs w:val="18"/>
                <w:color w:val="auto"/>
              </w:rPr>
              <w:t>Brian J. Underdown, Ph.D.</w:t>
            </w:r>
            <w:r>
              <w:rPr>
                <w:rFonts w:ascii="Arial" w:cs="Arial" w:eastAsia="Arial" w:hAnsi="Arial"/>
                <w:sz w:val="24"/>
                <w:szCs w:val="24"/>
                <w:color w:val="auto"/>
                <w:vertAlign w:val="superscript"/>
              </w:rPr>
              <w:t>(4)</w:t>
            </w:r>
          </w:p>
        </w:tc>
        <w:tc>
          <w:tcPr>
            <w:tcW w:w="25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r>
              <w:rPr>
                <w:rFonts w:ascii="Arial" w:cs="Arial" w:eastAsia="Arial" w:hAnsi="Arial"/>
                <w:sz w:val="18"/>
                <w:szCs w:val="18"/>
                <w:color w:val="auto"/>
                <w:w w:val="83"/>
              </w:rPr>
              <w:t>52,500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153,847</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Jerry B. Gin, Ph.D., M.B.A </w:t>
            </w:r>
            <w:r>
              <w:rPr>
                <w:rFonts w:ascii="Arial" w:cs="Arial" w:eastAsia="Arial" w:hAnsi="Arial"/>
                <w:sz w:val="24"/>
                <w:szCs w:val="24"/>
                <w:color w:val="auto"/>
                <w:vertAlign w:val="superscript"/>
              </w:rPr>
              <w:t>(5)</w:t>
            </w:r>
          </w:p>
        </w:tc>
        <w:tc>
          <w:tcPr>
            <w:tcW w:w="252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3"/>
              </w:rPr>
              <w:t>50,000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151,347</w:t>
            </w:r>
          </w:p>
        </w:tc>
        <w:tc>
          <w:tcPr>
            <w:tcW w:w="0" w:type="dxa"/>
            <w:vAlign w:val="bottom"/>
          </w:tcPr>
          <w:p>
            <w:pPr>
              <w:spacing w:after="0"/>
              <w:rPr>
                <w:sz w:val="1"/>
                <w:szCs w:val="1"/>
                <w:color w:val="auto"/>
              </w:rPr>
            </w:pPr>
          </w:p>
        </w:tc>
      </w:tr>
      <w:tr>
        <w:trPr>
          <w:trHeight w:val="320"/>
        </w:trPr>
        <w:tc>
          <w:tcPr>
            <w:tcW w:w="4060" w:type="dxa"/>
            <w:vAlign w:val="bottom"/>
          </w:tcPr>
          <w:p>
            <w:pPr>
              <w:spacing w:after="0"/>
              <w:rPr>
                <w:sz w:val="20"/>
                <w:szCs w:val="20"/>
                <w:color w:val="auto"/>
              </w:rPr>
            </w:pPr>
            <w:r>
              <w:rPr>
                <w:rFonts w:ascii="Arial" w:cs="Arial" w:eastAsia="Arial" w:hAnsi="Arial"/>
                <w:sz w:val="18"/>
                <w:szCs w:val="18"/>
                <w:color w:val="auto"/>
              </w:rPr>
              <w:t xml:space="preserve">Ann M. Cunningham </w:t>
            </w:r>
            <w:r>
              <w:rPr>
                <w:rFonts w:ascii="Arial" w:cs="Arial" w:eastAsia="Arial" w:hAnsi="Arial"/>
                <w:sz w:val="24"/>
                <w:szCs w:val="24"/>
                <w:color w:val="auto"/>
                <w:vertAlign w:val="superscript"/>
              </w:rPr>
              <w:t>(6)</w:t>
            </w:r>
          </w:p>
        </w:tc>
        <w:tc>
          <w:tcPr>
            <w:tcW w:w="252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r>
              <w:rPr>
                <w:rFonts w:ascii="Arial" w:cs="Arial" w:eastAsia="Arial" w:hAnsi="Arial"/>
                <w:sz w:val="18"/>
                <w:szCs w:val="18"/>
                <w:color w:val="auto"/>
                <w:w w:val="83"/>
              </w:rPr>
              <w:t>30,000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101,347</w:t>
            </w: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131,347</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580" w:right="20" w:hanging="572"/>
        <w:spacing w:after="0" w:line="207" w:lineRule="auto"/>
        <w:tabs>
          <w:tab w:leader="none" w:pos="580" w:val="left"/>
        </w:tabs>
        <w:numPr>
          <w:ilvl w:val="0"/>
          <w:numId w:val="19"/>
        </w:numPr>
        <w:rPr>
          <w:rFonts w:ascii="Arial" w:cs="Arial" w:eastAsia="Arial" w:hAnsi="Arial"/>
          <w:sz w:val="28"/>
          <w:szCs w:val="28"/>
          <w:color w:val="auto"/>
          <w:vertAlign w:val="superscript"/>
        </w:rPr>
      </w:pPr>
      <w:r>
        <w:rPr>
          <w:rFonts w:ascii="Arial" w:cs="Arial" w:eastAsia="Arial" w:hAnsi="Arial"/>
          <w:sz w:val="16"/>
          <w:szCs w:val="16"/>
          <w:color w:val="auto"/>
        </w:rPr>
        <w:t>The amounts shown represent fees earned for service on our Board, and Audit Committee, Compensation Committee and Corporate Governance and Nominating Committee during the fiscal year ended March 31, 2020, which amounts were paid in full during the fiscal year then ended.</w:t>
      </w:r>
    </w:p>
    <w:p>
      <w:pPr>
        <w:spacing w:after="0" w:line="211" w:lineRule="exact"/>
        <w:rPr>
          <w:rFonts w:ascii="Arial" w:cs="Arial" w:eastAsia="Arial" w:hAnsi="Arial"/>
          <w:sz w:val="28"/>
          <w:szCs w:val="28"/>
          <w:color w:val="auto"/>
          <w:vertAlign w:val="superscript"/>
        </w:rPr>
      </w:pPr>
    </w:p>
    <w:p>
      <w:pPr>
        <w:jc w:val="both"/>
        <w:ind w:left="580" w:hanging="572"/>
        <w:spacing w:after="0" w:line="242" w:lineRule="auto"/>
        <w:tabs>
          <w:tab w:leader="none" w:pos="580" w:val="left"/>
        </w:tabs>
        <w:numPr>
          <w:ilvl w:val="0"/>
          <w:numId w:val="19"/>
        </w:numPr>
        <w:rPr>
          <w:rFonts w:ascii="Arial" w:cs="Arial" w:eastAsia="Arial" w:hAnsi="Arial"/>
          <w:sz w:val="29"/>
          <w:szCs w:val="29"/>
          <w:color w:val="auto"/>
          <w:vertAlign w:val="superscript"/>
        </w:rPr>
      </w:pPr>
      <w:r>
        <w:rPr>
          <w:rFonts w:ascii="Arial" w:cs="Arial" w:eastAsia="Arial" w:hAnsi="Arial"/>
          <w:sz w:val="17"/>
          <w:szCs w:val="17"/>
          <w:color w:val="auto"/>
        </w:rPr>
        <w:t>The amounts in the “Option Awards” column do not represent any cash payments actually received by Mr. Saxe, Dr. Underdown, Dr. Gin or Ms. Cunningham with respect to any of such stock options awarded to them during the fiscal year ended March 31, 2020 Rather, the amounts represent (i) the aggregate grant date fair value of options to purchase shares of our common stock awarded to Mr. Saxe, Dr. Underdown, Dr. Gin and Ms. Cunningham during our fiscal year ended March 31, 2020, computed in accordance with the Financial Accounting Standards Board’s Accounting Standards Codification Topic 718, Compensation – Stock Compensation (</w:t>
      </w:r>
      <w:r>
        <w:rPr>
          <w:rFonts w:ascii="Arial" w:cs="Arial" w:eastAsia="Arial" w:hAnsi="Arial"/>
          <w:sz w:val="17"/>
          <w:szCs w:val="17"/>
          <w:i w:val="1"/>
          <w:iCs w:val="1"/>
          <w:color w:val="auto"/>
        </w:rPr>
        <w:t>ASC 718</w:t>
      </w:r>
      <w:r>
        <w:rPr>
          <w:rFonts w:ascii="Arial" w:cs="Arial" w:eastAsia="Arial" w:hAnsi="Arial"/>
          <w:sz w:val="17"/>
          <w:szCs w:val="17"/>
          <w:color w:val="auto"/>
        </w:rPr>
        <w:t>). To date, Mr. Saxe, Dr. Underdown, Dr. Gin and Ms. Cunningham have not exercised any of the options granted during our fiscal year ended March 31, 2020, and there can be no assurance that any of them will ever realize any of the ASC 718 grant date fair value amounts presented in the “Option Awards” column.</w:t>
      </w:r>
    </w:p>
    <w:p>
      <w:pPr>
        <w:spacing w:after="0" w:line="209" w:lineRule="exact"/>
        <w:rPr>
          <w:rFonts w:ascii="Arial" w:cs="Arial" w:eastAsia="Arial" w:hAnsi="Arial"/>
          <w:sz w:val="29"/>
          <w:szCs w:val="29"/>
          <w:color w:val="auto"/>
          <w:vertAlign w:val="superscript"/>
        </w:rPr>
      </w:pPr>
    </w:p>
    <w:p>
      <w:pPr>
        <w:jc w:val="both"/>
        <w:ind w:left="580" w:hanging="572"/>
        <w:spacing w:after="0" w:line="227" w:lineRule="auto"/>
        <w:tabs>
          <w:tab w:leader="none" w:pos="580" w:val="left"/>
        </w:tabs>
        <w:numPr>
          <w:ilvl w:val="0"/>
          <w:numId w:val="19"/>
        </w:numPr>
        <w:rPr>
          <w:rFonts w:ascii="Arial" w:cs="Arial" w:eastAsia="Arial" w:hAnsi="Arial"/>
          <w:sz w:val="29"/>
          <w:szCs w:val="29"/>
          <w:color w:val="auto"/>
          <w:vertAlign w:val="superscript"/>
        </w:rPr>
      </w:pPr>
      <w:r>
        <w:rPr>
          <w:rFonts w:ascii="Arial" w:cs="Arial" w:eastAsia="Arial" w:hAnsi="Arial"/>
          <w:sz w:val="17"/>
          <w:szCs w:val="17"/>
          <w:color w:val="auto"/>
        </w:rPr>
        <w:t>Mr. Saxe has served as the Chairman of our Board, the Chairman of our Audit Committee and a member of our Compensation Committee and Corporate Governance and Nominating Committee throughout our fiscal year ended March 31, 2020. At March 31, 2020, Mr. Saxe held: (i) 23,251 shares of our common stock; (ii) options to purchase 437,500 registered shares of our common stock, of which options to purchase 351,631 shares were exercisable; and (iii) warrants to purchase 57,500 restricted shares of our common stock, all of which are exercisable.</w:t>
      </w:r>
    </w:p>
    <w:p>
      <w:pPr>
        <w:spacing w:after="0" w:line="209" w:lineRule="exact"/>
        <w:rPr>
          <w:rFonts w:ascii="Arial" w:cs="Arial" w:eastAsia="Arial" w:hAnsi="Arial"/>
          <w:sz w:val="29"/>
          <w:szCs w:val="29"/>
          <w:color w:val="auto"/>
          <w:vertAlign w:val="superscript"/>
        </w:rPr>
      </w:pPr>
    </w:p>
    <w:p>
      <w:pPr>
        <w:jc w:val="both"/>
        <w:ind w:left="580" w:hanging="572"/>
        <w:spacing w:after="0" w:line="227" w:lineRule="auto"/>
        <w:tabs>
          <w:tab w:leader="none" w:pos="580" w:val="left"/>
        </w:tabs>
        <w:numPr>
          <w:ilvl w:val="0"/>
          <w:numId w:val="19"/>
        </w:numPr>
        <w:rPr>
          <w:rFonts w:ascii="Arial" w:cs="Arial" w:eastAsia="Arial" w:hAnsi="Arial"/>
          <w:sz w:val="29"/>
          <w:szCs w:val="29"/>
          <w:color w:val="auto"/>
          <w:vertAlign w:val="superscript"/>
        </w:rPr>
      </w:pPr>
      <w:r>
        <w:rPr>
          <w:rFonts w:ascii="Arial" w:cs="Arial" w:eastAsia="Arial" w:hAnsi="Arial"/>
          <w:sz w:val="17"/>
          <w:szCs w:val="17"/>
          <w:color w:val="auto"/>
        </w:rPr>
        <w:t>Dr. Underdown has served as a member of our Board, as the Chairman of our Compensation Committee and as a member of our Audit Committee and Corporate Governance and Nominating Committee throughout the fiscal year ended March 31, 2020. At March 31, 2020, Dr. Underdown held: (i) options to purchase 437,500 registered shares of our common stock, of which options to purchase 351,631 shares were exercisable; and (ii) warrants to purchase 57,500 restricted shares of our common stock, all of which are exercisable.</w:t>
      </w:r>
    </w:p>
    <w:p>
      <w:pPr>
        <w:spacing w:after="0" w:line="209" w:lineRule="exact"/>
        <w:rPr>
          <w:rFonts w:ascii="Arial" w:cs="Arial" w:eastAsia="Arial" w:hAnsi="Arial"/>
          <w:sz w:val="29"/>
          <w:szCs w:val="29"/>
          <w:color w:val="auto"/>
          <w:vertAlign w:val="superscript"/>
        </w:rPr>
      </w:pPr>
    </w:p>
    <w:p>
      <w:pPr>
        <w:jc w:val="both"/>
        <w:ind w:left="580" w:hanging="572"/>
        <w:spacing w:after="0" w:line="227" w:lineRule="auto"/>
        <w:tabs>
          <w:tab w:leader="none" w:pos="580" w:val="left"/>
        </w:tabs>
        <w:numPr>
          <w:ilvl w:val="0"/>
          <w:numId w:val="19"/>
        </w:numPr>
        <w:rPr>
          <w:rFonts w:ascii="Arial" w:cs="Arial" w:eastAsia="Arial" w:hAnsi="Arial"/>
          <w:sz w:val="29"/>
          <w:szCs w:val="29"/>
          <w:color w:val="auto"/>
          <w:vertAlign w:val="superscript"/>
        </w:rPr>
      </w:pPr>
      <w:r>
        <w:rPr>
          <w:rFonts w:ascii="Arial" w:cs="Arial" w:eastAsia="Arial" w:hAnsi="Arial"/>
          <w:sz w:val="17"/>
          <w:szCs w:val="17"/>
          <w:color w:val="auto"/>
        </w:rPr>
        <w:t>Dr. Gin has served as a member of our Board, as the Chairman of our Corporate Governance and Nominating Committee and as a member of our Audit Committee and Compensation Committee throughout the fiscal year ended March 31, 2020. At March 31, 2020, Dr. Gin held: (i) 50,000 shares of our unregistered common stock, (ii) options to purchase 460,000 registered shares of our common stock of which 374,131 were exercisable; and (ii) warrants to purchase 50,000 restricted shares of our common stock, all of which are exercisable.</w:t>
      </w:r>
    </w:p>
    <w:p>
      <w:pPr>
        <w:spacing w:after="0" w:line="209" w:lineRule="exact"/>
        <w:rPr>
          <w:rFonts w:ascii="Arial" w:cs="Arial" w:eastAsia="Arial" w:hAnsi="Arial"/>
          <w:sz w:val="29"/>
          <w:szCs w:val="29"/>
          <w:color w:val="auto"/>
          <w:vertAlign w:val="superscript"/>
        </w:rPr>
      </w:pPr>
    </w:p>
    <w:p>
      <w:pPr>
        <w:jc w:val="both"/>
        <w:ind w:left="580" w:hanging="572"/>
        <w:spacing w:after="0" w:line="206" w:lineRule="auto"/>
        <w:tabs>
          <w:tab w:leader="none" w:pos="58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Ms. Cunningham has served as a member of our Board and as a member of Corporate Governance and Nominating Committee since her appointment to both on January 10, 2019. At March 31, 2020, Ms. Cunningham held options to purchase 150,000 registered shares of our common stock, of which 78,386 were exercisable.</w:t>
      </w:r>
    </w:p>
    <w:p>
      <w:pPr>
        <w:spacing w:after="0" w:line="212" w:lineRule="exact"/>
        <w:rPr>
          <w:rFonts w:ascii="Arial" w:cs="Arial" w:eastAsia="Arial" w:hAnsi="Arial"/>
          <w:sz w:val="30"/>
          <w:szCs w:val="30"/>
          <w:color w:val="auto"/>
          <w:vertAlign w:val="superscript"/>
        </w:rPr>
      </w:pPr>
    </w:p>
    <w:p>
      <w:pPr>
        <w:ind w:left="580" w:right="40" w:hanging="572"/>
        <w:spacing w:after="0" w:line="207" w:lineRule="auto"/>
        <w:tabs>
          <w:tab w:leader="none" w:pos="580" w:val="left"/>
        </w:tabs>
        <w:numPr>
          <w:ilvl w:val="0"/>
          <w:numId w:val="19"/>
        </w:numPr>
        <w:rPr>
          <w:rFonts w:ascii="Arial" w:cs="Arial" w:eastAsia="Arial" w:hAnsi="Arial"/>
          <w:sz w:val="28"/>
          <w:szCs w:val="28"/>
          <w:color w:val="auto"/>
          <w:vertAlign w:val="superscript"/>
        </w:rPr>
      </w:pPr>
      <w:r>
        <w:rPr>
          <w:rFonts w:ascii="Arial" w:cs="Arial" w:eastAsia="Arial" w:hAnsi="Arial"/>
          <w:sz w:val="16"/>
          <w:szCs w:val="16"/>
          <w:color w:val="auto"/>
        </w:rPr>
        <w:t>The table below provides information regarding the option awards we granted to Mr. Saxe, Dr. Underdown, Dr. Gin and Ms. Cunningham during fiscal 2020 and the assumptions used in the Black Scholes Option Pricing Model to determine the grant date fair values of the respective awards.</w:t>
      </w:r>
    </w:p>
    <w:p>
      <w:pPr>
        <w:spacing w:after="0" w:line="239" w:lineRule="exact"/>
        <w:rPr>
          <w:sz w:val="20"/>
          <w:szCs w:val="20"/>
          <w:color w:val="auto"/>
        </w:rPr>
      </w:pPr>
    </w:p>
    <w:tbl>
      <w:tblPr>
        <w:tblLayout w:type="fixed"/>
        <w:tblInd w:w="980" w:type="dxa"/>
        <w:tblCellMar>
          <w:top w:w="0" w:type="dxa"/>
          <w:left w:w="0" w:type="dxa"/>
          <w:bottom w:w="0" w:type="dxa"/>
          <w:right w:w="0" w:type="dxa"/>
        </w:tblCellMar>
      </w:tblPr>
      <w:tr>
        <w:trPr>
          <w:trHeight w:val="222"/>
        </w:trPr>
        <w:tc>
          <w:tcPr>
            <w:tcW w:w="6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Option</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6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Grant</w:t>
            </w:r>
          </w:p>
        </w:tc>
        <w:tc>
          <w:tcPr>
            <w:tcW w:w="100" w:type="dxa"/>
            <w:vAlign w:val="bottom"/>
          </w:tcPr>
          <w:p>
            <w:pPr>
              <w:spacing w:after="0"/>
              <w:rPr>
                <w:sz w:val="21"/>
                <w:szCs w:val="21"/>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Grant</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2"/>
        </w:trPr>
        <w:tc>
          <w:tcPr>
            <w:tcW w:w="6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87"/>
              </w:rPr>
              <w:t>5/23/2019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10/21/2019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Total</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Saxe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26,916</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74,431</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101,347</w:t>
            </w: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Underdown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74,431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101,347</w:t>
            </w: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Gin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101,347</w:t>
            </w:r>
          </w:p>
        </w:tc>
        <w:tc>
          <w:tcPr>
            <w:tcW w:w="120" w:type="dxa"/>
            <w:vAlign w:val="bottom"/>
            <w:shd w:val="clear" w:color="auto" w:fill="CCEEFF"/>
          </w:tcPr>
          <w:p>
            <w:pPr>
              <w:spacing w:after="0"/>
              <w:rPr>
                <w:sz w:val="18"/>
                <w:szCs w:val="18"/>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Cunningham</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26,916</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74,431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101,347</w:t>
            </w:r>
          </w:p>
        </w:tc>
        <w:tc>
          <w:tcPr>
            <w:tcW w:w="120" w:type="dxa"/>
            <w:vAlign w:val="bottom"/>
          </w:tcPr>
          <w:p>
            <w:pPr>
              <w:spacing w:after="0"/>
              <w:rPr>
                <w:sz w:val="19"/>
                <w:szCs w:val="19"/>
                <w:color w:val="auto"/>
              </w:rPr>
            </w:pPr>
          </w:p>
        </w:tc>
      </w:tr>
      <w:tr>
        <w:trPr>
          <w:trHeight w:val="284"/>
        </w:trPr>
        <w:tc>
          <w:tcPr>
            <w:tcW w:w="6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107,662</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297,725</w:t>
            </w:r>
          </w:p>
        </w:tc>
        <w:tc>
          <w:tcPr>
            <w:tcW w:w="2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405,388</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09"/>
        </w:trPr>
        <w:tc>
          <w:tcPr>
            <w:tcW w:w="6700" w:type="dxa"/>
            <w:vAlign w:val="bottom"/>
          </w:tcPr>
          <w:p>
            <w:pPr>
              <w:spacing w:after="0"/>
              <w:rPr>
                <w:sz w:val="20"/>
                <w:szCs w:val="20"/>
                <w:color w:val="auto"/>
              </w:rPr>
            </w:pPr>
            <w:r>
              <w:rPr>
                <w:rFonts w:ascii="Arial" w:cs="Arial" w:eastAsia="Arial" w:hAnsi="Arial"/>
                <w:sz w:val="18"/>
                <w:szCs w:val="18"/>
                <w:color w:val="auto"/>
              </w:rPr>
              <w:t>Exercise Price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Grant Date stock price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Volatility</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85.85%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87.53%</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Fair value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Aggregate option shares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left="980"/>
        <w:spacing w:after="0" w:line="268" w:lineRule="auto"/>
        <w:rPr>
          <w:sz w:val="20"/>
          <w:szCs w:val="20"/>
          <w:color w:val="auto"/>
        </w:rPr>
      </w:pPr>
      <w:r>
        <w:rPr>
          <w:rFonts w:ascii="Arial" w:cs="Arial" w:eastAsia="Arial" w:hAnsi="Arial"/>
          <w:sz w:val="18"/>
          <w:szCs w:val="18"/>
          <w:color w:val="auto"/>
        </w:rPr>
        <w:t>Mr. Saxe, Dr. Underdown, Dr. Gin and Ms. Cunningham were each granted an option to purchase 50,000 shares of our common stock on May 23, 2019. Each was also granted an option to purchase 75,000 shares of our common stock on October 21, 2019</w:t>
      </w:r>
    </w:p>
    <w:p>
      <w:pPr>
        <w:sectPr>
          <w:pgSz w:w="11900" w:h="16838" w:orient="portrait"/>
          <w:cols w:equalWidth="0" w:num="1">
            <w:col w:w="11240"/>
          </w:cols>
          <w:pgMar w:left="320" w:top="131" w:right="339" w:bottom="3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352" w:gutter="0" w:footer="0" w:header="0"/>
          <w:type w:val="continuous"/>
        </w:sectPr>
      </w:pPr>
    </w:p>
    <w:bookmarkStart w:id="41" w:name="page42"/>
    <w:bookmarkEnd w:id="4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Attendance at Board of Directors, Committee and Stockholder Meetings</w:t>
      </w:r>
    </w:p>
    <w:p>
      <w:pPr>
        <w:spacing w:after="0" w:line="231"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16"/>
          <w:szCs w:val="16"/>
          <w:color w:val="auto"/>
        </w:rPr>
        <w:t>Our Board met five times and acted by unanimous written consent five times during our fiscal year ended March 31, 2020. Our Audit Committee met four times. Our Compensation Committee met once, acted by unanimous written consent three times with respect to executive compensation matters and grants of equity securities, and requested action by the entire Board with respect to the adoption of our 2019 Omnibus Equity Incentive Plan and 2019 Employee Stock Purchase Plan and the modification of certain outstanding warrants. Our Corporate Governance and Nominating Committee requested action by the entire Board with respect to re-election of members of our Board and other resolutions presented to our stockholders at our September 2019 annual meeting of stockholders and Board committee assignments. With the exception of Dr. Snodgrass, who was unable to attend one Board meeting due to international travel, each director serving during Fiscal 2020 attended all of the meetings of the Board and the committees of the Board upon which such director served that were held during the fiscal year.</w:t>
      </w:r>
    </w:p>
    <w:p>
      <w:pPr>
        <w:spacing w:after="0" w:line="178"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do not have a formal policy regarding attendance by members of the Board at our annual meetings of stockholders, but directors are encouraged to attend. With the exception of Dr. Underdown and Ms. Cunningham, each of whom was unavailable, each of our directors attended our September 2019 Annual Meeting of Stockholders in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31" w:lineRule="exact"/>
        <w:rPr>
          <w:sz w:val="20"/>
          <w:szCs w:val="20"/>
          <w:color w:val="auto"/>
        </w:rPr>
      </w:pPr>
    </w:p>
    <w:p>
      <w:pPr>
        <w:jc w:val="both"/>
        <w:ind w:right="100" w:firstLine="648"/>
        <w:spacing w:after="0" w:line="268" w:lineRule="auto"/>
        <w:rPr>
          <w:sz w:val="20"/>
          <w:szCs w:val="20"/>
          <w:color w:val="auto"/>
        </w:rPr>
      </w:pPr>
      <w:r>
        <w:rPr>
          <w:rFonts w:ascii="Arial" w:cs="Arial" w:eastAsia="Arial" w:hAnsi="Arial"/>
          <w:sz w:val="18"/>
          <w:szCs w:val="18"/>
          <w:color w:val="auto"/>
        </w:rPr>
        <w:t>Our securities are currently listed on the Nasdaq Capital Market, which requires that a majority of our directors be independent. Accordingly, we evaluate director independence under the standards established by the SEC and the rules of the Nasdaq Stock Market.</w:t>
      </w:r>
    </w:p>
    <w:p>
      <w:pPr>
        <w:spacing w:after="0" w:line="186"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$200,000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20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Mr. Saxe, Dr. Underdown, Dr. Gin and Ms. Cunningham are each “independent” as that term is defined by the rules of the Nasdaq Stock Market. Our Board has also determined that Mr. Saxe, Dr. Underdown and Dr. Gin, who together comprise our Audit Committee and Compensation Committee, and, together with Ms. Cunningham comprise our Corporate Governance and Nominating Committee, satisfy the independence standards set forth in the Nasdaq Stock Market rules. In making these determinations, our Board considered the current and prior relationships that each nonemployee director has with the Company and all other facts and circumstances that our Board deemed relevant.</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131" w:right="29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Charters</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Board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Since April 1, 2017, only our independent directors, Mr. Saxe, Dr. Underdown and Dr. Gin, and, since January 10, 2019, Ms. Cunningham, serve as members of these committees.</w:t>
      </w:r>
    </w:p>
    <w:p>
      <w:pPr>
        <w:spacing w:after="0" w:line="197" w:lineRule="exact"/>
        <w:rPr>
          <w:sz w:val="20"/>
          <w:szCs w:val="20"/>
          <w:color w:val="auto"/>
        </w:rPr>
      </w:pPr>
    </w:p>
    <w:p>
      <w:pPr>
        <w:jc w:val="both"/>
        <w:ind w:right="40" w:firstLine="648"/>
        <w:spacing w:after="0" w:line="298" w:lineRule="auto"/>
        <w:rPr>
          <w:sz w:val="20"/>
          <w:szCs w:val="20"/>
          <w:color w:val="auto"/>
        </w:rPr>
      </w:pPr>
      <w:r>
        <w:rPr>
          <w:rFonts w:ascii="Arial" w:cs="Arial" w:eastAsia="Arial" w:hAnsi="Arial"/>
          <w:sz w:val="16"/>
          <w:szCs w:val="16"/>
          <w:color w:val="auto"/>
        </w:rPr>
        <w:t xml:space="preserve">The Audit Committee of our Board is comprised of Mr. Saxe, who serves as the committee chairman, Dr. Underdown and Dr. Gin. Mr. Saxe is also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at </w:t>
      </w:r>
      <w:r>
        <w:rPr>
          <w:rFonts w:ascii="Arial" w:cs="Arial" w:eastAsia="Arial" w:hAnsi="Arial"/>
          <w:sz w:val="16"/>
          <w:szCs w:val="16"/>
          <w:u w:val="single" w:color="auto"/>
          <w:color w:val="auto"/>
        </w:rPr>
        <w:t>www.vistagen.com</w:t>
      </w:r>
      <w:r>
        <w:rPr>
          <w:rFonts w:ascii="Arial" w:cs="Arial" w:eastAsia="Arial" w:hAnsi="Arial"/>
          <w:sz w:val="16"/>
          <w:szCs w:val="16"/>
          <w:color w:val="auto"/>
        </w:rPr>
        <w:t>. Under its charter, our Audit Committee is primarily responsible for, among other things, the following:</w:t>
      </w:r>
    </w:p>
    <w:p>
      <w:pPr>
        <w:spacing w:after="0" w:line="166" w:lineRule="exact"/>
        <w:rPr>
          <w:sz w:val="20"/>
          <w:szCs w:val="20"/>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131" w:right="29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Compensation Committee of our Board is comprised of Dr. Underdown, who serves as the committee chairman, Mr. Saxe, and Dr. Gin. Our Compensation Committee charter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Under its charter, the Compensation Committee is primarily responsible for, among other things, the following:</w:t>
      </w:r>
    </w:p>
    <w:p>
      <w:pPr>
        <w:spacing w:after="0" w:line="194" w:lineRule="exact"/>
        <w:rPr>
          <w:sz w:val="20"/>
          <w:szCs w:val="20"/>
          <w:color w:val="auto"/>
        </w:rPr>
      </w:pPr>
    </w:p>
    <w:p>
      <w:pPr>
        <w:jc w:val="both"/>
        <w:ind w:left="660" w:hanging="490"/>
        <w:spacing w:after="0" w:line="25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reviewing and approving our compensation programs and arrangements applicable to our executive officers (as defined in Rule I 6a-I (f)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96" w:lineRule="exact"/>
        <w:rPr>
          <w:rFonts w:ascii="Arial" w:cs="Arial" w:eastAsia="Arial" w:hAnsi="Arial"/>
          <w:sz w:val="18"/>
          <w:szCs w:val="18"/>
          <w:color w:val="auto"/>
        </w:rPr>
      </w:pPr>
    </w:p>
    <w:p>
      <w:pPr>
        <w:ind w:left="660" w:hanging="49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2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18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goals and objectives relevant to Chief Executive Officer compensation, evaluating Chief Executive Officer performance in light of such goals and objectives, and determining Chief Executive Officer compensation based on the evaluation;</w:t>
      </w:r>
    </w:p>
    <w:p>
      <w:pPr>
        <w:spacing w:after="0" w:line="185" w:lineRule="exact"/>
        <w:rPr>
          <w:rFonts w:ascii="Arial" w:cs="Arial" w:eastAsia="Arial" w:hAnsi="Arial"/>
          <w:sz w:val="18"/>
          <w:szCs w:val="18"/>
          <w:color w:val="auto"/>
        </w:rPr>
      </w:pPr>
    </w:p>
    <w:p>
      <w:pPr>
        <w:jc w:val="both"/>
        <w:ind w:left="660" w:hanging="490"/>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93" w:lineRule="exact"/>
        <w:rPr>
          <w:rFonts w:ascii="Arial" w:cs="Arial" w:eastAsia="Arial" w:hAnsi="Arial"/>
          <w:sz w:val="18"/>
          <w:szCs w:val="18"/>
          <w:color w:val="auto"/>
        </w:rPr>
      </w:pPr>
    </w:p>
    <w:p>
      <w:pPr>
        <w:ind w:left="660" w:hanging="490"/>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 and</w:t>
      </w:r>
    </w:p>
    <w:p>
      <w:pPr>
        <w:spacing w:after="0" w:line="22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The Corporate Governance and Nominating Committee of our Board is comprised of Dr. Gin, who serves as the committee chairman, Mr. Saxe, Dr. Underdown and Ms. Cunningham. Our Corporate Governance and Nominating Committee charter is available on our website at </w:t>
      </w:r>
      <w:r>
        <w:rPr>
          <w:rFonts w:ascii="Arial" w:cs="Arial" w:eastAsia="Arial" w:hAnsi="Arial"/>
          <w:sz w:val="16"/>
          <w:szCs w:val="16"/>
          <w:u w:val="single" w:color="auto"/>
          <w:color w:val="auto"/>
        </w:rPr>
        <w:t>www.vistagen.com</w:t>
      </w:r>
      <w:r>
        <w:rPr>
          <w:rFonts w:ascii="Arial" w:cs="Arial" w:eastAsia="Arial" w:hAnsi="Arial"/>
          <w:sz w:val="16"/>
          <w:szCs w:val="16"/>
          <w:color w:val="auto"/>
        </w:rPr>
        <w:t>. Under its charter, the Corporate Governance and Nominating Committee is primarily responsible for, among other things, the following:</w:t>
      </w:r>
    </w:p>
    <w:p>
      <w:pPr>
        <w:spacing w:after="0" w:line="160" w:lineRule="exact"/>
        <w:rPr>
          <w:sz w:val="20"/>
          <w:szCs w:val="20"/>
          <w:color w:val="auto"/>
        </w:rPr>
      </w:pPr>
    </w:p>
    <w:p>
      <w:pPr>
        <w:ind w:left="660" w:hanging="490"/>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2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185" w:lineRule="exact"/>
        <w:rPr>
          <w:rFonts w:ascii="Arial" w:cs="Arial" w:eastAsia="Arial" w:hAnsi="Arial"/>
          <w:sz w:val="18"/>
          <w:szCs w:val="18"/>
          <w:color w:val="auto"/>
        </w:rPr>
      </w:pPr>
    </w:p>
    <w:p>
      <w:pPr>
        <w:ind w:left="660" w:hanging="490"/>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of our Board consists of Dr. Underdown, Mr. Saxe and Dr. Gin, each of whom is an independent, nonemployee director. None of the members of the Compensation Committee has a relationship that would constitute an interlocking relationship with executive officers or directors of another entity.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currently separates the roles of Chief Executive Officer and Chairman of the Board in recognition of the differences between the two roles. Our Chief Executive Officer, who is also a member of our Board, is responsible for setting the strategic direction of the Company and the day-to-day leadership and performance of the Company, while the Chairman of the Board provides guidance to the Chief Executive Officer and sets the agenda for the Board meetings and presides over meetings of the Board. Although these roles are currently separate, the Board believes it should be able to freely select the Chairman of the Board based on criteria that it deems to be in the best interest of the Company and its stockholders, and therefore one person may, in the future, serve as both the Chief Executive Officer and Chairman of the Board.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Assessment</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Management, in consultation with outside professionals, as applicable, identifies risks associated with the Company’s operations, strategies and financial statements. Risk assessment is also performed through periodic reports received by the Audit Committee from management,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wish to communicate with the Board, you may send your communication in writing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must include your name and address in the written communication and indicate whether you are a stockholder of the Company. The Corporate Secretary will review any communication received from a stockholder, and all material and appropriate communications from stockholders will be forwarded to the appropriate director or directors or committee of the Board based on the subject matter.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validity of the securities offered hereby will be passed upon for us by Disclosure Law Group, a Professional Corporation, San Diego, California (</w:t>
      </w:r>
      <w:r>
        <w:rPr>
          <w:rFonts w:ascii="Arial" w:cs="Arial" w:eastAsia="Arial" w:hAnsi="Arial"/>
          <w:sz w:val="18"/>
          <w:szCs w:val="18"/>
          <w:i w:val="1"/>
          <w:iCs w:val="1"/>
          <w:color w:val="auto"/>
        </w:rPr>
        <w:t>DLG</w:t>
      </w:r>
      <w:r>
        <w:rPr>
          <w:rFonts w:ascii="Arial" w:cs="Arial" w:eastAsia="Arial" w:hAnsi="Arial"/>
          <w:sz w:val="18"/>
          <w:szCs w:val="18"/>
          <w:color w:val="auto"/>
        </w:rPr>
        <w:t>). Partners of DLG beneficially own an aggregate of 74,487 registered and/or restricted shares of our common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audited financial statements incorporated by reference in this prospectus and elsewhere in the registration statement have been incorporated by reference in reliance upon the report of OUM &amp; Co. LLP, independent registered public accounting firm, upon the authority of said firm as experts in accounting and auditing. The 2019 and 2018 audited annual consolidated financial statements of VistaGen Therapeutics, Inc., as of and for the years ended March 31, 2019 and 2018, have been audited by OUM &amp; Co. LLP, independent registered public accounting firm. The audit report dated June 25, 2019 for the 2019 audited annual consolidated financial statements includes an explanatory paragraph which states that certain circumstances raise substantial doubt about our ability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We are subject to the informational requirements of the Exchange Act and in accordance therewith we file annual, quarterly, and other reports, proxy statements and other information with the Commission under the Exchange Act. Such reports, proxy statements and other information, including the Registration Statement, and exhibits and schedules thereto, are available to the public through the Commission’s website at www.sec.gov.</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make available free of charge on or through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 it to the Commission.</w:t>
      </w:r>
    </w:p>
    <w:p>
      <w:pPr>
        <w:spacing w:after="0" w:line="19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have filed with the Commission a registration statement under the Securities Act of 1933, as amended,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at prescribed rates, from the Commission at the address listed above, or for free at www.sec.gov. The registration statement and the documents referred to below under “</w:t>
      </w:r>
      <w:r>
        <w:rPr>
          <w:rFonts w:ascii="Arial" w:cs="Arial" w:eastAsia="Arial" w:hAnsi="Arial"/>
          <w:sz w:val="16"/>
          <w:szCs w:val="16"/>
          <w:i w:val="1"/>
          <w:iCs w:val="1"/>
          <w:color w:val="auto"/>
        </w:rPr>
        <w:t>Incorporation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Certain Information by Reference</w:t>
      </w:r>
      <w:r>
        <w:rPr>
          <w:rFonts w:ascii="Arial" w:cs="Arial" w:eastAsia="Arial" w:hAnsi="Arial"/>
          <w:sz w:val="16"/>
          <w:szCs w:val="16"/>
          <w:color w:val="auto"/>
        </w:rPr>
        <w:t>” are also available on our website, www.vistagen.com/sec-filings.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have not incorporated by reference into this prospectus the information on our website, and you should not consider it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us with the SEC are incorporated by reference in this prospectus:</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Annual Report on Form 10-K for the year ended March 31, 2019, filed on June 25,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Report on Form 10-Q for the period ended June 30, 2019, filed on August 13,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Report on Form 10-Q for the period ended September 30, 2019, filed on November 7,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Report on Form 10-Q for the period ended December 31, 2019, filed on February 13,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April 4,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May 2,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June 21,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July 23,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August 16,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August 23,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September 6,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September 25,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October 9,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October 30,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November 8,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December 12,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December 27,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January 27,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January 31,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February 13,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February 21,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March 26,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April 3,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 on Form 8-K, filed on April 27, 2020; and</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the Registration Statement on Form 8-A filed pursuant to Section 12(b) of the Securities Exchange Act of 1934,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on May 3, 2016, including any amendment or report filed with the SEC for the purpose of updating this description.</w:t>
      </w:r>
    </w:p>
    <w:p>
      <w:pPr>
        <w:sectPr>
          <w:pgSz w:w="11900" w:h="16838" w:orient="portrait"/>
          <w:cols w:equalWidth="0" w:num="1">
            <w:col w:w="11220"/>
          </w:cols>
          <w:pgMar w:left="320" w:top="1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1" w:right="359" w:bottom="1440" w:gutter="0" w:footer="0" w:header="0"/>
          <w:type w:val="continuous"/>
        </w:sectPr>
      </w:pPr>
    </w:p>
    <w:bookmarkStart w:id="47" w:name="page48"/>
    <w:bookmarkEnd w:id="47"/>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firstLine="692"/>
        <w:spacing w:after="0" w:line="254" w:lineRule="auto"/>
        <w:rPr>
          <w:sz w:val="20"/>
          <w:szCs w:val="20"/>
          <w:color w:val="auto"/>
        </w:rPr>
      </w:pPr>
      <w:r>
        <w:rPr>
          <w:rFonts w:ascii="Arial" w:cs="Arial" w:eastAsia="Arial" w:hAnsi="Arial"/>
          <w:sz w:val="18"/>
          <w:szCs w:val="18"/>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20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66" w:lineRule="exact"/>
        <w:rPr>
          <w:sz w:val="20"/>
          <w:szCs w:val="20"/>
          <w:color w:val="auto"/>
        </w:rPr>
      </w:pPr>
    </w:p>
    <w:p>
      <w:pPr>
        <w:jc w:val="both"/>
        <w:ind w:right="20" w:firstLine="648"/>
        <w:spacing w:after="0" w:line="306"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 577-3600</w:t>
      </w:r>
    </w:p>
    <w:p>
      <w:pPr>
        <w:spacing w:after="0" w:line="21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13,082,707 Shares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555625</wp:posOffset>
            </wp:positionV>
            <wp:extent cx="1362710" cy="9512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6271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331" w:lineRule="auto"/>
        <w:rPr>
          <w:sz w:val="20"/>
          <w:szCs w:val="20"/>
          <w:color w:val="auto"/>
        </w:rPr>
      </w:pPr>
      <w:r>
        <w:rPr>
          <w:rFonts w:ascii="Arial" w:cs="Arial" w:eastAsia="Arial" w:hAnsi="Arial"/>
          <w:sz w:val="16"/>
          <w:szCs w:val="16"/>
          <w:color w:val="auto"/>
        </w:rPr>
        <w:t>We have not authorized any dealer, salesperson or other person to give any information or to make any representations not contained in this prospectus. You must not rely on any unauthorized information. This prospectus is not an offer to sell these securities in any jurisdiction where an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7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Amount</w:t>
            </w:r>
          </w:p>
        </w:tc>
        <w:tc>
          <w:tcPr>
            <w:tcW w:w="140" w:type="dxa"/>
            <w:vAlign w:val="bottom"/>
          </w:tcPr>
          <w:p>
            <w:pPr>
              <w:spacing w:after="0"/>
              <w:rPr>
                <w:sz w:val="20"/>
                <w:szCs w:val="20"/>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747</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15,000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11,500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5,000</w:t>
            </w:r>
          </w:p>
        </w:tc>
      </w:tr>
      <w:tr>
        <w:trPr>
          <w:trHeight w:val="223"/>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3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w:t>
            </w:r>
          </w:p>
        </w:tc>
      </w:tr>
      <w:tr>
        <w:trPr>
          <w:trHeight w:val="216"/>
        </w:trPr>
        <w:tc>
          <w:tcPr>
            <w:tcW w:w="670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37"/>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37,247</w:t>
            </w:r>
          </w:p>
        </w:tc>
      </w:tr>
      <w:tr>
        <w:trPr>
          <w:trHeight w:val="20"/>
        </w:trPr>
        <w:tc>
          <w:tcPr>
            <w:tcW w:w="67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3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Our amended and restated bylaws provide that we will indemnify our directors, officers and employees to the fullest extent permitted by the Nevada Revised Statutes (</w:t>
      </w:r>
      <w:r>
        <w:rPr>
          <w:rFonts w:ascii="Arial" w:cs="Arial" w:eastAsia="Arial" w:hAnsi="Arial"/>
          <w:sz w:val="18"/>
          <w:szCs w:val="18"/>
          <w:i w:val="1"/>
          <w:iCs w:val="1"/>
          <w:color w:val="auto"/>
        </w:rPr>
        <w:t>NRS</w:t>
      </w:r>
      <w:r>
        <w:rPr>
          <w:rFonts w:ascii="Arial" w:cs="Arial" w:eastAsia="Arial" w:hAnsi="Arial"/>
          <w:sz w:val="18"/>
          <w:szCs w:val="18"/>
          <w:color w:val="auto"/>
        </w:rPr>
        <w:t>).</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9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limitation of liability and indemnification provisions in our bylaws may discourage stockholders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94"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10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Opinion of Disclosure Law Group, a Professional Corporation.</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520" w:type="dxa"/>
            <w:vAlign w:val="bottom"/>
          </w:tcPr>
          <w:p>
            <w:pPr>
              <w:ind w:left="300"/>
              <w:spacing w:after="0"/>
              <w:rPr>
                <w:sz w:val="20"/>
                <w:szCs w:val="20"/>
                <w:color w:val="auto"/>
              </w:rPr>
            </w:pPr>
            <w:r>
              <w:rPr>
                <w:rFonts w:ascii="Arial" w:cs="Arial" w:eastAsia="Arial" w:hAnsi="Arial"/>
                <w:sz w:val="18"/>
                <w:szCs w:val="18"/>
                <w:color w:val="auto"/>
              </w:rPr>
              <w:t>Consent of Disclosure Law Group, a Professional Corporation (included in Exhibit 5.1).</w:t>
            </w:r>
          </w:p>
        </w:tc>
      </w:tr>
      <w:tr>
        <w:trPr>
          <w:trHeight w:val="216"/>
        </w:trPr>
        <w:tc>
          <w:tcPr>
            <w:tcW w:w="720" w:type="dxa"/>
            <w:vAlign w:val="bottom"/>
            <w:shd w:val="clear" w:color="auto" w:fill="CCEEFF"/>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23.2</w:t>
              </w:r>
            </w:hyperlink>
          </w:p>
        </w:tc>
        <w:tc>
          <w:tcPr>
            <w:tcW w:w="10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Consent of Independent Registered Public Accounting Firm – OUM &amp; Co. LLP (filed herewith).</w:t>
            </w:r>
          </w:p>
        </w:tc>
      </w:tr>
      <w:tr>
        <w:trPr>
          <w:trHeight w:val="222"/>
        </w:trPr>
        <w:tc>
          <w:tcPr>
            <w:tcW w:w="72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24.1</w:t>
              </w:r>
            </w:hyperlink>
          </w:p>
        </w:tc>
        <w:tc>
          <w:tcPr>
            <w:tcW w:w="10520" w:type="dxa"/>
            <w:vAlign w:val="bottom"/>
          </w:tcPr>
          <w:p>
            <w:pPr>
              <w:ind w:left="300"/>
              <w:spacing w:after="0"/>
              <w:rPr>
                <w:sz w:val="20"/>
                <w:szCs w:val="20"/>
                <w:color w:val="auto"/>
              </w:rPr>
            </w:pPr>
            <w:r>
              <w:rPr>
                <w:rFonts w:ascii="Arial" w:cs="Arial" w:eastAsia="Arial" w:hAnsi="Arial"/>
                <w:sz w:val="18"/>
                <w:szCs w:val="18"/>
                <w:color w:val="auto"/>
              </w:rPr>
              <w:t>Power of Attorney (included on the signature page hereof)</w:t>
            </w:r>
          </w:p>
        </w:tc>
      </w:tr>
    </w:tbl>
    <w:p>
      <w:pPr>
        <w:spacing w:after="0" w:line="201"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be filed by amendment</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50" w:name="page51"/>
    <w:bookmarkEnd w:id="50"/>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31" w:lineRule="exact"/>
        <w:rPr>
          <w:sz w:val="20"/>
          <w:szCs w:val="20"/>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48" w:lineRule="exact"/>
        <w:rPr>
          <w:rFonts w:ascii="Arial" w:cs="Arial" w:eastAsia="Arial" w:hAnsi="Arial"/>
          <w:sz w:val="16"/>
          <w:szCs w:val="16"/>
          <w:color w:val="auto"/>
        </w:rPr>
      </w:pPr>
    </w:p>
    <w:p>
      <w:pPr>
        <w:ind w:left="2160" w:hanging="208"/>
        <w:spacing w:after="0"/>
        <w:tabs>
          <w:tab w:leader="none" w:pos="21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1300" w:firstLine="652"/>
        <w:spacing w:after="0" w:line="290" w:lineRule="auto"/>
        <w:tabs>
          <w:tab w:leader="none" w:pos="2218" w:val="left"/>
        </w:tabs>
        <w:numPr>
          <w:ilvl w:val="2"/>
          <w:numId w:val="2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71" w:lineRule="exact"/>
        <w:rPr>
          <w:rFonts w:ascii="Arial" w:cs="Arial" w:eastAsia="Arial" w:hAnsi="Arial"/>
          <w:sz w:val="16"/>
          <w:szCs w:val="16"/>
          <w:color w:val="auto"/>
        </w:rPr>
      </w:pPr>
    </w:p>
    <w:p>
      <w:pPr>
        <w:ind w:left="1300" w:firstLine="652"/>
        <w:spacing w:after="0" w:line="268" w:lineRule="auto"/>
        <w:tabs>
          <w:tab w:leader="none" w:pos="229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periodic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197" w:lineRule="exact"/>
        <w:rPr>
          <w:sz w:val="20"/>
          <w:szCs w:val="20"/>
          <w:color w:val="auto"/>
        </w:rPr>
      </w:pPr>
    </w:p>
    <w:p>
      <w:pPr>
        <w:jc w:val="both"/>
        <w:ind w:left="660" w:firstLine="644"/>
        <w:spacing w:after="0" w:line="259" w:lineRule="auto"/>
        <w:tabs>
          <w:tab w:leader="none" w:pos="155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3" w:lineRule="exact"/>
        <w:rPr>
          <w:rFonts w:ascii="Arial" w:cs="Arial" w:eastAsia="Arial" w:hAnsi="Arial"/>
          <w:sz w:val="18"/>
          <w:szCs w:val="18"/>
          <w:color w:val="auto"/>
        </w:rPr>
      </w:pPr>
    </w:p>
    <w:p>
      <w:pPr>
        <w:ind w:left="660" w:firstLine="644"/>
        <w:spacing w:after="0" w:line="268" w:lineRule="auto"/>
        <w:tabs>
          <w:tab w:leader="none" w:pos="15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1540" w:hanging="236"/>
        <w:spacing w:after="0"/>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300" w:firstLine="652"/>
        <w:spacing w:after="0" w:line="268" w:lineRule="auto"/>
        <w:tabs>
          <w:tab w:leader="none" w:pos="2166" w:val="left"/>
        </w:tabs>
        <w:numPr>
          <w:ilvl w:val="2"/>
          <w:numId w:val="2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jc w:val="both"/>
        <w:ind w:left="1300" w:firstLine="652"/>
        <w:spacing w:after="0" w:line="286" w:lineRule="auto"/>
        <w:tabs>
          <w:tab w:leader="none" w:pos="2213" w:val="left"/>
        </w:tabs>
        <w:numPr>
          <w:ilvl w:val="2"/>
          <w:numId w:val="26"/>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the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7" w:lineRule="exact"/>
        <w:rPr>
          <w:rFonts w:ascii="Arial" w:cs="Arial" w:eastAsia="Arial" w:hAnsi="Arial"/>
          <w:sz w:val="16"/>
          <w:szCs w:val="16"/>
          <w:color w:val="auto"/>
        </w:rPr>
      </w:pPr>
    </w:p>
    <w:p>
      <w:pPr>
        <w:jc w:val="both"/>
        <w:ind w:firstLine="656"/>
        <w:spacing w:after="0" w:line="254" w:lineRule="auto"/>
        <w:tabs>
          <w:tab w:leader="none" w:pos="9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0" w:lineRule="exact"/>
        <w:rPr>
          <w:rFonts w:ascii="Arial" w:cs="Arial" w:eastAsia="Arial" w:hAnsi="Arial"/>
          <w:sz w:val="18"/>
          <w:szCs w:val="18"/>
          <w:color w:val="auto"/>
        </w:rPr>
      </w:pPr>
    </w:p>
    <w:p>
      <w:pPr>
        <w:jc w:val="both"/>
        <w:ind w:firstLine="656"/>
        <w:spacing w:after="0" w:line="290" w:lineRule="auto"/>
        <w:tabs>
          <w:tab w:leader="none" w:pos="891"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1240"/>
          </w:cols>
          <w:pgMar w:left="320" w:top="131" w:right="339"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906" w:gutter="0" w:footer="0" w:header="0"/>
          <w:type w:val="continuous"/>
        </w:sectPr>
      </w:pPr>
    </w:p>
    <w:bookmarkStart w:id="51" w:name="page52"/>
    <w:bookmarkEnd w:id="51"/>
    <w:p>
      <w:pPr>
        <w:spacing w:after="0"/>
        <w:rPr>
          <w:rFonts w:ascii="Arial" w:cs="Arial" w:eastAsia="Arial" w:hAnsi="Arial"/>
          <w:sz w:val="18"/>
          <w:szCs w:val="18"/>
          <w:i w:val="1"/>
          <w:iCs w:val="1"/>
          <w:u w:val="single" w:color="auto"/>
          <w:color w:val="0000EE"/>
        </w:rPr>
      </w:pPr>
      <w:hyperlink w:anchor="page5">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California, on May 1, 2020</w:t>
      </w:r>
    </w:p>
    <w:p>
      <w:pPr>
        <w:spacing w:after="0" w:line="200" w:lineRule="exact"/>
        <w:rPr>
          <w:sz w:val="20"/>
          <w:szCs w:val="20"/>
          <w:color w:val="auto"/>
        </w:rPr>
      </w:pPr>
    </w:p>
    <w:p>
      <w:pPr>
        <w:spacing w:after="0" w:line="20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24" w:lineRule="exact"/>
        <w:rPr>
          <w:sz w:val="20"/>
          <w:szCs w:val="20"/>
          <w:color w:val="auto"/>
        </w:rPr>
      </w:pPr>
    </w:p>
    <w:tbl>
      <w:tblPr>
        <w:tblLayout w:type="fixed"/>
        <w:tblInd w:w="50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Shawn K. Singh</w:t>
            </w:r>
          </w:p>
        </w:tc>
        <w:tc>
          <w:tcPr>
            <w:tcW w:w="320" w:type="dxa"/>
            <w:vAlign w:val="bottom"/>
          </w:tcPr>
          <w:p>
            <w:pPr>
              <w:spacing w:after="0"/>
              <w:rPr>
                <w:sz w:val="17"/>
                <w:szCs w:val="17"/>
                <w:color w:val="auto"/>
              </w:rPr>
            </w:pPr>
          </w:p>
        </w:tc>
      </w:tr>
      <w:tr>
        <w:trPr>
          <w:trHeight w:val="228"/>
        </w:trPr>
        <w:tc>
          <w:tcPr>
            <w:tcW w:w="5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7"/>
              </w:rPr>
              <w:t>Shawn K. Singh, J.D.</w:t>
            </w:r>
          </w:p>
        </w:tc>
      </w:tr>
      <w:tr>
        <w:trPr>
          <w:trHeight w:val="222"/>
        </w:trPr>
        <w:tc>
          <w:tcPr>
            <w:tcW w:w="5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0"/>
              </w:rPr>
              <w:t>Chief Executive Officer</w:t>
            </w:r>
          </w:p>
        </w:tc>
      </w:tr>
    </w:tbl>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KNOWN ALL MEN BY THESE PRESENTS, that each person whose signature below constitutes and appoints Shawn K. Singh as attorney-in-fact, with power of substitution, for him in any and all capacities, to sign any amendments to this Registration Statement on Form S-3, and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Signature</w:t>
            </w:r>
          </w:p>
        </w:tc>
        <w:tc>
          <w:tcPr>
            <w:tcW w:w="5320" w:type="dxa"/>
            <w:vAlign w:val="bottom"/>
          </w:tcPr>
          <w:p>
            <w:pPr>
              <w:ind w:left="3040"/>
              <w:spacing w:after="0"/>
              <w:rPr>
                <w:sz w:val="20"/>
                <w:szCs w:val="20"/>
                <w:color w:val="auto"/>
              </w:rPr>
            </w:pPr>
            <w:r>
              <w:rPr>
                <w:rFonts w:ascii="Arial" w:cs="Arial" w:eastAsia="Arial" w:hAnsi="Arial"/>
                <w:sz w:val="18"/>
                <w:szCs w:val="18"/>
                <w:color w:val="auto"/>
              </w:rPr>
              <w:t>Title</w:t>
            </w:r>
          </w:p>
        </w:tc>
        <w:tc>
          <w:tcPr>
            <w:tcW w:w="1960" w:type="dxa"/>
            <w:vAlign w:val="bottom"/>
          </w:tcPr>
          <w:p>
            <w:pPr>
              <w:jc w:val="center"/>
              <w:ind w:left="992"/>
              <w:spacing w:after="0"/>
              <w:rPr>
                <w:sz w:val="20"/>
                <w:szCs w:val="20"/>
                <w:color w:val="auto"/>
              </w:rPr>
            </w:pPr>
            <w:r>
              <w:rPr>
                <w:rFonts w:ascii="Arial" w:cs="Arial" w:eastAsia="Arial" w:hAnsi="Arial"/>
                <w:sz w:val="18"/>
                <w:szCs w:val="18"/>
                <w:color w:val="auto"/>
                <w:w w:val="84"/>
              </w:rPr>
              <w:t>Date</w:t>
            </w:r>
          </w:p>
        </w:tc>
      </w:tr>
      <w:tr>
        <w:trPr>
          <w:trHeight w:val="393"/>
        </w:trPr>
        <w:tc>
          <w:tcPr>
            <w:tcW w:w="3260" w:type="dxa"/>
            <w:vAlign w:val="bottom"/>
            <w:gridSpan w:val="8"/>
          </w:tcPr>
          <w:p>
            <w:pPr>
              <w:spacing w:after="0"/>
              <w:rPr>
                <w:sz w:val="20"/>
                <w:szCs w:val="20"/>
                <w:color w:val="auto"/>
              </w:rPr>
            </w:pPr>
            <w:r>
              <w:rPr>
                <w:rFonts w:ascii="Arial" w:cs="Arial" w:eastAsia="Arial" w:hAnsi="Arial"/>
                <w:sz w:val="18"/>
                <w:szCs w:val="18"/>
                <w:color w:val="auto"/>
              </w:rPr>
              <w:t>/s/ Shawn K. Singh</w:t>
            </w:r>
          </w:p>
        </w:tc>
        <w:tc>
          <w:tcPr>
            <w:tcW w:w="5320" w:type="dxa"/>
            <w:vAlign w:val="bottom"/>
          </w:tcPr>
          <w:p>
            <w:pPr>
              <w:ind w:left="940"/>
              <w:spacing w:after="0"/>
              <w:rPr>
                <w:sz w:val="20"/>
                <w:szCs w:val="20"/>
                <w:color w:val="auto"/>
              </w:rPr>
            </w:pPr>
            <w:r>
              <w:rPr>
                <w:rFonts w:ascii="Arial" w:cs="Arial" w:eastAsia="Arial" w:hAnsi="Arial"/>
                <w:sz w:val="18"/>
                <w:szCs w:val="18"/>
                <w:color w:val="auto"/>
              </w:rPr>
              <w:t>Chief Executive Officer and Director</w:t>
            </w:r>
          </w:p>
        </w:tc>
        <w:tc>
          <w:tcPr>
            <w:tcW w:w="1960" w:type="dxa"/>
            <w:vAlign w:val="bottom"/>
          </w:tcPr>
          <w:p>
            <w:pPr>
              <w:jc w:val="center"/>
              <w:ind w:left="992"/>
              <w:spacing w:after="0"/>
              <w:rPr>
                <w:sz w:val="20"/>
                <w:szCs w:val="20"/>
                <w:color w:val="auto"/>
              </w:rPr>
            </w:pPr>
            <w:r>
              <w:rPr>
                <w:rFonts w:ascii="Arial" w:cs="Arial" w:eastAsia="Arial" w:hAnsi="Arial"/>
                <w:sz w:val="18"/>
                <w:szCs w:val="18"/>
                <w:color w:val="auto"/>
                <w:w w:val="88"/>
              </w:rPr>
              <w:t>May 1, 2020</w:t>
            </w:r>
          </w:p>
        </w:tc>
      </w:tr>
      <w:tr>
        <w:trPr>
          <w:trHeight w:val="20"/>
        </w:trPr>
        <w:tc>
          <w:tcPr>
            <w:tcW w:w="10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5"/>
        </w:trPr>
        <w:tc>
          <w:tcPr>
            <w:tcW w:w="3260" w:type="dxa"/>
            <w:vAlign w:val="bottom"/>
            <w:gridSpan w:val="8"/>
          </w:tcPr>
          <w:p>
            <w:pPr>
              <w:spacing w:after="0"/>
              <w:rPr>
                <w:sz w:val="20"/>
                <w:szCs w:val="20"/>
                <w:color w:val="auto"/>
              </w:rPr>
            </w:pPr>
            <w:r>
              <w:rPr>
                <w:rFonts w:ascii="Arial" w:cs="Arial" w:eastAsia="Arial" w:hAnsi="Arial"/>
                <w:sz w:val="18"/>
                <w:szCs w:val="18"/>
                <w:color w:val="auto"/>
              </w:rPr>
              <w:t>Shawn K. Singh, JD</w:t>
            </w:r>
          </w:p>
        </w:tc>
        <w:tc>
          <w:tcPr>
            <w:tcW w:w="5320" w:type="dxa"/>
            <w:vAlign w:val="bottom"/>
          </w:tcPr>
          <w:p>
            <w:pPr>
              <w:ind w:left="940"/>
              <w:spacing w:after="0"/>
              <w:rPr>
                <w:sz w:val="20"/>
                <w:szCs w:val="20"/>
                <w:color w:val="auto"/>
              </w:rPr>
            </w:pPr>
            <w:r>
              <w:rPr>
                <w:rFonts w:ascii="Arial" w:cs="Arial" w:eastAsia="Arial" w:hAnsi="Arial"/>
                <w:sz w:val="18"/>
                <w:szCs w:val="18"/>
                <w:i w:val="1"/>
                <w:iCs w:val="1"/>
                <w:color w:val="auto"/>
              </w:rPr>
              <w:t>(Principal Executive Officer)</w:t>
            </w:r>
          </w:p>
        </w:tc>
        <w:tc>
          <w:tcPr>
            <w:tcW w:w="1960" w:type="dxa"/>
            <w:vAlign w:val="bottom"/>
          </w:tcPr>
          <w:p>
            <w:pPr>
              <w:spacing w:after="0"/>
              <w:rPr>
                <w:sz w:val="20"/>
                <w:szCs w:val="20"/>
                <w:color w:val="auto"/>
              </w:rPr>
            </w:pPr>
          </w:p>
        </w:tc>
      </w:tr>
      <w:tr>
        <w:trPr>
          <w:trHeight w:val="393"/>
        </w:trPr>
        <w:tc>
          <w:tcPr>
            <w:tcW w:w="14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8"/>
              </w:rPr>
              <w:t>/s/ Jerrold D. Dotson</w:t>
            </w:r>
          </w:p>
        </w:tc>
        <w:tc>
          <w:tcPr>
            <w:tcW w:w="1780" w:type="dxa"/>
            <w:vAlign w:val="bottom"/>
            <w:gridSpan w:val="4"/>
          </w:tcPr>
          <w:p>
            <w:pPr>
              <w:spacing w:after="0"/>
              <w:rPr>
                <w:sz w:val="24"/>
                <w:szCs w:val="24"/>
                <w:color w:val="auto"/>
              </w:rPr>
            </w:pPr>
          </w:p>
        </w:tc>
        <w:tc>
          <w:tcPr>
            <w:tcW w:w="5320" w:type="dxa"/>
            <w:vAlign w:val="bottom"/>
          </w:tcPr>
          <w:p>
            <w:pPr>
              <w:ind w:left="940"/>
              <w:spacing w:after="0"/>
              <w:rPr>
                <w:sz w:val="20"/>
                <w:szCs w:val="20"/>
                <w:color w:val="auto"/>
              </w:rPr>
            </w:pPr>
            <w:r>
              <w:rPr>
                <w:rFonts w:ascii="Arial" w:cs="Arial" w:eastAsia="Arial" w:hAnsi="Arial"/>
                <w:sz w:val="18"/>
                <w:szCs w:val="18"/>
                <w:color w:val="auto"/>
              </w:rPr>
              <w:t>Vice President and Chief Financial Officer</w:t>
            </w:r>
          </w:p>
        </w:tc>
        <w:tc>
          <w:tcPr>
            <w:tcW w:w="1960" w:type="dxa"/>
            <w:vAlign w:val="bottom"/>
          </w:tcPr>
          <w:p>
            <w:pPr>
              <w:jc w:val="center"/>
              <w:ind w:left="992"/>
              <w:spacing w:after="0"/>
              <w:rPr>
                <w:sz w:val="20"/>
                <w:szCs w:val="20"/>
                <w:color w:val="auto"/>
              </w:rPr>
            </w:pPr>
            <w:r>
              <w:rPr>
                <w:rFonts w:ascii="Arial" w:cs="Arial" w:eastAsia="Arial" w:hAnsi="Arial"/>
                <w:sz w:val="18"/>
                <w:szCs w:val="18"/>
                <w:color w:val="auto"/>
                <w:w w:val="88"/>
              </w:rPr>
              <w:t>May 1, 2020</w:t>
            </w:r>
          </w:p>
        </w:tc>
      </w:tr>
      <w:tr>
        <w:trPr>
          <w:trHeight w:val="235"/>
        </w:trPr>
        <w:tc>
          <w:tcPr>
            <w:tcW w:w="3260" w:type="dxa"/>
            <w:vAlign w:val="bottom"/>
            <w:gridSpan w:val="8"/>
          </w:tcPr>
          <w:p>
            <w:pPr>
              <w:spacing w:after="0"/>
              <w:rPr>
                <w:sz w:val="20"/>
                <w:szCs w:val="20"/>
                <w:color w:val="auto"/>
              </w:rPr>
            </w:pPr>
            <w:r>
              <w:rPr>
                <w:rFonts w:ascii="Arial" w:cs="Arial" w:eastAsia="Arial" w:hAnsi="Arial"/>
                <w:sz w:val="18"/>
                <w:szCs w:val="18"/>
                <w:color w:val="auto"/>
              </w:rPr>
              <w:t>Jerrold D. Dotson</w:t>
            </w:r>
          </w:p>
        </w:tc>
        <w:tc>
          <w:tcPr>
            <w:tcW w:w="5320" w:type="dxa"/>
            <w:vAlign w:val="bottom"/>
          </w:tcPr>
          <w:p>
            <w:pPr>
              <w:ind w:left="940"/>
              <w:spacing w:after="0"/>
              <w:rPr>
                <w:sz w:val="20"/>
                <w:szCs w:val="20"/>
                <w:color w:val="auto"/>
              </w:rPr>
            </w:pPr>
            <w:r>
              <w:rPr>
                <w:rFonts w:ascii="Arial" w:cs="Arial" w:eastAsia="Arial" w:hAnsi="Arial"/>
                <w:sz w:val="18"/>
                <w:szCs w:val="18"/>
                <w:i w:val="1"/>
                <w:iCs w:val="1"/>
                <w:color w:val="auto"/>
              </w:rPr>
              <w:t>(Principal Financial and Accounting Officer)</w:t>
            </w:r>
          </w:p>
        </w:tc>
        <w:tc>
          <w:tcPr>
            <w:tcW w:w="1960" w:type="dxa"/>
            <w:vAlign w:val="bottom"/>
          </w:tcPr>
          <w:p>
            <w:pPr>
              <w:spacing w:after="0"/>
              <w:rPr>
                <w:sz w:val="20"/>
                <w:szCs w:val="20"/>
                <w:color w:val="auto"/>
              </w:rPr>
            </w:pPr>
          </w:p>
        </w:tc>
      </w:tr>
      <w:tr>
        <w:trPr>
          <w:trHeight w:val="394"/>
        </w:trPr>
        <w:tc>
          <w:tcPr>
            <w:tcW w:w="16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6"/>
              </w:rPr>
              <w:t>/s/ H. Ralph Snodgrass</w:t>
            </w:r>
          </w:p>
        </w:tc>
        <w:tc>
          <w:tcPr>
            <w:tcW w:w="1640" w:type="dxa"/>
            <w:vAlign w:val="bottom"/>
            <w:gridSpan w:val="3"/>
          </w:tcPr>
          <w:p>
            <w:pPr>
              <w:spacing w:after="0"/>
              <w:rPr>
                <w:sz w:val="24"/>
                <w:szCs w:val="24"/>
                <w:color w:val="auto"/>
              </w:rPr>
            </w:pPr>
          </w:p>
        </w:tc>
        <w:tc>
          <w:tcPr>
            <w:tcW w:w="5320" w:type="dxa"/>
            <w:vAlign w:val="bottom"/>
          </w:tcPr>
          <w:p>
            <w:pPr>
              <w:ind w:left="940"/>
              <w:spacing w:after="0"/>
              <w:rPr>
                <w:sz w:val="20"/>
                <w:szCs w:val="20"/>
                <w:color w:val="auto"/>
              </w:rPr>
            </w:pPr>
            <w:r>
              <w:rPr>
                <w:rFonts w:ascii="Arial" w:cs="Arial" w:eastAsia="Arial" w:hAnsi="Arial"/>
                <w:sz w:val="18"/>
                <w:szCs w:val="18"/>
                <w:color w:val="auto"/>
              </w:rPr>
              <w:t>President, Chief Scientific Officer and Director</w:t>
            </w:r>
          </w:p>
        </w:tc>
        <w:tc>
          <w:tcPr>
            <w:tcW w:w="1960" w:type="dxa"/>
            <w:vAlign w:val="bottom"/>
          </w:tcPr>
          <w:p>
            <w:pPr>
              <w:jc w:val="center"/>
              <w:ind w:left="992"/>
              <w:spacing w:after="0"/>
              <w:rPr>
                <w:sz w:val="20"/>
                <w:szCs w:val="20"/>
                <w:color w:val="auto"/>
              </w:rPr>
            </w:pPr>
            <w:r>
              <w:rPr>
                <w:rFonts w:ascii="Arial" w:cs="Arial" w:eastAsia="Arial" w:hAnsi="Arial"/>
                <w:sz w:val="18"/>
                <w:szCs w:val="18"/>
                <w:color w:val="auto"/>
                <w:w w:val="88"/>
              </w:rPr>
              <w:t>May 1, 2020</w:t>
            </w:r>
          </w:p>
        </w:tc>
      </w:tr>
      <w:tr>
        <w:trPr>
          <w:trHeight w:val="235"/>
        </w:trPr>
        <w:tc>
          <w:tcPr>
            <w:tcW w:w="3260" w:type="dxa"/>
            <w:vAlign w:val="bottom"/>
            <w:gridSpan w:val="8"/>
          </w:tcPr>
          <w:p>
            <w:pPr>
              <w:spacing w:after="0"/>
              <w:rPr>
                <w:sz w:val="20"/>
                <w:szCs w:val="20"/>
                <w:color w:val="auto"/>
              </w:rPr>
            </w:pPr>
            <w:r>
              <w:rPr>
                <w:rFonts w:ascii="Arial" w:cs="Arial" w:eastAsia="Arial" w:hAnsi="Arial"/>
                <w:sz w:val="18"/>
                <w:szCs w:val="18"/>
                <w:color w:val="auto"/>
              </w:rPr>
              <w:t>H. Ralph Snodgrass, Ph. D.</w:t>
            </w:r>
          </w:p>
        </w:tc>
        <w:tc>
          <w:tcPr>
            <w:tcW w:w="53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93"/>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/s/ Jon S. Saxe</w:t>
            </w:r>
          </w:p>
        </w:tc>
        <w:tc>
          <w:tcPr>
            <w:tcW w:w="2220" w:type="dxa"/>
            <w:vAlign w:val="bottom"/>
            <w:gridSpan w:val="7"/>
          </w:tcPr>
          <w:p>
            <w:pPr>
              <w:spacing w:after="0"/>
              <w:rPr>
                <w:sz w:val="24"/>
                <w:szCs w:val="24"/>
                <w:color w:val="auto"/>
              </w:rPr>
            </w:pPr>
          </w:p>
        </w:tc>
        <w:tc>
          <w:tcPr>
            <w:tcW w:w="5320" w:type="dxa"/>
            <w:vAlign w:val="bottom"/>
          </w:tcPr>
          <w:p>
            <w:pPr>
              <w:ind w:left="940"/>
              <w:spacing w:after="0"/>
              <w:rPr>
                <w:sz w:val="20"/>
                <w:szCs w:val="20"/>
                <w:color w:val="auto"/>
              </w:rPr>
            </w:pPr>
            <w:r>
              <w:rPr>
                <w:rFonts w:ascii="Arial" w:cs="Arial" w:eastAsia="Arial" w:hAnsi="Arial"/>
                <w:sz w:val="18"/>
                <w:szCs w:val="18"/>
                <w:color w:val="auto"/>
              </w:rPr>
              <w:t>Chairman of the Board of Directors</w:t>
            </w:r>
          </w:p>
        </w:tc>
        <w:tc>
          <w:tcPr>
            <w:tcW w:w="1960" w:type="dxa"/>
            <w:vAlign w:val="bottom"/>
          </w:tcPr>
          <w:p>
            <w:pPr>
              <w:jc w:val="center"/>
              <w:ind w:left="992"/>
              <w:spacing w:after="0"/>
              <w:rPr>
                <w:sz w:val="20"/>
                <w:szCs w:val="20"/>
                <w:color w:val="auto"/>
              </w:rPr>
            </w:pPr>
            <w:r>
              <w:rPr>
                <w:rFonts w:ascii="Arial" w:cs="Arial" w:eastAsia="Arial" w:hAnsi="Arial"/>
                <w:sz w:val="18"/>
                <w:szCs w:val="18"/>
                <w:color w:val="auto"/>
                <w:w w:val="88"/>
              </w:rPr>
              <w:t>May 1, 2020</w:t>
            </w:r>
          </w:p>
        </w:tc>
      </w:tr>
      <w:tr>
        <w:trPr>
          <w:trHeight w:val="235"/>
        </w:trPr>
        <w:tc>
          <w:tcPr>
            <w:tcW w:w="3260" w:type="dxa"/>
            <w:vAlign w:val="bottom"/>
            <w:gridSpan w:val="8"/>
          </w:tcPr>
          <w:p>
            <w:pPr>
              <w:spacing w:after="0"/>
              <w:rPr>
                <w:sz w:val="20"/>
                <w:szCs w:val="20"/>
                <w:color w:val="auto"/>
              </w:rPr>
            </w:pPr>
            <w:r>
              <w:rPr>
                <w:rFonts w:ascii="Arial" w:cs="Arial" w:eastAsia="Arial" w:hAnsi="Arial"/>
                <w:sz w:val="18"/>
                <w:szCs w:val="18"/>
                <w:color w:val="auto"/>
              </w:rPr>
              <w:t>Jon S. Saxe</w:t>
            </w:r>
          </w:p>
        </w:tc>
        <w:tc>
          <w:tcPr>
            <w:tcW w:w="53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93"/>
        </w:trPr>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8"/>
              </w:rPr>
              <w:t>/s/ Brian J. Underdown</w:t>
            </w:r>
          </w:p>
        </w:tc>
        <w:tc>
          <w:tcPr>
            <w:tcW w:w="1620" w:type="dxa"/>
            <w:vAlign w:val="bottom"/>
            <w:gridSpan w:val="2"/>
          </w:tcPr>
          <w:p>
            <w:pPr>
              <w:spacing w:after="0"/>
              <w:rPr>
                <w:sz w:val="24"/>
                <w:szCs w:val="24"/>
                <w:color w:val="auto"/>
              </w:rPr>
            </w:pPr>
          </w:p>
        </w:tc>
        <w:tc>
          <w:tcPr>
            <w:tcW w:w="5320" w:type="dxa"/>
            <w:vAlign w:val="bottom"/>
          </w:tcPr>
          <w:p>
            <w:pPr>
              <w:ind w:left="940"/>
              <w:spacing w:after="0"/>
              <w:rPr>
                <w:sz w:val="20"/>
                <w:szCs w:val="20"/>
                <w:color w:val="auto"/>
              </w:rPr>
            </w:pPr>
            <w:r>
              <w:rPr>
                <w:rFonts w:ascii="Arial" w:cs="Arial" w:eastAsia="Arial" w:hAnsi="Arial"/>
                <w:sz w:val="18"/>
                <w:szCs w:val="18"/>
                <w:color w:val="auto"/>
              </w:rPr>
              <w:t>Director</w:t>
            </w:r>
          </w:p>
        </w:tc>
        <w:tc>
          <w:tcPr>
            <w:tcW w:w="1960" w:type="dxa"/>
            <w:vAlign w:val="bottom"/>
          </w:tcPr>
          <w:p>
            <w:pPr>
              <w:jc w:val="center"/>
              <w:ind w:left="992"/>
              <w:spacing w:after="0"/>
              <w:rPr>
                <w:sz w:val="20"/>
                <w:szCs w:val="20"/>
                <w:color w:val="auto"/>
              </w:rPr>
            </w:pPr>
            <w:r>
              <w:rPr>
                <w:rFonts w:ascii="Arial" w:cs="Arial" w:eastAsia="Arial" w:hAnsi="Arial"/>
                <w:sz w:val="18"/>
                <w:szCs w:val="18"/>
                <w:color w:val="auto"/>
                <w:w w:val="88"/>
              </w:rPr>
              <w:t>May 1, 2020</w:t>
            </w:r>
          </w:p>
        </w:tc>
      </w:tr>
      <w:tr>
        <w:trPr>
          <w:trHeight w:val="235"/>
        </w:trPr>
        <w:tc>
          <w:tcPr>
            <w:tcW w:w="3260" w:type="dxa"/>
            <w:vAlign w:val="bottom"/>
            <w:gridSpan w:val="8"/>
          </w:tcPr>
          <w:p>
            <w:pPr>
              <w:spacing w:after="0"/>
              <w:rPr>
                <w:sz w:val="20"/>
                <w:szCs w:val="20"/>
                <w:color w:val="auto"/>
              </w:rPr>
            </w:pPr>
            <w:r>
              <w:rPr>
                <w:rFonts w:ascii="Arial" w:cs="Arial" w:eastAsia="Arial" w:hAnsi="Arial"/>
                <w:sz w:val="18"/>
                <w:szCs w:val="18"/>
                <w:color w:val="auto"/>
              </w:rPr>
              <w:t>Brian J. Underdown, Ph. D.</w:t>
            </w:r>
          </w:p>
        </w:tc>
        <w:tc>
          <w:tcPr>
            <w:tcW w:w="53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93"/>
        </w:trPr>
        <w:tc>
          <w:tcPr>
            <w:tcW w:w="3260" w:type="dxa"/>
            <w:vAlign w:val="bottom"/>
            <w:gridSpan w:val="8"/>
          </w:tcPr>
          <w:p>
            <w:pPr>
              <w:spacing w:after="0"/>
              <w:rPr>
                <w:sz w:val="20"/>
                <w:szCs w:val="20"/>
                <w:color w:val="auto"/>
              </w:rPr>
            </w:pPr>
            <w:r>
              <w:rPr>
                <w:rFonts w:ascii="Arial" w:cs="Arial" w:eastAsia="Arial" w:hAnsi="Arial"/>
                <w:sz w:val="18"/>
                <w:szCs w:val="18"/>
                <w:color w:val="auto"/>
              </w:rPr>
              <w:t>/s/ Jerry B. Gin</w:t>
            </w:r>
          </w:p>
        </w:tc>
        <w:tc>
          <w:tcPr>
            <w:tcW w:w="5320" w:type="dxa"/>
            <w:vAlign w:val="bottom"/>
          </w:tcPr>
          <w:p>
            <w:pPr>
              <w:ind w:left="940"/>
              <w:spacing w:after="0"/>
              <w:rPr>
                <w:sz w:val="20"/>
                <w:szCs w:val="20"/>
                <w:color w:val="auto"/>
              </w:rPr>
            </w:pPr>
            <w:r>
              <w:rPr>
                <w:rFonts w:ascii="Arial" w:cs="Arial" w:eastAsia="Arial" w:hAnsi="Arial"/>
                <w:sz w:val="18"/>
                <w:szCs w:val="18"/>
                <w:color w:val="auto"/>
              </w:rPr>
              <w:t>Director</w:t>
            </w:r>
          </w:p>
        </w:tc>
        <w:tc>
          <w:tcPr>
            <w:tcW w:w="1960" w:type="dxa"/>
            <w:vAlign w:val="bottom"/>
          </w:tcPr>
          <w:p>
            <w:pPr>
              <w:jc w:val="center"/>
              <w:ind w:left="992"/>
              <w:spacing w:after="0"/>
              <w:rPr>
                <w:sz w:val="20"/>
                <w:szCs w:val="20"/>
                <w:color w:val="auto"/>
              </w:rPr>
            </w:pPr>
            <w:r>
              <w:rPr>
                <w:rFonts w:ascii="Arial" w:cs="Arial" w:eastAsia="Arial" w:hAnsi="Arial"/>
                <w:sz w:val="18"/>
                <w:szCs w:val="18"/>
                <w:color w:val="auto"/>
                <w:w w:val="88"/>
              </w:rPr>
              <w:t>May 1, 2020</w:t>
            </w:r>
          </w:p>
        </w:tc>
      </w:tr>
      <w:tr>
        <w:trPr>
          <w:trHeight w:val="20"/>
        </w:trPr>
        <w:tc>
          <w:tcPr>
            <w:tcW w:w="1080" w:type="dxa"/>
            <w:vAlign w:val="bottom"/>
            <w:gridSpan w:val="2"/>
            <w:shd w:val="clear" w:color="auto" w:fill="000000"/>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5"/>
        </w:trPr>
        <w:tc>
          <w:tcPr>
            <w:tcW w:w="3260" w:type="dxa"/>
            <w:vAlign w:val="bottom"/>
            <w:gridSpan w:val="8"/>
          </w:tcPr>
          <w:p>
            <w:pPr>
              <w:spacing w:after="0"/>
              <w:rPr>
                <w:sz w:val="20"/>
                <w:szCs w:val="20"/>
                <w:color w:val="auto"/>
              </w:rPr>
            </w:pPr>
            <w:r>
              <w:rPr>
                <w:rFonts w:ascii="Arial" w:cs="Arial" w:eastAsia="Arial" w:hAnsi="Arial"/>
                <w:sz w:val="18"/>
                <w:szCs w:val="18"/>
                <w:color w:val="auto"/>
              </w:rPr>
              <w:t>Jerry B. Gin, Ph. D.</w:t>
            </w:r>
          </w:p>
        </w:tc>
        <w:tc>
          <w:tcPr>
            <w:tcW w:w="53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93"/>
        </w:trPr>
        <w:tc>
          <w:tcPr>
            <w:tcW w:w="3260" w:type="dxa"/>
            <w:vAlign w:val="bottom"/>
            <w:gridSpan w:val="8"/>
          </w:tcPr>
          <w:p>
            <w:pPr>
              <w:spacing w:after="0"/>
              <w:rPr>
                <w:sz w:val="20"/>
                <w:szCs w:val="20"/>
                <w:color w:val="auto"/>
              </w:rPr>
            </w:pPr>
            <w:r>
              <w:rPr>
                <w:rFonts w:ascii="Arial" w:cs="Arial" w:eastAsia="Arial" w:hAnsi="Arial"/>
                <w:sz w:val="18"/>
                <w:szCs w:val="18"/>
                <w:color w:val="auto"/>
              </w:rPr>
              <w:t>/s/ Ann M. Cunningham</w:t>
            </w:r>
          </w:p>
        </w:tc>
        <w:tc>
          <w:tcPr>
            <w:tcW w:w="5320" w:type="dxa"/>
            <w:vAlign w:val="bottom"/>
          </w:tcPr>
          <w:p>
            <w:pPr>
              <w:ind w:left="940"/>
              <w:spacing w:after="0"/>
              <w:rPr>
                <w:sz w:val="20"/>
                <w:szCs w:val="20"/>
                <w:color w:val="auto"/>
              </w:rPr>
            </w:pPr>
            <w:r>
              <w:rPr>
                <w:rFonts w:ascii="Arial" w:cs="Arial" w:eastAsia="Arial" w:hAnsi="Arial"/>
                <w:sz w:val="18"/>
                <w:szCs w:val="18"/>
                <w:color w:val="auto"/>
              </w:rPr>
              <w:t>Director</w:t>
            </w:r>
          </w:p>
        </w:tc>
        <w:tc>
          <w:tcPr>
            <w:tcW w:w="1960" w:type="dxa"/>
            <w:vAlign w:val="bottom"/>
          </w:tcPr>
          <w:p>
            <w:pPr>
              <w:jc w:val="center"/>
              <w:ind w:left="992"/>
              <w:spacing w:after="0"/>
              <w:rPr>
                <w:sz w:val="20"/>
                <w:szCs w:val="20"/>
                <w:color w:val="auto"/>
              </w:rPr>
            </w:pPr>
            <w:r>
              <w:rPr>
                <w:rFonts w:ascii="Arial" w:cs="Arial" w:eastAsia="Arial" w:hAnsi="Arial"/>
                <w:sz w:val="18"/>
                <w:szCs w:val="18"/>
                <w:color w:val="auto"/>
                <w:w w:val="88"/>
              </w:rPr>
              <w:t>May 1, 2020</w:t>
            </w:r>
          </w:p>
        </w:tc>
      </w:tr>
      <w:tr>
        <w:trPr>
          <w:trHeight w:val="235"/>
        </w:trPr>
        <w:tc>
          <w:tcPr>
            <w:tcW w:w="17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Ann M. Cunningham</w:t>
            </w:r>
          </w:p>
        </w:tc>
        <w:tc>
          <w:tcPr>
            <w:tcW w:w="15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hereby consent to the incorporation by reference in the Prospectus constituting a part of this Registration Statement on Form S-3 of VistaGen Therapeutics, Inc. of our report dated June 25, 2019 (which report expresses an unqualified opinion and includes an explanatory paragraph expressing substantial doubt about the Company’s ability to continue as a going concern), relating to the consolidated financial statements of VistaGen Therapeutics, Inc. appearing in the Company’s Annual Report on Form 10-K for the fiscal year ended March 31,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23"/>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7"/>
    </w:lvl>
  </w:abstractNum>
  <w:abstractNum w:abstractNumId="11">
    <w:nsid w:val="257130A3"/>
    <w:multiLevelType w:val="hybridMultilevel"/>
    <w:lvl w:ilvl="0">
      <w:lvlJc w:val="left"/>
      <w:lvlText w:val="(%1)"/>
      <w:numFmt w:val="decimal"/>
      <w:start w:val="8"/>
    </w:lvl>
  </w:abstractNum>
  <w:abstractNum w:abstractNumId="12">
    <w:nsid w:val="62BBD95A"/>
    <w:multiLevelType w:val="hybridMultilevel"/>
    <w:lvl w:ilvl="0">
      <w:lvlJc w:val="left"/>
      <w:lvlText w:val="(%1)"/>
      <w:numFmt w:val="decimal"/>
      <w:start w:val="9"/>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5">
    <w:nsid w:val="189A769B"/>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26">
    <w:nsid w:val="54E49EB4"/>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2020-05-01T16:00:47Z</dcterms:created>
  <dcterms:modified xsi:type="dcterms:W3CDTF">2020-05-01T16:00:47Z</dcterms:modified>
</cp:coreProperties>
</file>