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4, 2017</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333-215671</w:t>
      </w:r>
    </w:p>
    <w:p>
      <w:pPr>
        <w:spacing w:after="0" w:line="200" w:lineRule="exact"/>
        <w:rPr>
          <w:sz w:val="24"/>
          <w:szCs w:val="24"/>
          <w:color w:val="auto"/>
        </w:rPr>
      </w:pPr>
    </w:p>
    <w:p>
      <w:pPr>
        <w:spacing w:after="0" w:line="24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ACT OF 1933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7"/>
              </w:rPr>
              <w:t>Nevada</w:t>
            </w:r>
          </w:p>
        </w:tc>
        <w:tc>
          <w:tcPr>
            <w:tcW w:w="6160" w:type="dxa"/>
            <w:vAlign w:val="bottom"/>
            <w:gridSpan w:val="2"/>
          </w:tcPr>
          <w:p>
            <w:pPr>
              <w:jc w:val="right"/>
              <w:ind w:right="2232"/>
              <w:spacing w:after="0"/>
              <w:rPr>
                <w:sz w:val="20"/>
                <w:szCs w:val="20"/>
                <w:color w:val="auto"/>
              </w:rPr>
            </w:pPr>
            <w:r>
              <w:rPr>
                <w:rFonts w:ascii="Arial" w:cs="Arial" w:eastAsia="Arial" w:hAnsi="Arial"/>
                <w:sz w:val="18"/>
                <w:szCs w:val="18"/>
                <w:b w:val="1"/>
                <w:bCs w:val="1"/>
                <w:color w:val="auto"/>
              </w:rPr>
              <w:t>20-5093315</w:t>
            </w:r>
          </w:p>
        </w:tc>
      </w:tr>
      <w:tr>
        <w:trPr>
          <w:trHeight w:val="208"/>
        </w:trPr>
        <w:tc>
          <w:tcPr>
            <w:tcW w:w="5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(State or other jurisdiction of</w:t>
            </w:r>
          </w:p>
        </w:tc>
        <w:tc>
          <w:tcPr>
            <w:tcW w:w="700" w:type="dxa"/>
            <w:vAlign w:val="bottom"/>
          </w:tcPr>
          <w:p>
            <w:pPr>
              <w:spacing w:after="0"/>
              <w:rPr>
                <w:sz w:val="18"/>
                <w:szCs w:val="18"/>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(I.R.S. Employer</w:t>
            </w:r>
          </w:p>
        </w:tc>
      </w:tr>
      <w:tr>
        <w:trPr>
          <w:trHeight w:val="222"/>
        </w:trPr>
        <w:tc>
          <w:tcPr>
            <w:tcW w:w="5260" w:type="dxa"/>
            <w:vAlign w:val="bottom"/>
          </w:tcPr>
          <w:p>
            <w:pPr>
              <w:jc w:val="center"/>
              <w:spacing w:after="0"/>
              <w:rPr>
                <w:sz w:val="20"/>
                <w:szCs w:val="20"/>
                <w:color w:val="auto"/>
              </w:rPr>
            </w:pPr>
            <w:r>
              <w:rPr>
                <w:rFonts w:ascii="Arial" w:cs="Arial" w:eastAsia="Arial" w:hAnsi="Arial"/>
                <w:sz w:val="18"/>
                <w:szCs w:val="18"/>
                <w:color w:val="auto"/>
                <w:w w:val="90"/>
              </w:rPr>
              <w:t>incorporation or organization)</w:t>
            </w:r>
          </w:p>
        </w:tc>
        <w:tc>
          <w:tcPr>
            <w:tcW w:w="7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Identification Number)</w:t>
            </w:r>
          </w:p>
        </w:tc>
      </w:tr>
      <w:tr>
        <w:trPr>
          <w:trHeight w:val="420"/>
        </w:trPr>
        <w:tc>
          <w:tcPr>
            <w:tcW w:w="5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8"/>
              </w:rPr>
              <w:t>Shawn K. Singh</w:t>
            </w:r>
          </w:p>
        </w:tc>
      </w:tr>
      <w:tr>
        <w:trPr>
          <w:trHeight w:val="216"/>
        </w:trPr>
        <w:tc>
          <w:tcPr>
            <w:tcW w:w="5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w:t>
            </w:r>
          </w:p>
        </w:tc>
      </w:tr>
      <w:tr>
        <w:trPr>
          <w:trHeight w:val="216"/>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8"/>
              </w:rPr>
              <w:t>VistaGen Therapeutics, Inc.</w:t>
            </w:r>
          </w:p>
        </w:tc>
        <w:tc>
          <w:tcPr>
            <w:tcW w:w="70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8"/>
              </w:rPr>
              <w:t>c/o VistaGen Therapeutics, Inc.</w:t>
            </w:r>
          </w:p>
        </w:tc>
      </w:tr>
      <w:tr>
        <w:trPr>
          <w:trHeight w:val="216"/>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7"/>
              </w:rPr>
              <w:t>343 Allerton Avenue</w:t>
            </w:r>
          </w:p>
        </w:tc>
        <w:tc>
          <w:tcPr>
            <w:tcW w:w="70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7"/>
              </w:rPr>
              <w:t>343 Allerton Avenue</w:t>
            </w:r>
          </w:p>
        </w:tc>
      </w:tr>
      <w:tr>
        <w:trPr>
          <w:trHeight w:val="216"/>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8"/>
              </w:rPr>
              <w:t>South San Francisco, California 94080</w:t>
            </w:r>
          </w:p>
        </w:tc>
        <w:tc>
          <w:tcPr>
            <w:tcW w:w="70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8"/>
              </w:rPr>
              <w:t>South San Francisco, California 94080</w:t>
            </w:r>
          </w:p>
        </w:tc>
      </w:tr>
      <w:tr>
        <w:trPr>
          <w:trHeight w:val="237"/>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9"/>
              </w:rPr>
              <w:t>(650) 577-3600</w:t>
            </w:r>
          </w:p>
        </w:tc>
        <w:tc>
          <w:tcPr>
            <w:tcW w:w="6160" w:type="dxa"/>
            <w:vAlign w:val="bottom"/>
            <w:gridSpan w:val="2"/>
          </w:tcPr>
          <w:p>
            <w:pPr>
              <w:jc w:val="right"/>
              <w:ind w:right="2092"/>
              <w:spacing w:after="0"/>
              <w:rPr>
                <w:sz w:val="20"/>
                <w:szCs w:val="20"/>
                <w:color w:val="auto"/>
              </w:rPr>
            </w:pPr>
            <w:r>
              <w:rPr>
                <w:rFonts w:ascii="Arial" w:cs="Arial" w:eastAsia="Arial" w:hAnsi="Arial"/>
                <w:sz w:val="18"/>
                <w:szCs w:val="18"/>
                <w:b w:val="1"/>
                <w:bCs w:val="1"/>
                <w:color w:val="auto"/>
              </w:rPr>
              <w:t>(650) 577-3600</w:t>
            </w:r>
          </w:p>
        </w:tc>
      </w:tr>
      <w:tr>
        <w:trPr>
          <w:trHeight w:val="208"/>
        </w:trPr>
        <w:tc>
          <w:tcPr>
            <w:tcW w:w="5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(Address, including zip code, and telephone number,</w:t>
            </w:r>
          </w:p>
        </w:tc>
        <w:tc>
          <w:tcPr>
            <w:tcW w:w="700" w:type="dxa"/>
            <w:vAlign w:val="bottom"/>
          </w:tcPr>
          <w:p>
            <w:pPr>
              <w:spacing w:after="0"/>
              <w:rPr>
                <w:sz w:val="18"/>
                <w:szCs w:val="18"/>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(Name, address, including zip code, and telephone number,</w:t>
            </w:r>
          </w:p>
        </w:tc>
      </w:tr>
      <w:tr>
        <w:trPr>
          <w:trHeight w:val="222"/>
        </w:trPr>
        <w:tc>
          <w:tcPr>
            <w:tcW w:w="5260" w:type="dxa"/>
            <w:vAlign w:val="bottom"/>
          </w:tcPr>
          <w:p>
            <w:pPr>
              <w:jc w:val="center"/>
              <w:spacing w:after="0"/>
              <w:rPr>
                <w:sz w:val="20"/>
                <w:szCs w:val="20"/>
                <w:color w:val="auto"/>
              </w:rPr>
            </w:pPr>
            <w:r>
              <w:rPr>
                <w:rFonts w:ascii="Arial" w:cs="Arial" w:eastAsia="Arial" w:hAnsi="Arial"/>
                <w:sz w:val="18"/>
                <w:szCs w:val="18"/>
                <w:color w:val="auto"/>
                <w:w w:val="89"/>
              </w:rPr>
              <w:t>including area code of Registrant’s principal executive offices),</w:t>
            </w:r>
          </w:p>
        </w:tc>
        <w:tc>
          <w:tcPr>
            <w:tcW w:w="7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including area code, of agent for service)</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From time to time after the effective date of this Registration Statement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(Approximate date of commencement of proposed sale to public)</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of all communications, including all communications sent to the agent for service, should be sent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Daniel W. Rumsey, Esq.</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Jessica R. Sudweeks,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Disclosure Law Group,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600 W. Broadway, Suite 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San Diego, CA 92101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(619) 795-1134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 ]</w:t>
      </w:r>
    </w:p>
    <w:p>
      <w:pPr>
        <w:spacing w:after="0" w:line="24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of the Securities Act of 1933, other than securities offered only in connection with dividend or interest reinvestment plans, check the following box.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please check the following box. [ ]</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please check the following box. [ ]</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3520" w:type="dxa"/>
            <w:vAlign w:val="bottom"/>
          </w:tcPr>
          <w:p>
            <w:pPr>
              <w:ind w:left="700"/>
              <w:spacing w:after="0"/>
              <w:rPr>
                <w:sz w:val="20"/>
                <w:szCs w:val="20"/>
                <w:color w:val="auto"/>
              </w:rPr>
            </w:pPr>
            <w:r>
              <w:rPr>
                <w:rFonts w:ascii="Arial" w:cs="Arial" w:eastAsia="Arial" w:hAnsi="Arial"/>
                <w:sz w:val="18"/>
                <w:szCs w:val="18"/>
                <w:color w:val="auto"/>
              </w:rPr>
              <w:t>Accelerated filer</w:t>
            </w:r>
          </w:p>
        </w:tc>
        <w:tc>
          <w:tcPr>
            <w:tcW w:w="2520" w:type="dxa"/>
            <w:vAlign w:val="bottom"/>
          </w:tcPr>
          <w:p>
            <w:pPr>
              <w:ind w:left="920"/>
              <w:spacing w:after="0"/>
              <w:rPr>
                <w:sz w:val="20"/>
                <w:szCs w:val="20"/>
                <w:color w:val="auto"/>
              </w:rPr>
            </w:pPr>
            <w:r>
              <w:rPr>
                <w:rFonts w:ascii="Arial" w:cs="Arial" w:eastAsia="Arial" w:hAnsi="Arial"/>
                <w:sz w:val="18"/>
                <w:szCs w:val="18"/>
                <w:color w:val="auto"/>
              </w:rPr>
              <w:t>[ ]</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Non-accelerated filer</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3520" w:type="dxa"/>
            <w:vAlign w:val="bottom"/>
          </w:tcPr>
          <w:p>
            <w:pPr>
              <w:ind w:left="700"/>
              <w:spacing w:after="0"/>
              <w:rPr>
                <w:sz w:val="20"/>
                <w:szCs w:val="20"/>
                <w:color w:val="auto"/>
              </w:rPr>
            </w:pPr>
            <w:r>
              <w:rPr>
                <w:rFonts w:ascii="Arial" w:cs="Arial" w:eastAsia="Arial" w:hAnsi="Arial"/>
                <w:sz w:val="18"/>
                <w:szCs w:val="18"/>
                <w:color w:val="auto"/>
              </w:rPr>
              <w:t>Smaller reporting company</w:t>
            </w:r>
          </w:p>
        </w:tc>
        <w:tc>
          <w:tcPr>
            <w:tcW w:w="2520" w:type="dxa"/>
            <w:vAlign w:val="bottom"/>
          </w:tcPr>
          <w:p>
            <w:pPr>
              <w:ind w:left="920"/>
              <w:spacing w:after="0"/>
              <w:rPr>
                <w:sz w:val="20"/>
                <w:szCs w:val="20"/>
                <w:color w:val="auto"/>
              </w:rPr>
            </w:pPr>
            <w:r>
              <w:rPr>
                <w:rFonts w:ascii="Arial" w:cs="Arial" w:eastAsia="Arial" w:hAnsi="Arial"/>
                <w:sz w:val="18"/>
                <w:szCs w:val="18"/>
                <w:color w:val="auto"/>
              </w:rPr>
              <w:t>[X]</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866"/>
        </w:trPr>
        <w:tc>
          <w:tcPr>
            <w:tcW w:w="3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r>
        <w:trPr>
          <w:trHeight w:val="136"/>
        </w:trPr>
        <w:tc>
          <w:tcPr>
            <w:tcW w:w="38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r>
      <w:tr>
        <w:trPr>
          <w:trHeight w:val="304"/>
        </w:trPr>
        <w:tc>
          <w:tcPr>
            <w:tcW w:w="3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25" w:right="239" w:bottom="1440" w:gutter="0" w:footer="0" w:header="0"/>
        </w:sectPr>
      </w:pPr>
    </w:p>
    <w:bookmarkStart w:id="2" w:name="page3"/>
    <w:bookmarkEnd w:id="2"/>
    <w:p>
      <w:pPr>
        <w:spacing w:after="0" w:line="1" w:lineRule="exact"/>
        <w:rPr>
          <w:sz w:val="20"/>
          <w:szCs w:val="20"/>
          <w:color w:val="auto"/>
        </w:rPr>
      </w:pPr>
    </w:p>
    <w:tbl>
      <w:tblPr>
        <w:tblLayout w:type="fixed"/>
        <w:tblInd w:w="1420" w:type="dxa"/>
        <w:tblCellMar>
          <w:top w:w="0" w:type="dxa"/>
          <w:left w:w="0" w:type="dxa"/>
          <w:bottom w:w="0" w:type="dxa"/>
          <w:right w:w="0" w:type="dxa"/>
        </w:tblCellMar>
      </w:tblPr>
      <w:tr>
        <w:trPr>
          <w:trHeight w:val="228"/>
        </w:trPr>
        <w:tc>
          <w:tcPr>
            <w:tcW w:w="2540" w:type="dxa"/>
            <w:vAlign w:val="bottom"/>
          </w:tcPr>
          <w:p>
            <w:pPr>
              <w:spacing w:after="0"/>
              <w:rPr>
                <w:sz w:val="19"/>
                <w:szCs w:val="19"/>
                <w:color w:val="auto"/>
              </w:rPr>
            </w:pPr>
          </w:p>
        </w:tc>
        <w:tc>
          <w:tcPr>
            <w:tcW w:w="4340" w:type="dxa"/>
            <w:vAlign w:val="bottom"/>
            <w:gridSpan w:val="2"/>
          </w:tcPr>
          <w:p>
            <w:pPr>
              <w:ind w:left="80"/>
              <w:spacing w:after="0"/>
              <w:rPr>
                <w:sz w:val="20"/>
                <w:szCs w:val="20"/>
                <w:color w:val="auto"/>
              </w:rPr>
            </w:pPr>
            <w:r>
              <w:rPr>
                <w:rFonts w:ascii="Arial" w:cs="Arial" w:eastAsia="Arial" w:hAnsi="Arial"/>
                <w:sz w:val="18"/>
                <w:szCs w:val="18"/>
                <w:b w:val="1"/>
                <w:bCs w:val="1"/>
                <w:color w:val="auto"/>
              </w:rPr>
              <w:t>CALCULATION OF REGISTRATION FEE</w:t>
            </w: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20"/>
        </w:trPr>
        <w:tc>
          <w:tcPr>
            <w:tcW w:w="25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280" w:type="dxa"/>
            <w:vAlign w:val="bottom"/>
          </w:tcPr>
          <w:p>
            <w:pPr>
              <w:spacing w:after="0"/>
              <w:rPr>
                <w:sz w:val="24"/>
                <w:szCs w:val="24"/>
                <w:color w:val="auto"/>
              </w:rPr>
            </w:pPr>
          </w:p>
        </w:tc>
      </w:tr>
      <w:tr>
        <w:trPr>
          <w:trHeight w:val="216"/>
        </w:trPr>
        <w:tc>
          <w:tcPr>
            <w:tcW w:w="2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Maximum</w:t>
            </w:r>
          </w:p>
        </w:tc>
        <w:tc>
          <w:tcPr>
            <w:tcW w:w="128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Maximum</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280" w:type="dxa"/>
            <w:vAlign w:val="bottom"/>
          </w:tcPr>
          <w:p>
            <w:pPr>
              <w:jc w:val="center"/>
              <w:ind w:left="312"/>
              <w:spacing w:after="0"/>
              <w:rPr>
                <w:sz w:val="20"/>
                <w:szCs w:val="20"/>
                <w:color w:val="auto"/>
              </w:rPr>
            </w:pPr>
            <w:r>
              <w:rPr>
                <w:rFonts w:ascii="Arial" w:cs="Arial" w:eastAsia="Arial" w:hAnsi="Arial"/>
                <w:sz w:val="18"/>
                <w:szCs w:val="18"/>
                <w:b w:val="1"/>
                <w:bCs w:val="1"/>
                <w:color w:val="auto"/>
                <w:w w:val="88"/>
              </w:rPr>
              <w:t>Amount of</w:t>
            </w:r>
          </w:p>
        </w:tc>
      </w:tr>
      <w:tr>
        <w:trPr>
          <w:trHeight w:val="215"/>
        </w:trPr>
        <w:tc>
          <w:tcPr>
            <w:tcW w:w="2540" w:type="dxa"/>
            <w:vAlign w:val="bottom"/>
          </w:tcPr>
          <w:p>
            <w:pPr>
              <w:jc w:val="center"/>
              <w:ind w:right="12"/>
              <w:spacing w:after="0"/>
              <w:rPr>
                <w:sz w:val="20"/>
                <w:szCs w:val="20"/>
                <w:color w:val="auto"/>
              </w:rPr>
            </w:pPr>
            <w:r>
              <w:rPr>
                <w:rFonts w:ascii="Arial" w:cs="Arial" w:eastAsia="Arial" w:hAnsi="Arial"/>
                <w:sz w:val="18"/>
                <w:szCs w:val="18"/>
                <w:b w:val="1"/>
                <w:bCs w:val="1"/>
                <w:color w:val="auto"/>
                <w:w w:val="84"/>
              </w:rPr>
              <w:t>Title of each class of securities to</w:t>
            </w:r>
          </w:p>
        </w:tc>
        <w:tc>
          <w:tcPr>
            <w:tcW w:w="2760" w:type="dxa"/>
            <w:vAlign w:val="bottom"/>
          </w:tcPr>
          <w:p>
            <w:pPr>
              <w:jc w:val="center"/>
              <w:ind w:left="1252"/>
              <w:spacing w:after="0"/>
              <w:rPr>
                <w:sz w:val="20"/>
                <w:szCs w:val="20"/>
                <w:color w:val="auto"/>
              </w:rPr>
            </w:pPr>
            <w:r>
              <w:rPr>
                <w:rFonts w:ascii="Arial" w:cs="Arial" w:eastAsia="Arial" w:hAnsi="Arial"/>
                <w:sz w:val="18"/>
                <w:szCs w:val="18"/>
                <w:b w:val="1"/>
                <w:bCs w:val="1"/>
                <w:color w:val="auto"/>
                <w:w w:val="87"/>
              </w:rPr>
              <w:t>Amount to be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Offering Price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280" w:type="dxa"/>
            <w:vAlign w:val="bottom"/>
          </w:tcPr>
          <w:p>
            <w:pPr>
              <w:jc w:val="center"/>
              <w:ind w:left="272"/>
              <w:spacing w:after="0"/>
              <w:rPr>
                <w:sz w:val="20"/>
                <w:szCs w:val="20"/>
                <w:color w:val="auto"/>
              </w:rPr>
            </w:pPr>
            <w:r>
              <w:rPr>
                <w:rFonts w:ascii="Arial" w:cs="Arial" w:eastAsia="Arial" w:hAnsi="Arial"/>
                <w:sz w:val="18"/>
                <w:szCs w:val="18"/>
                <w:b w:val="1"/>
                <w:bCs w:val="1"/>
                <w:color w:val="auto"/>
                <w:w w:val="87"/>
              </w:rPr>
              <w:t>Registration</w:t>
            </w:r>
          </w:p>
        </w:tc>
      </w:tr>
      <w:tr>
        <w:trPr>
          <w:trHeight w:val="257"/>
        </w:trPr>
        <w:tc>
          <w:tcPr>
            <w:tcW w:w="2540" w:type="dxa"/>
            <w:vAlign w:val="bottom"/>
          </w:tcPr>
          <w:p>
            <w:pPr>
              <w:jc w:val="center"/>
              <w:ind w:right="12"/>
              <w:spacing w:after="0"/>
              <w:rPr>
                <w:sz w:val="20"/>
                <w:szCs w:val="20"/>
                <w:color w:val="auto"/>
              </w:rPr>
            </w:pPr>
            <w:r>
              <w:rPr>
                <w:rFonts w:ascii="Arial" w:cs="Arial" w:eastAsia="Arial" w:hAnsi="Arial"/>
                <w:sz w:val="18"/>
                <w:szCs w:val="18"/>
                <w:b w:val="1"/>
                <w:bCs w:val="1"/>
                <w:color w:val="auto"/>
                <w:w w:val="84"/>
              </w:rPr>
              <w:t>be registered</w:t>
            </w:r>
          </w:p>
        </w:tc>
        <w:tc>
          <w:tcPr>
            <w:tcW w:w="2760" w:type="dxa"/>
            <w:vAlign w:val="bottom"/>
          </w:tcPr>
          <w:p>
            <w:pPr>
              <w:jc w:val="center"/>
              <w:ind w:left="1232"/>
              <w:spacing w:after="0"/>
              <w:rPr>
                <w:sz w:val="20"/>
                <w:szCs w:val="20"/>
                <w:color w:val="auto"/>
              </w:rPr>
            </w:pPr>
            <w:r>
              <w:rPr>
                <w:rFonts w:ascii="Arial" w:cs="Arial" w:eastAsia="Arial" w:hAnsi="Arial"/>
                <w:sz w:val="18"/>
                <w:szCs w:val="18"/>
                <w:b w:val="1"/>
                <w:bCs w:val="1"/>
                <w:color w:val="auto"/>
                <w:w w:val="85"/>
              </w:rPr>
              <w:t>Registered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Per Unit</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6"/>
              </w:rPr>
              <w:t>Price</w:t>
            </w:r>
          </w:p>
        </w:tc>
        <w:tc>
          <w:tcPr>
            <w:tcW w:w="1280" w:type="dxa"/>
            <w:vAlign w:val="bottom"/>
          </w:tcPr>
          <w:p>
            <w:pPr>
              <w:jc w:val="center"/>
              <w:ind w:left="312"/>
              <w:spacing w:after="0" w:line="257" w:lineRule="exact"/>
              <w:rPr>
                <w:sz w:val="20"/>
                <w:szCs w:val="20"/>
                <w:color w:val="auto"/>
              </w:rPr>
            </w:pPr>
            <w:r>
              <w:rPr>
                <w:rFonts w:ascii="Arial" w:cs="Arial" w:eastAsia="Arial" w:hAnsi="Arial"/>
                <w:sz w:val="18"/>
                <w:szCs w:val="18"/>
                <w:b w:val="1"/>
                <w:bCs w:val="1"/>
                <w:color w:val="auto"/>
                <w:w w:val="79"/>
              </w:rPr>
              <w:t xml:space="preserve">Fee </w:t>
            </w:r>
            <w:r>
              <w:rPr>
                <w:rFonts w:ascii="Arial" w:cs="Arial" w:eastAsia="Arial" w:hAnsi="Arial"/>
                <w:sz w:val="24"/>
                <w:szCs w:val="24"/>
                <w:b w:val="1"/>
                <w:bCs w:val="1"/>
                <w:color w:val="auto"/>
                <w:w w:val="79"/>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p>
      <w:pPr>
        <w:spacing w:after="0"/>
        <w:rPr>
          <w:sz w:val="20"/>
          <w:szCs w:val="20"/>
          <w:color w:val="auto"/>
        </w:rPr>
      </w:pPr>
      <w:r>
        <w:rPr>
          <w:rFonts w:ascii="Arial" w:cs="Arial" w:eastAsia="Arial" w:hAnsi="Arial"/>
          <w:sz w:val="15"/>
          <w:szCs w:val="15"/>
          <w:color w:val="auto"/>
        </w:rPr>
        <w:t>Common Stock, par value $0.001 per share</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Preferred Stock, par value $0.001 per share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820" w:type="dxa"/>
            <w:vAlign w:val="bottom"/>
            <w:vMerge w:val="restart"/>
          </w:tcPr>
          <w:p>
            <w:pPr>
              <w:jc w:val="right"/>
              <w:ind w:right="599"/>
              <w:spacing w:after="0"/>
              <w:rPr>
                <w:sz w:val="20"/>
                <w:szCs w:val="20"/>
                <w:color w:val="auto"/>
              </w:rPr>
            </w:pPr>
            <w:r>
              <w:rPr>
                <w:rFonts w:ascii="Arial" w:cs="Arial" w:eastAsia="Arial" w:hAnsi="Arial"/>
                <w:sz w:val="12"/>
                <w:szCs w:val="12"/>
                <w:color w:val="auto"/>
                <w:w w:val="95"/>
              </w:rPr>
              <w:t>(1)</w:t>
            </w:r>
          </w:p>
        </w:tc>
        <w:tc>
          <w:tcPr>
            <w:tcW w:w="1160" w:type="dxa"/>
            <w:vAlign w:val="bottom"/>
          </w:tcPr>
          <w:p>
            <w:pPr>
              <w:jc w:val="right"/>
              <w:ind w:right="299"/>
              <w:spacing w:after="0"/>
              <w:rPr>
                <w:sz w:val="20"/>
                <w:szCs w:val="20"/>
                <w:color w:val="auto"/>
              </w:rPr>
            </w:pPr>
            <w:r>
              <w:rPr>
                <w:rFonts w:ascii="Arial" w:cs="Arial" w:eastAsia="Arial" w:hAnsi="Arial"/>
                <w:sz w:val="12"/>
                <w:szCs w:val="12"/>
                <w:color w:val="auto"/>
              </w:rPr>
              <w:t>(2)</w:t>
            </w:r>
          </w:p>
        </w:tc>
        <w:tc>
          <w:tcPr>
            <w:tcW w:w="640" w:type="dxa"/>
            <w:vAlign w:val="bottom"/>
          </w:tcPr>
          <w:p>
            <w:pPr>
              <w:spacing w:after="0"/>
              <w:rPr>
                <w:sz w:val="13"/>
                <w:szCs w:val="13"/>
                <w:color w:val="auto"/>
              </w:rPr>
            </w:pPr>
          </w:p>
        </w:tc>
        <w:tc>
          <w:tcPr>
            <w:tcW w:w="1180" w:type="dxa"/>
            <w:vAlign w:val="bottom"/>
            <w:vMerge w:val="restart"/>
          </w:tcPr>
          <w:p>
            <w:pPr>
              <w:jc w:val="right"/>
              <w:ind w:right="593"/>
              <w:spacing w:after="0"/>
              <w:rPr>
                <w:sz w:val="20"/>
                <w:szCs w:val="20"/>
                <w:color w:val="auto"/>
              </w:rPr>
            </w:pPr>
            <w:r>
              <w:rPr>
                <w:rFonts w:ascii="Arial" w:cs="Arial" w:eastAsia="Arial" w:hAnsi="Arial"/>
                <w:sz w:val="12"/>
                <w:szCs w:val="12"/>
                <w:color w:val="auto"/>
              </w:rPr>
              <w:t>(2)</w:t>
            </w:r>
          </w:p>
        </w:tc>
        <w:tc>
          <w:tcPr>
            <w:tcW w:w="580" w:type="dxa"/>
            <w:vAlign w:val="bottom"/>
            <w:vMerge w:val="restart"/>
          </w:tcPr>
          <w:p>
            <w:pPr>
              <w:jc w:val="right"/>
              <w:ind w:right="312"/>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820" w:type="dxa"/>
            <w:vAlign w:val="bottom"/>
            <w:vMerge w:val="continue"/>
          </w:tcPr>
          <w:p>
            <w:pPr>
              <w:spacing w:after="0"/>
              <w:rPr>
                <w:sz w:val="4"/>
                <w:szCs w:val="4"/>
                <w:color w:val="auto"/>
              </w:rPr>
            </w:pPr>
          </w:p>
        </w:tc>
        <w:tc>
          <w:tcPr>
            <w:tcW w:w="1160" w:type="dxa"/>
            <w:vAlign w:val="bottom"/>
            <w:vMerge w:val="restart"/>
          </w:tcPr>
          <w:p>
            <w:pPr>
              <w:jc w:val="right"/>
              <w:ind w:right="299"/>
              <w:spacing w:after="0"/>
              <w:rPr>
                <w:sz w:val="20"/>
                <w:szCs w:val="20"/>
                <w:color w:val="auto"/>
              </w:rPr>
            </w:pPr>
            <w:r>
              <w:rPr>
                <w:rFonts w:ascii="Arial" w:cs="Arial" w:eastAsia="Arial" w:hAnsi="Arial"/>
                <w:sz w:val="12"/>
                <w:szCs w:val="12"/>
                <w:color w:val="auto"/>
              </w:rPr>
              <w:t>(2)</w:t>
            </w:r>
          </w:p>
        </w:tc>
        <w:tc>
          <w:tcPr>
            <w:tcW w:w="6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820" w:type="dxa"/>
            <w:vAlign w:val="bottom"/>
            <w:vMerge w:val="restart"/>
          </w:tcPr>
          <w:p>
            <w:pPr>
              <w:jc w:val="right"/>
              <w:ind w:right="599"/>
              <w:spacing w:after="0"/>
              <w:rPr>
                <w:sz w:val="20"/>
                <w:szCs w:val="20"/>
                <w:color w:val="auto"/>
              </w:rPr>
            </w:pPr>
            <w:r>
              <w:rPr>
                <w:rFonts w:ascii="Arial" w:cs="Arial" w:eastAsia="Arial" w:hAnsi="Arial"/>
                <w:sz w:val="12"/>
                <w:szCs w:val="12"/>
                <w:color w:val="auto"/>
                <w:w w:val="95"/>
              </w:rPr>
              <w:t>(1)</w:t>
            </w:r>
          </w:p>
        </w:tc>
        <w:tc>
          <w:tcPr>
            <w:tcW w:w="116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vMerge w:val="restart"/>
          </w:tcPr>
          <w:p>
            <w:pPr>
              <w:jc w:val="right"/>
              <w:ind w:right="593"/>
              <w:spacing w:after="0"/>
              <w:rPr>
                <w:sz w:val="20"/>
                <w:szCs w:val="20"/>
                <w:color w:val="auto"/>
              </w:rPr>
            </w:pPr>
            <w:r>
              <w:rPr>
                <w:rFonts w:ascii="Arial" w:cs="Arial" w:eastAsia="Arial" w:hAnsi="Arial"/>
                <w:sz w:val="12"/>
                <w:szCs w:val="12"/>
                <w:color w:val="auto"/>
              </w:rPr>
              <w:t>(2)</w:t>
            </w:r>
          </w:p>
        </w:tc>
        <w:tc>
          <w:tcPr>
            <w:tcW w:w="580" w:type="dxa"/>
            <w:vAlign w:val="bottom"/>
          </w:tcPr>
          <w:p>
            <w:pPr>
              <w:spacing w:after="0"/>
              <w:rPr>
                <w:sz w:val="13"/>
                <w:szCs w:val="13"/>
                <w:color w:val="auto"/>
              </w:rPr>
            </w:pPr>
          </w:p>
        </w:tc>
        <w:tc>
          <w:tcPr>
            <w:tcW w:w="102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
        </w:trPr>
        <w:tc>
          <w:tcPr>
            <w:tcW w:w="820" w:type="dxa"/>
            <w:vAlign w:val="bottom"/>
            <w:vMerge w:val="continue"/>
          </w:tcPr>
          <w:p>
            <w:pPr>
              <w:spacing w:after="0"/>
              <w:rPr>
                <w:sz w:val="5"/>
                <w:szCs w:val="5"/>
                <w:color w:val="auto"/>
              </w:rPr>
            </w:pPr>
          </w:p>
        </w:tc>
        <w:tc>
          <w:tcPr>
            <w:tcW w:w="1160" w:type="dxa"/>
            <w:vAlign w:val="bottom"/>
            <w:vMerge w:val="restart"/>
          </w:tcPr>
          <w:p>
            <w:pPr>
              <w:jc w:val="right"/>
              <w:ind w:right="299"/>
              <w:spacing w:after="0"/>
              <w:rPr>
                <w:sz w:val="20"/>
                <w:szCs w:val="20"/>
                <w:color w:val="auto"/>
              </w:rPr>
            </w:pPr>
            <w:r>
              <w:rPr>
                <w:rFonts w:ascii="Arial" w:cs="Arial" w:eastAsia="Arial" w:hAnsi="Arial"/>
                <w:sz w:val="12"/>
                <w:szCs w:val="12"/>
                <w:color w:val="auto"/>
              </w:rPr>
              <w:t>(2)</w:t>
            </w:r>
          </w:p>
        </w:tc>
        <w:tc>
          <w:tcPr>
            <w:tcW w:w="6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820" w:type="dxa"/>
            <w:vAlign w:val="bottom"/>
            <w:vMerge w:val="restart"/>
          </w:tcPr>
          <w:p>
            <w:pPr>
              <w:jc w:val="right"/>
              <w:ind w:right="599"/>
              <w:spacing w:after="0"/>
              <w:rPr>
                <w:sz w:val="20"/>
                <w:szCs w:val="20"/>
                <w:color w:val="auto"/>
              </w:rPr>
            </w:pPr>
            <w:r>
              <w:rPr>
                <w:rFonts w:ascii="Arial" w:cs="Arial" w:eastAsia="Arial" w:hAnsi="Arial"/>
                <w:sz w:val="12"/>
                <w:szCs w:val="12"/>
                <w:color w:val="auto"/>
                <w:w w:val="95"/>
              </w:rPr>
              <w:t>(1)</w:t>
            </w:r>
          </w:p>
        </w:tc>
        <w:tc>
          <w:tcPr>
            <w:tcW w:w="116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vMerge w:val="restart"/>
          </w:tcPr>
          <w:p>
            <w:pPr>
              <w:jc w:val="right"/>
              <w:ind w:right="593"/>
              <w:spacing w:after="0"/>
              <w:rPr>
                <w:sz w:val="20"/>
                <w:szCs w:val="20"/>
                <w:color w:val="auto"/>
              </w:rPr>
            </w:pPr>
            <w:r>
              <w:rPr>
                <w:rFonts w:ascii="Arial" w:cs="Arial" w:eastAsia="Arial" w:hAnsi="Arial"/>
                <w:sz w:val="12"/>
                <w:szCs w:val="12"/>
                <w:color w:val="auto"/>
              </w:rPr>
              <w:t>(2)</w:t>
            </w:r>
          </w:p>
        </w:tc>
        <w:tc>
          <w:tcPr>
            <w:tcW w:w="580" w:type="dxa"/>
            <w:vAlign w:val="bottom"/>
          </w:tcPr>
          <w:p>
            <w:pPr>
              <w:spacing w:after="0"/>
              <w:rPr>
                <w:sz w:val="13"/>
                <w:szCs w:val="13"/>
                <w:color w:val="auto"/>
              </w:rPr>
            </w:pPr>
          </w:p>
        </w:tc>
        <w:tc>
          <w:tcPr>
            <w:tcW w:w="102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
        </w:trPr>
        <w:tc>
          <w:tcPr>
            <w:tcW w:w="820" w:type="dxa"/>
            <w:vAlign w:val="bottom"/>
            <w:vMerge w:val="continue"/>
          </w:tcPr>
          <w:p>
            <w:pPr>
              <w:spacing w:after="0"/>
              <w:rPr>
                <w:sz w:val="5"/>
                <w:szCs w:val="5"/>
                <w:color w:val="auto"/>
              </w:rPr>
            </w:pPr>
          </w:p>
        </w:tc>
        <w:tc>
          <w:tcPr>
            <w:tcW w:w="1160" w:type="dxa"/>
            <w:vAlign w:val="bottom"/>
            <w:vMerge w:val="restart"/>
          </w:tcPr>
          <w:p>
            <w:pPr>
              <w:jc w:val="right"/>
              <w:ind w:right="299"/>
              <w:spacing w:after="0"/>
              <w:rPr>
                <w:sz w:val="20"/>
                <w:szCs w:val="20"/>
                <w:color w:val="auto"/>
              </w:rPr>
            </w:pPr>
            <w:r>
              <w:rPr>
                <w:rFonts w:ascii="Arial" w:cs="Arial" w:eastAsia="Arial" w:hAnsi="Arial"/>
                <w:sz w:val="12"/>
                <w:szCs w:val="12"/>
                <w:color w:val="auto"/>
              </w:rPr>
              <w:t>(2)</w:t>
            </w:r>
          </w:p>
        </w:tc>
        <w:tc>
          <w:tcPr>
            <w:tcW w:w="6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820" w:type="dxa"/>
            <w:vAlign w:val="bottom"/>
            <w:vMerge w:val="restart"/>
          </w:tcPr>
          <w:p>
            <w:pPr>
              <w:jc w:val="right"/>
              <w:ind w:right="599"/>
              <w:spacing w:after="0"/>
              <w:rPr>
                <w:sz w:val="20"/>
                <w:szCs w:val="20"/>
                <w:color w:val="auto"/>
              </w:rPr>
            </w:pPr>
            <w:r>
              <w:rPr>
                <w:rFonts w:ascii="Arial" w:cs="Arial" w:eastAsia="Arial" w:hAnsi="Arial"/>
                <w:sz w:val="12"/>
                <w:szCs w:val="12"/>
                <w:color w:val="auto"/>
                <w:w w:val="95"/>
              </w:rPr>
              <w:t>(1)</w:t>
            </w:r>
          </w:p>
        </w:tc>
        <w:tc>
          <w:tcPr>
            <w:tcW w:w="116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vMerge w:val="restart"/>
          </w:tcPr>
          <w:p>
            <w:pPr>
              <w:jc w:val="right"/>
              <w:ind w:right="593"/>
              <w:spacing w:after="0"/>
              <w:rPr>
                <w:sz w:val="20"/>
                <w:szCs w:val="20"/>
                <w:color w:val="auto"/>
              </w:rPr>
            </w:pPr>
            <w:r>
              <w:rPr>
                <w:rFonts w:ascii="Arial" w:cs="Arial" w:eastAsia="Arial" w:hAnsi="Arial"/>
                <w:sz w:val="12"/>
                <w:szCs w:val="12"/>
                <w:color w:val="auto"/>
              </w:rPr>
              <w:t>(2)</w:t>
            </w:r>
          </w:p>
        </w:tc>
        <w:tc>
          <w:tcPr>
            <w:tcW w:w="580" w:type="dxa"/>
            <w:vAlign w:val="bottom"/>
          </w:tcPr>
          <w:p>
            <w:pPr>
              <w:spacing w:after="0"/>
              <w:rPr>
                <w:sz w:val="13"/>
                <w:szCs w:val="13"/>
                <w:color w:val="auto"/>
              </w:rPr>
            </w:pPr>
          </w:p>
        </w:tc>
        <w:tc>
          <w:tcPr>
            <w:tcW w:w="102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820" w:type="dxa"/>
            <w:vAlign w:val="bottom"/>
            <w:vMerge w:val="continue"/>
          </w:tcPr>
          <w:p>
            <w:pPr>
              <w:spacing w:after="0"/>
              <w:rPr>
                <w:sz w:val="5"/>
                <w:szCs w:val="5"/>
                <w:color w:val="auto"/>
              </w:rPr>
            </w:pPr>
          </w:p>
        </w:tc>
        <w:tc>
          <w:tcPr>
            <w:tcW w:w="1160" w:type="dxa"/>
            <w:vAlign w:val="bottom"/>
            <w:vMerge w:val="restart"/>
          </w:tcPr>
          <w:p>
            <w:pPr>
              <w:jc w:val="right"/>
              <w:ind w:right="299"/>
              <w:spacing w:after="0"/>
              <w:rPr>
                <w:sz w:val="20"/>
                <w:szCs w:val="20"/>
                <w:color w:val="auto"/>
              </w:rPr>
            </w:pPr>
            <w:r>
              <w:rPr>
                <w:rFonts w:ascii="Arial" w:cs="Arial" w:eastAsia="Arial" w:hAnsi="Arial"/>
                <w:sz w:val="12"/>
                <w:szCs w:val="12"/>
                <w:b w:val="1"/>
                <w:bCs w:val="1"/>
                <w:color w:val="auto"/>
              </w:rPr>
              <w:t>(2)</w:t>
            </w:r>
          </w:p>
        </w:tc>
        <w:tc>
          <w:tcPr>
            <w:tcW w:w="6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820" w:type="dxa"/>
            <w:vAlign w:val="bottom"/>
          </w:tcPr>
          <w:p>
            <w:pPr>
              <w:jc w:val="right"/>
              <w:ind w:right="599"/>
              <w:spacing w:after="0"/>
              <w:rPr>
                <w:sz w:val="20"/>
                <w:szCs w:val="20"/>
                <w:color w:val="auto"/>
              </w:rPr>
            </w:pPr>
            <w:r>
              <w:rPr>
                <w:rFonts w:ascii="Arial" w:cs="Arial" w:eastAsia="Arial" w:hAnsi="Arial"/>
                <w:sz w:val="12"/>
                <w:szCs w:val="12"/>
                <w:b w:val="1"/>
                <w:bCs w:val="1"/>
                <w:color w:val="auto"/>
                <w:w w:val="95"/>
              </w:rPr>
              <w:t>(1)</w:t>
            </w:r>
          </w:p>
        </w:tc>
        <w:tc>
          <w:tcPr>
            <w:tcW w:w="1160" w:type="dxa"/>
            <w:vAlign w:val="bottom"/>
            <w:vMerge w:val="continue"/>
          </w:tcPr>
          <w:p>
            <w:pPr>
              <w:spacing w:after="0"/>
              <w:rPr>
                <w:sz w:val="24"/>
                <w:szCs w:val="24"/>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b w:val="1"/>
                <w:bCs w:val="1"/>
                <w:color w:val="auto"/>
              </w:rPr>
              <w:t>100,000,000</w:t>
            </w:r>
          </w:p>
        </w:tc>
        <w:tc>
          <w:tcPr>
            <w:tcW w:w="58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11,590</w:t>
            </w:r>
            <w:r>
              <w:rPr>
                <w:rFonts w:ascii="Arial" w:cs="Arial" w:eastAsia="Arial" w:hAnsi="Arial"/>
                <w:sz w:val="24"/>
                <w:szCs w:val="24"/>
                <w:color w:val="auto"/>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-744220</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-332105</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5260" w:space="720"/>
            <w:col w:w="5440"/>
          </w:cols>
          <w:pgMar w:left="240" w:top="706" w:right="239" w:bottom="1440" w:gutter="0" w:footer="0" w:header="0"/>
          <w:type w:val="continuous"/>
        </w:sectPr>
      </w:pPr>
    </w:p>
    <w:p>
      <w:pPr>
        <w:jc w:val="both"/>
        <w:ind w:left="660" w:hanging="652"/>
        <w:spacing w:after="0" w:line="290"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There are being registered hereunder such indeterminate number of shares of common stock and preferred stock, and such indeterminate number of warrants and units as shall have an aggregate offering price not to exceed $100,000,000. Any securities registered hereunder may be sold separately or as units with other securities registered hereunder. The securities registered also include such indeterminate number of shares of common stock and preferred stock as may be issued upon conversion of or exchange for shares of preferred stock that provide for conversion or exchange, upon exercise of warrants or pursuant to the anti-dilution provisions of any such securities. In addition, pursuant to Rule 416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172" w:lineRule="exact"/>
        <w:rPr>
          <w:rFonts w:ascii="Arial" w:cs="Arial" w:eastAsia="Arial" w:hAnsi="Arial"/>
          <w:sz w:val="16"/>
          <w:szCs w:val="16"/>
          <w:color w:val="auto"/>
        </w:rPr>
      </w:pPr>
    </w:p>
    <w:p>
      <w:pPr>
        <w:ind w:left="660" w:hanging="652"/>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00" w:lineRule="exact"/>
        <w:rPr>
          <w:sz w:val="20"/>
          <w:szCs w:val="20"/>
          <w:color w:val="auto"/>
        </w:rPr>
      </w:pP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type w:val="continuous"/>
        </w:sectPr>
      </w:pPr>
    </w:p>
    <w:bookmarkStart w:id="3" w:name="page4"/>
    <w:bookmarkEnd w:id="3"/>
    <w:p>
      <w:pPr>
        <w:jc w:val="both"/>
        <w:ind w:left="60" w:right="220"/>
        <w:spacing w:after="0" w:line="262" w:lineRule="auto"/>
        <w:rPr>
          <w:sz w:val="20"/>
          <w:szCs w:val="20"/>
          <w:color w:val="auto"/>
        </w:rPr>
      </w:pPr>
      <w:r>
        <w:rPr>
          <w:rFonts w:ascii="Arial" w:cs="Arial" w:eastAsia="Arial" w:hAnsi="Arial"/>
          <w:sz w:val="18"/>
          <w:szCs w:val="18"/>
          <w:b w:val="1"/>
          <w:bCs w:val="1"/>
          <w:color w:val="FF0000"/>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4520" w:val="left"/>
          <w:tab w:leader="none" w:pos="9640" w:val="left"/>
        </w:tabs>
        <w:rPr>
          <w:sz w:val="20"/>
          <w:szCs w:val="20"/>
          <w:color w:val="auto"/>
        </w:rPr>
      </w:pPr>
      <w:r>
        <w:rPr>
          <w:rFonts w:ascii="Arial" w:cs="Arial" w:eastAsia="Arial" w:hAnsi="Arial"/>
          <w:sz w:val="18"/>
          <w:szCs w:val="18"/>
          <w:b w:val="1"/>
          <w:bCs w:val="1"/>
          <w:color w:val="FF0000"/>
        </w:rPr>
        <w:t>PRELIMINARY PROSPECTUS</w:t>
      </w:r>
      <w:r>
        <w:rPr>
          <w:sz w:val="20"/>
          <w:szCs w:val="20"/>
          <w:color w:val="auto"/>
        </w:rPr>
        <w:tab/>
      </w:r>
      <w:r>
        <w:rPr>
          <w:rFonts w:ascii="Arial" w:cs="Arial" w:eastAsia="Arial" w:hAnsi="Arial"/>
          <w:sz w:val="18"/>
          <w:szCs w:val="18"/>
          <w:b w:val="1"/>
          <w:bCs w:val="1"/>
          <w:color w:val="FF0000"/>
        </w:rPr>
        <w:t>SUBJECT TO COMPLETION</w:t>
      </w:r>
      <w:r>
        <w:rPr>
          <w:sz w:val="20"/>
          <w:szCs w:val="20"/>
          <w:color w:val="auto"/>
        </w:rPr>
        <w:tab/>
      </w:r>
      <w:r>
        <w:rPr>
          <w:rFonts w:ascii="Arial" w:cs="Arial" w:eastAsia="Arial" w:hAnsi="Arial"/>
          <w:sz w:val="16"/>
          <w:szCs w:val="16"/>
          <w:b w:val="1"/>
          <w:bCs w:val="1"/>
          <w:color w:val="FF0000"/>
        </w:rPr>
        <w:t>DATED APRIL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289560</wp:posOffset>
            </wp:positionV>
            <wp:extent cx="2392680" cy="1551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9268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may offer and sell, in one or more offerings, up to $100,000,000 of any combination of the securities described in this prospectus. We may also offer securities as may be issuable upon conversion, redemption, repurchase, exchange or exercise of any securities registered hereunder, including any applicable anti-dilution provisions.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prospectus provides a general description of the securities we may offer from time to time. Each time we offer securities, we will provide specific terms of the securities offered in a supplement to this prospectus. We may also authorize one or more free writing prospectuses to be provided to you in connection with an offering.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common stock is quoted on The NASDAQ Capital Market under the symbol “VTGN”. The last reported sale price of our common stock on March 31, 2017 was $1.96 per share.</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 For additional information on the methods of sale, you should refer to the section entitled “</w:t>
      </w:r>
      <w:r>
        <w:rPr>
          <w:rFonts w:ascii="Arial" w:cs="Arial" w:eastAsia="Arial" w:hAnsi="Arial"/>
          <w:sz w:val="16"/>
          <w:szCs w:val="16"/>
          <w:i w:val="1"/>
          <w:iCs w:val="1"/>
          <w:color w:val="auto"/>
        </w:rPr>
        <w:t>Plan of Distribu</w:t>
      </w:r>
      <w:r>
        <w:rPr>
          <w:rFonts w:ascii="Arial" w:cs="Arial" w:eastAsia="Arial" w:hAnsi="Arial"/>
          <w:sz w:val="16"/>
          <w:szCs w:val="16"/>
          <w:color w:val="auto"/>
        </w:rPr>
        <w:t>tion” in this prospectus.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January 10, 2017, the aggregate market value of our outstanding common stock held by non-affiliates was approximately $31.4 million, which was calculated based on 8,543,137 shares of outstanding common stock held by non-affiliates, at a price per share of $3.68. Pursuant to General Instruction I.B.6 of Form S-3, in no event will we sell the securities described in this prospectus in a public primary offering with a value exceeding more than one-third (1/3) of the aggregate market value of our common stock held by non-affiliates in any twelve (12)-month period, so long as the aggregate market value of our outstanding common stock held by non-affiliates remains below $75 million. During the twelve (12) calendar months prior to and including the date of this prospectus, we have not offered or sold any securities pursuant to General Instruction I.B.6 of Form S-3.</w:t>
      </w:r>
    </w:p>
    <w:p>
      <w:pPr>
        <w:spacing w:after="0" w:line="16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Our business and investing in our securities involves significant risks. You should review carefully the risks and uncertainties referenced under the heading “</w:t>
      </w:r>
      <w:r>
        <w:rPr>
          <w:rFonts w:ascii="Arial" w:cs="Arial" w:eastAsia="Arial" w:hAnsi="Arial"/>
          <w:sz w:val="16"/>
          <w:szCs w:val="16"/>
          <w:b w:val="1"/>
          <w:bCs w:val="1"/>
          <w:i w:val="1"/>
          <w:iCs w:val="1"/>
          <w:color w:val="auto"/>
        </w:rPr>
        <w:t>Risk Factors</w:t>
      </w:r>
      <w:r>
        <w:rPr>
          <w:rFonts w:ascii="Arial" w:cs="Arial" w:eastAsia="Arial" w:hAnsi="Arial"/>
          <w:sz w:val="16"/>
          <w:szCs w:val="16"/>
          <w:b w:val="1"/>
          <w:bCs w:val="1"/>
          <w:color w:val="auto"/>
        </w:rPr>
        <w:t>” on page 5 of this prospectus, as well as those contained in the applicable prospectus supplement and any related free writing prospectus, and in the other documents that are incorporated by reference into this prospectus or the applicable prospectus supplement.</w:t>
      </w:r>
    </w:p>
    <w:p>
      <w:pPr>
        <w:spacing w:after="0" w:line="15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9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The date of this prospectus is [_________],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7" w:right="239" w:bottom="701"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7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8"/>
              </w:rPr>
              <w:t>VISTAGEN THERAPEUTICS, INC.</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4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6"/>
              </w:rPr>
              <w:t>TABLE OF CONTENTS</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560" w:type="dxa"/>
            <w:vAlign w:val="bottom"/>
          </w:tcPr>
          <w:p>
            <w:pPr>
              <w:ind w:left="17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40" w:type="dxa"/>
            <w:vAlign w:val="bottom"/>
            <w:gridSpan w:val="16"/>
            <w:shd w:val="clear" w:color="auto" w:fill="CCEEFF"/>
          </w:tcPr>
          <w:p>
            <w:pPr>
              <w:spacing w:after="0" w:line="176" w:lineRule="exact"/>
              <w:rPr>
                <w:rFonts w:ascii="Arial" w:cs="Arial" w:eastAsia="Arial" w:hAnsi="Arial"/>
                <w:sz w:val="18"/>
                <w:szCs w:val="18"/>
                <w:color w:val="auto"/>
              </w:rPr>
            </w:pPr>
            <w:hyperlink w:anchor="page6">
              <w:r>
                <w:rPr>
                  <w:rFonts w:ascii="Arial" w:cs="Arial" w:eastAsia="Arial" w:hAnsi="Arial"/>
                  <w:sz w:val="18"/>
                  <w:szCs w:val="18"/>
                  <w:color w:val="auto"/>
                </w:rPr>
                <w:t>About This Prospectus</w:t>
              </w:r>
            </w:hyperlink>
          </w:p>
        </w:tc>
        <w:tc>
          <w:tcPr>
            <w:tcW w:w="2560" w:type="dxa"/>
            <w:vAlign w:val="bottom"/>
            <w:shd w:val="clear" w:color="auto" w:fill="CCEEFF"/>
          </w:tcPr>
          <w:p>
            <w:pPr>
              <w:jc w:val="center"/>
              <w:ind w:left="1392"/>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40" w:type="dxa"/>
            <w:vAlign w:val="bottom"/>
            <w:gridSpan w:val="16"/>
            <w:shd w:val="clear" w:color="auto" w:fill="CCEEFF"/>
          </w:tcPr>
          <w:p>
            <w:pPr>
              <w:spacing w:after="0" w:line="176" w:lineRule="exact"/>
              <w:rPr>
                <w:rFonts w:ascii="Arial" w:cs="Arial" w:eastAsia="Arial" w:hAnsi="Arial"/>
                <w:sz w:val="18"/>
                <w:szCs w:val="18"/>
                <w:color w:val="auto"/>
              </w:rPr>
            </w:pPr>
            <w:hyperlink w:anchor="page7">
              <w:r>
                <w:rPr>
                  <w:rFonts w:ascii="Arial" w:cs="Arial" w:eastAsia="Arial" w:hAnsi="Arial"/>
                  <w:sz w:val="18"/>
                  <w:szCs w:val="18"/>
                  <w:color w:val="auto"/>
                </w:rPr>
                <w:t>Company Overview</w:t>
              </w:r>
            </w:hyperlink>
          </w:p>
        </w:tc>
        <w:tc>
          <w:tcPr>
            <w:tcW w:w="2560" w:type="dxa"/>
            <w:vAlign w:val="bottom"/>
            <w:shd w:val="clear" w:color="auto" w:fill="CCEEFF"/>
          </w:tcPr>
          <w:p>
            <w:pPr>
              <w:jc w:val="center"/>
              <w:ind w:left="1392"/>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40" w:type="dxa"/>
            <w:vAlign w:val="bottom"/>
            <w:gridSpan w:val="16"/>
            <w:shd w:val="clear" w:color="auto" w:fill="CCEEFF"/>
          </w:tcPr>
          <w:p>
            <w:pPr>
              <w:spacing w:after="0" w:line="176" w:lineRule="exact"/>
              <w:rPr>
                <w:rFonts w:ascii="Arial" w:cs="Arial" w:eastAsia="Arial" w:hAnsi="Arial"/>
                <w:sz w:val="18"/>
                <w:szCs w:val="18"/>
                <w:color w:val="auto"/>
              </w:rPr>
            </w:pPr>
            <w:hyperlink w:anchor="page10">
              <w:r>
                <w:rPr>
                  <w:rFonts w:ascii="Arial" w:cs="Arial" w:eastAsia="Arial" w:hAnsi="Arial"/>
                  <w:sz w:val="18"/>
                  <w:szCs w:val="18"/>
                  <w:color w:val="auto"/>
                </w:rPr>
                <w:t>Risk Factors</w:t>
              </w:r>
            </w:hyperlink>
          </w:p>
        </w:tc>
        <w:tc>
          <w:tcPr>
            <w:tcW w:w="2560" w:type="dxa"/>
            <w:vAlign w:val="bottom"/>
            <w:shd w:val="clear" w:color="auto" w:fill="CCEEFF"/>
          </w:tcPr>
          <w:p>
            <w:pPr>
              <w:jc w:val="center"/>
              <w:ind w:left="1392"/>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40" w:type="dxa"/>
            <w:vAlign w:val="bottom"/>
            <w:gridSpan w:val="16"/>
            <w:shd w:val="clear" w:color="auto" w:fill="CCEEFF"/>
          </w:tcPr>
          <w:p>
            <w:pPr>
              <w:spacing w:after="0" w:line="176" w:lineRule="exact"/>
              <w:rPr>
                <w:rFonts w:ascii="Arial" w:cs="Arial" w:eastAsia="Arial" w:hAnsi="Arial"/>
                <w:sz w:val="18"/>
                <w:szCs w:val="18"/>
                <w:color w:val="auto"/>
              </w:rPr>
            </w:pPr>
            <w:hyperlink w:anchor="page11">
              <w:r>
                <w:rPr>
                  <w:rFonts w:ascii="Arial" w:cs="Arial" w:eastAsia="Arial" w:hAnsi="Arial"/>
                  <w:sz w:val="18"/>
                  <w:szCs w:val="18"/>
                  <w:color w:val="auto"/>
                </w:rPr>
                <w:t>Cautionary Notes Regarding Forward-Looking Statements</w:t>
              </w:r>
            </w:hyperlink>
          </w:p>
        </w:tc>
        <w:tc>
          <w:tcPr>
            <w:tcW w:w="2560" w:type="dxa"/>
            <w:vAlign w:val="bottom"/>
            <w:shd w:val="clear" w:color="auto" w:fill="CCEEFF"/>
          </w:tcPr>
          <w:p>
            <w:pPr>
              <w:jc w:val="center"/>
              <w:ind w:left="1392"/>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40" w:type="dxa"/>
            <w:vAlign w:val="bottom"/>
            <w:gridSpan w:val="16"/>
            <w:shd w:val="clear" w:color="auto" w:fill="CCEEFF"/>
          </w:tcPr>
          <w:p>
            <w:pPr>
              <w:spacing w:after="0" w:line="176" w:lineRule="exact"/>
              <w:rPr>
                <w:rFonts w:ascii="Arial" w:cs="Arial" w:eastAsia="Arial" w:hAnsi="Arial"/>
                <w:sz w:val="18"/>
                <w:szCs w:val="18"/>
                <w:color w:val="auto"/>
              </w:rPr>
            </w:pPr>
            <w:hyperlink w:anchor="page12">
              <w:r>
                <w:rPr>
                  <w:rFonts w:ascii="Arial" w:cs="Arial" w:eastAsia="Arial" w:hAnsi="Arial"/>
                  <w:sz w:val="18"/>
                  <w:szCs w:val="18"/>
                  <w:color w:val="auto"/>
                </w:rPr>
                <w:t>Ratio of Earnings to Fixed Charges</w:t>
              </w:r>
            </w:hyperlink>
          </w:p>
        </w:tc>
        <w:tc>
          <w:tcPr>
            <w:tcW w:w="2560" w:type="dxa"/>
            <w:vAlign w:val="bottom"/>
            <w:shd w:val="clear" w:color="auto" w:fill="CCEEFF"/>
          </w:tcPr>
          <w:p>
            <w:pPr>
              <w:jc w:val="center"/>
              <w:ind w:left="1392"/>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40" w:type="dxa"/>
            <w:vAlign w:val="bottom"/>
            <w:gridSpan w:val="16"/>
            <w:shd w:val="clear" w:color="auto" w:fill="CCEEFF"/>
          </w:tcPr>
          <w:p>
            <w:pPr>
              <w:spacing w:after="0" w:line="176" w:lineRule="exact"/>
              <w:rPr>
                <w:rFonts w:ascii="Arial" w:cs="Arial" w:eastAsia="Arial" w:hAnsi="Arial"/>
                <w:sz w:val="18"/>
                <w:szCs w:val="18"/>
                <w:color w:val="auto"/>
              </w:rPr>
            </w:pPr>
            <w:hyperlink w:anchor="page13">
              <w:r>
                <w:rPr>
                  <w:rFonts w:ascii="Arial" w:cs="Arial" w:eastAsia="Arial" w:hAnsi="Arial"/>
                  <w:sz w:val="18"/>
                  <w:szCs w:val="18"/>
                  <w:color w:val="auto"/>
                </w:rPr>
                <w:t>Use of Proceeds</w:t>
              </w:r>
            </w:hyperlink>
          </w:p>
        </w:tc>
        <w:tc>
          <w:tcPr>
            <w:tcW w:w="2560" w:type="dxa"/>
            <w:vAlign w:val="bottom"/>
            <w:shd w:val="clear" w:color="auto" w:fill="CCEEFF"/>
          </w:tcPr>
          <w:p>
            <w:pPr>
              <w:jc w:val="center"/>
              <w:ind w:left="1392"/>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40" w:type="dxa"/>
            <w:vAlign w:val="bottom"/>
            <w:gridSpan w:val="16"/>
            <w:shd w:val="clear" w:color="auto" w:fill="CCEEFF"/>
          </w:tcPr>
          <w:p>
            <w:pPr>
              <w:spacing w:after="0" w:line="176" w:lineRule="exact"/>
              <w:rPr>
                <w:rFonts w:ascii="Arial" w:cs="Arial" w:eastAsia="Arial" w:hAnsi="Arial"/>
                <w:sz w:val="18"/>
                <w:szCs w:val="18"/>
                <w:color w:val="auto"/>
              </w:rPr>
            </w:pPr>
            <w:hyperlink w:anchor="page14">
              <w:r>
                <w:rPr>
                  <w:rFonts w:ascii="Arial" w:cs="Arial" w:eastAsia="Arial" w:hAnsi="Arial"/>
                  <w:sz w:val="18"/>
                  <w:szCs w:val="18"/>
                  <w:color w:val="auto"/>
                </w:rPr>
                <w:t>Description of our Capital Stock</w:t>
              </w:r>
            </w:hyperlink>
          </w:p>
        </w:tc>
        <w:tc>
          <w:tcPr>
            <w:tcW w:w="2560" w:type="dxa"/>
            <w:vAlign w:val="bottom"/>
            <w:shd w:val="clear" w:color="auto" w:fill="CCEEFF"/>
          </w:tcPr>
          <w:p>
            <w:pPr>
              <w:jc w:val="center"/>
              <w:ind w:left="1392"/>
              <w:spacing w:after="0" w:line="176"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40" w:type="dxa"/>
            <w:vAlign w:val="bottom"/>
            <w:gridSpan w:val="16"/>
            <w:shd w:val="clear" w:color="auto" w:fill="CCEEFF"/>
          </w:tcPr>
          <w:p>
            <w:pPr>
              <w:spacing w:after="0" w:line="176" w:lineRule="exact"/>
              <w:rPr>
                <w:rFonts w:ascii="Arial" w:cs="Arial" w:eastAsia="Arial" w:hAnsi="Arial"/>
                <w:sz w:val="18"/>
                <w:szCs w:val="18"/>
                <w:color w:val="auto"/>
              </w:rPr>
            </w:pPr>
            <w:hyperlink w:anchor="page19">
              <w:r>
                <w:rPr>
                  <w:rFonts w:ascii="Arial" w:cs="Arial" w:eastAsia="Arial" w:hAnsi="Arial"/>
                  <w:sz w:val="18"/>
                  <w:szCs w:val="18"/>
                  <w:color w:val="auto"/>
                </w:rPr>
                <w:t>Description of our Warrants</w:t>
              </w:r>
            </w:hyperlink>
          </w:p>
        </w:tc>
        <w:tc>
          <w:tcPr>
            <w:tcW w:w="2560" w:type="dxa"/>
            <w:vAlign w:val="bottom"/>
            <w:shd w:val="clear" w:color="auto" w:fill="CCEEFF"/>
          </w:tcPr>
          <w:p>
            <w:pPr>
              <w:jc w:val="center"/>
              <w:ind w:left="1372"/>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40" w:type="dxa"/>
            <w:vAlign w:val="bottom"/>
            <w:gridSpan w:val="16"/>
            <w:shd w:val="clear" w:color="auto" w:fill="CCEEFF"/>
          </w:tcPr>
          <w:p>
            <w:pPr>
              <w:spacing w:after="0" w:line="176" w:lineRule="exact"/>
              <w:rPr>
                <w:rFonts w:ascii="Arial" w:cs="Arial" w:eastAsia="Arial" w:hAnsi="Arial"/>
                <w:sz w:val="18"/>
                <w:szCs w:val="18"/>
                <w:color w:val="auto"/>
              </w:rPr>
            </w:pPr>
            <w:hyperlink w:anchor="page21">
              <w:r>
                <w:rPr>
                  <w:rFonts w:ascii="Arial" w:cs="Arial" w:eastAsia="Arial" w:hAnsi="Arial"/>
                  <w:sz w:val="18"/>
                  <w:szCs w:val="18"/>
                  <w:color w:val="auto"/>
                </w:rPr>
                <w:t>Description of our Units</w:t>
              </w:r>
            </w:hyperlink>
          </w:p>
        </w:tc>
        <w:tc>
          <w:tcPr>
            <w:tcW w:w="2560" w:type="dxa"/>
            <w:vAlign w:val="bottom"/>
            <w:shd w:val="clear" w:color="auto" w:fill="CCEEFF"/>
          </w:tcPr>
          <w:p>
            <w:pPr>
              <w:jc w:val="center"/>
              <w:ind w:left="1372"/>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40" w:type="dxa"/>
            <w:vAlign w:val="bottom"/>
            <w:gridSpan w:val="16"/>
            <w:shd w:val="clear" w:color="auto" w:fill="CCEEFF"/>
          </w:tcPr>
          <w:p>
            <w:pPr>
              <w:spacing w:after="0" w:line="176" w:lineRule="exact"/>
              <w:rPr>
                <w:rFonts w:ascii="Arial" w:cs="Arial" w:eastAsia="Arial" w:hAnsi="Arial"/>
                <w:sz w:val="18"/>
                <w:szCs w:val="18"/>
                <w:color w:val="auto"/>
              </w:rPr>
            </w:pPr>
            <w:hyperlink w:anchor="page22">
              <w:r>
                <w:rPr>
                  <w:rFonts w:ascii="Arial" w:cs="Arial" w:eastAsia="Arial" w:hAnsi="Arial"/>
                  <w:sz w:val="18"/>
                  <w:szCs w:val="18"/>
                  <w:color w:val="auto"/>
                </w:rPr>
                <w:t>Description of Certain Provisions of Nevada Law and Our Articles of Incorporation and Bylaws</w:t>
              </w:r>
            </w:hyperlink>
          </w:p>
        </w:tc>
        <w:tc>
          <w:tcPr>
            <w:tcW w:w="2560" w:type="dxa"/>
            <w:vAlign w:val="bottom"/>
            <w:shd w:val="clear" w:color="auto" w:fill="CCEEFF"/>
          </w:tcPr>
          <w:p>
            <w:pPr>
              <w:jc w:val="center"/>
              <w:ind w:left="1372"/>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40" w:type="dxa"/>
            <w:vAlign w:val="bottom"/>
            <w:gridSpan w:val="16"/>
            <w:shd w:val="clear" w:color="auto" w:fill="CCEEFF"/>
          </w:tcPr>
          <w:p>
            <w:pPr>
              <w:spacing w:after="0" w:line="176" w:lineRule="exact"/>
              <w:rPr>
                <w:rFonts w:ascii="Arial" w:cs="Arial" w:eastAsia="Arial" w:hAnsi="Arial"/>
                <w:sz w:val="18"/>
                <w:szCs w:val="18"/>
                <w:color w:val="auto"/>
              </w:rPr>
            </w:pPr>
            <w:hyperlink w:anchor="page23">
              <w:r>
                <w:rPr>
                  <w:rFonts w:ascii="Arial" w:cs="Arial" w:eastAsia="Arial" w:hAnsi="Arial"/>
                  <w:sz w:val="18"/>
                  <w:szCs w:val="18"/>
                  <w:color w:val="auto"/>
                </w:rPr>
                <w:t>Plan Of Distribution</w:t>
              </w:r>
            </w:hyperlink>
          </w:p>
        </w:tc>
        <w:tc>
          <w:tcPr>
            <w:tcW w:w="2560" w:type="dxa"/>
            <w:vAlign w:val="bottom"/>
            <w:shd w:val="clear" w:color="auto" w:fill="CCEEFF"/>
          </w:tcPr>
          <w:p>
            <w:pPr>
              <w:jc w:val="center"/>
              <w:ind w:left="1372"/>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40" w:type="dxa"/>
            <w:vAlign w:val="bottom"/>
            <w:gridSpan w:val="16"/>
            <w:shd w:val="clear" w:color="auto" w:fill="CCEEFF"/>
          </w:tcPr>
          <w:p>
            <w:pPr>
              <w:spacing w:after="0" w:line="176" w:lineRule="exact"/>
              <w:rPr>
                <w:rFonts w:ascii="Arial" w:cs="Arial" w:eastAsia="Arial" w:hAnsi="Arial"/>
                <w:sz w:val="18"/>
                <w:szCs w:val="18"/>
                <w:color w:val="auto"/>
              </w:rPr>
            </w:pPr>
            <w:hyperlink w:anchor="page24">
              <w:r>
                <w:rPr>
                  <w:rFonts w:ascii="Arial" w:cs="Arial" w:eastAsia="Arial" w:hAnsi="Arial"/>
                  <w:sz w:val="18"/>
                  <w:szCs w:val="18"/>
                  <w:color w:val="auto"/>
                </w:rPr>
                <w:t>Legal Matters</w:t>
              </w:r>
            </w:hyperlink>
          </w:p>
        </w:tc>
        <w:tc>
          <w:tcPr>
            <w:tcW w:w="2560" w:type="dxa"/>
            <w:vAlign w:val="bottom"/>
            <w:shd w:val="clear" w:color="auto" w:fill="CCEEFF"/>
          </w:tcPr>
          <w:p>
            <w:pPr>
              <w:jc w:val="center"/>
              <w:ind w:left="1372"/>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40" w:type="dxa"/>
            <w:vAlign w:val="bottom"/>
            <w:gridSpan w:val="16"/>
            <w:shd w:val="clear" w:color="auto" w:fill="CCEEFF"/>
          </w:tcPr>
          <w:p>
            <w:pPr>
              <w:spacing w:after="0" w:line="176" w:lineRule="exact"/>
              <w:rPr>
                <w:rFonts w:ascii="Arial" w:cs="Arial" w:eastAsia="Arial" w:hAnsi="Arial"/>
                <w:sz w:val="18"/>
                <w:szCs w:val="18"/>
                <w:color w:val="auto"/>
              </w:rPr>
            </w:pPr>
            <w:hyperlink w:anchor="page24">
              <w:r>
                <w:rPr>
                  <w:rFonts w:ascii="Arial" w:cs="Arial" w:eastAsia="Arial" w:hAnsi="Arial"/>
                  <w:sz w:val="18"/>
                  <w:szCs w:val="18"/>
                  <w:color w:val="auto"/>
                </w:rPr>
                <w:t>Experts</w:t>
              </w:r>
            </w:hyperlink>
          </w:p>
        </w:tc>
        <w:tc>
          <w:tcPr>
            <w:tcW w:w="2560" w:type="dxa"/>
            <w:vAlign w:val="bottom"/>
            <w:shd w:val="clear" w:color="auto" w:fill="CCEEFF"/>
          </w:tcPr>
          <w:p>
            <w:pPr>
              <w:jc w:val="center"/>
              <w:ind w:left="1372"/>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40" w:type="dxa"/>
            <w:vAlign w:val="bottom"/>
            <w:gridSpan w:val="16"/>
            <w:shd w:val="clear" w:color="auto" w:fill="CCEEFF"/>
          </w:tcPr>
          <w:p>
            <w:pPr>
              <w:spacing w:after="0" w:line="176" w:lineRule="exact"/>
              <w:rPr>
                <w:rFonts w:ascii="Arial" w:cs="Arial" w:eastAsia="Arial" w:hAnsi="Arial"/>
                <w:sz w:val="18"/>
                <w:szCs w:val="18"/>
                <w:color w:val="auto"/>
              </w:rPr>
            </w:pPr>
            <w:hyperlink w:anchor="page24">
              <w:r>
                <w:rPr>
                  <w:rFonts w:ascii="Arial" w:cs="Arial" w:eastAsia="Arial" w:hAnsi="Arial"/>
                  <w:sz w:val="18"/>
                  <w:szCs w:val="18"/>
                  <w:color w:val="auto"/>
                </w:rPr>
                <w:t>Where You Can Find More Information</w:t>
              </w:r>
            </w:hyperlink>
          </w:p>
        </w:tc>
        <w:tc>
          <w:tcPr>
            <w:tcW w:w="2560" w:type="dxa"/>
            <w:vAlign w:val="bottom"/>
            <w:shd w:val="clear" w:color="auto" w:fill="CCEEFF"/>
          </w:tcPr>
          <w:p>
            <w:pPr>
              <w:jc w:val="center"/>
              <w:ind w:left="1372"/>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40" w:type="dxa"/>
            <w:vAlign w:val="bottom"/>
            <w:gridSpan w:val="16"/>
            <w:shd w:val="clear" w:color="auto" w:fill="CCEEFF"/>
          </w:tcPr>
          <w:p>
            <w:pPr>
              <w:spacing w:after="0" w:line="176" w:lineRule="exact"/>
              <w:rPr>
                <w:rFonts w:ascii="Arial" w:cs="Arial" w:eastAsia="Arial" w:hAnsi="Arial"/>
                <w:sz w:val="18"/>
                <w:szCs w:val="18"/>
                <w:color w:val="auto"/>
              </w:rPr>
            </w:pPr>
            <w:hyperlink w:anchor="page24">
              <w:r>
                <w:rPr>
                  <w:rFonts w:ascii="Arial" w:cs="Arial" w:eastAsia="Arial" w:hAnsi="Arial"/>
                  <w:sz w:val="18"/>
                  <w:szCs w:val="18"/>
                  <w:color w:val="auto"/>
                </w:rPr>
                <w:t>Incorporation Of Certain Information By Reference</w:t>
              </w:r>
            </w:hyperlink>
          </w:p>
        </w:tc>
        <w:tc>
          <w:tcPr>
            <w:tcW w:w="2560" w:type="dxa"/>
            <w:vAlign w:val="bottom"/>
            <w:shd w:val="clear" w:color="auto" w:fill="CCEEFF"/>
          </w:tcPr>
          <w:p>
            <w:pPr>
              <w:jc w:val="center"/>
              <w:ind w:left="1372"/>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This prospectus is part of a registration statement filed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using a “shelf” registration process. Under this shelf registration process, we may sell the securities described in this prospectus in one or more offerings. This prospectus provides you with a general description of the securities which may be offered. Each time we offer securities for sale, we will provide a prospectus supplement that contains information about the specific terms of that offering. Any prospectus supplement may also add or update information contained in this prospectus. You should read both this prospectus and any prospectus supplement together with additional information described below under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and “</w:t>
      </w:r>
      <w:r>
        <w:rPr>
          <w:rFonts w:ascii="Arial" w:cs="Arial" w:eastAsia="Arial" w:hAnsi="Arial"/>
          <w:sz w:val="18"/>
          <w:szCs w:val="18"/>
          <w:i w:val="1"/>
          <w:iCs w:val="1"/>
          <w:color w:val="auto"/>
        </w:rPr>
        <w:t>Incorporation of Certain Information by Reference</w:t>
      </w:r>
      <w:r>
        <w:rPr>
          <w:rFonts w:ascii="Arial" w:cs="Arial" w:eastAsia="Arial" w:hAnsi="Arial"/>
          <w:sz w:val="18"/>
          <w:szCs w:val="18"/>
          <w:color w:val="auto"/>
        </w:rPr>
        <w:t>.”</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the information you should consider before buying our common stock. You should read the following summary together with the more detailed information appearing in this prospectus, including the section titled “Risk Factors” on page 5, before deciding whether to purchase our securities.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All brand names or trademarks appearing in this report are the property of their respective holders. Unless the context requires otherwise, references in this report to “VistaGen,” the “Company,” “we,” “us,” and “our” refer to VistaGen Therapeutics, Inc., a Nevada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AV-101, our lead CNS product candidate, is a new generation oral antidepressant prodrug candidate in Phase 2 development as an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We believe AV-101 may also have the potential to treat multiple additional CNS diseases and disorders, including chronic neuropathic pain, epilepsy, Huntington’s disease and Parkinson’s disease. AV-101’s mechanism of action, as an N-methyl D aspartate receptor (</w:t>
      </w:r>
      <w:r>
        <w:rPr>
          <w:rFonts w:ascii="Arial" w:cs="Arial" w:eastAsia="Arial" w:hAnsi="Arial"/>
          <w:sz w:val="16"/>
          <w:szCs w:val="16"/>
          <w:i w:val="1"/>
          <w:iCs w:val="1"/>
          <w:color w:val="auto"/>
        </w:rPr>
        <w:t>NMDAR</w:t>
      </w:r>
      <w:r>
        <w:rPr>
          <w:rFonts w:ascii="Arial" w:cs="Arial" w:eastAsia="Arial" w:hAnsi="Arial"/>
          <w:sz w:val="16"/>
          <w:szCs w:val="16"/>
          <w:color w:val="auto"/>
        </w:rPr>
        <w:t>) antagonist binding selectively at the glycine binding (</w:t>
      </w:r>
      <w:r>
        <w:rPr>
          <w:rFonts w:ascii="Arial" w:cs="Arial" w:eastAsia="Arial" w:hAnsi="Arial"/>
          <w:sz w:val="16"/>
          <w:szCs w:val="16"/>
          <w:i w:val="1"/>
          <w:iCs w:val="1"/>
          <w:color w:val="auto"/>
        </w:rPr>
        <w:t>GlyB</w:t>
      </w:r>
      <w:r>
        <w:rPr>
          <w:rFonts w:ascii="Arial" w:cs="Arial" w:eastAsia="Arial" w:hAnsi="Arial"/>
          <w:sz w:val="16"/>
          <w:szCs w:val="16"/>
          <w:color w:val="auto"/>
        </w:rPr>
        <w:t>) co-agonist site of the NMDAR, is fundamentally differentiated from all FDA-approved antidepressants currently on the market, as well as all atypical antipsychotics used as adjunctive treatments with current antidepressants.</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low dose intravenous (</w:t>
      </w:r>
      <w:r>
        <w:rPr>
          <w:rFonts w:ascii="Arial" w:cs="Arial" w:eastAsia="Arial" w:hAnsi="Arial"/>
          <w:sz w:val="16"/>
          <w:szCs w:val="16"/>
          <w:i w:val="1"/>
          <w:iCs w:val="1"/>
          <w:color w:val="auto"/>
        </w:rPr>
        <w:t>IV</w:t>
      </w:r>
      <w:r>
        <w:rPr>
          <w:rFonts w:ascii="Arial" w:cs="Arial" w:eastAsia="Arial" w:hAnsi="Arial"/>
          <w:sz w:val="16"/>
          <w:szCs w:val="16"/>
          <w:color w:val="auto"/>
        </w:rPr>
        <w:t>) administration of ketamine hydrochloride (</w:t>
      </w:r>
      <w:r>
        <w:rPr>
          <w:rFonts w:ascii="Arial" w:cs="Arial" w:eastAsia="Arial" w:hAnsi="Arial"/>
          <w:sz w:val="16"/>
          <w:szCs w:val="16"/>
          <w:i w:val="1"/>
          <w:iCs w:val="1"/>
          <w:color w:val="auto"/>
        </w:rPr>
        <w:t>ketamine</w:t>
      </w:r>
      <w:r>
        <w:rPr>
          <w:rFonts w:ascii="Arial" w:cs="Arial" w:eastAsia="Arial" w:hAnsi="Arial"/>
          <w:sz w:val="16"/>
          <w:szCs w:val="16"/>
          <w:color w:val="auto"/>
        </w:rPr>
        <w:t>), an NMDAR antagonist, in patients with treatment-resistant MDD. These NIMH studies, as well as clinical research at Yale University and other academic institutions, have demonstrated robust antidepressant effects in treatment-resistant MDD patients within twenty-four hours of a single IV dose of ketamine.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entitled, </w:t>
      </w:r>
      <w:r>
        <w:rPr>
          <w:rFonts w:ascii="Arial" w:cs="Arial" w:eastAsia="Arial" w:hAnsi="Arial"/>
          <w:sz w:val="16"/>
          <w:szCs w:val="16"/>
          <w:i w:val="1"/>
          <w:iCs w:val="1"/>
          <w:color w:val="auto"/>
        </w:rPr>
        <w:t xml:space="preserve">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w:t>
      </w:r>
      <w:r>
        <w:rPr>
          <w:rFonts w:ascii="Arial" w:cs="Arial" w:eastAsia="Arial" w:hAnsi="Arial"/>
          <w:sz w:val="16"/>
          <w:szCs w:val="16"/>
          <w:i w:val="1"/>
          <w:iCs w:val="1"/>
          <w:color w:val="auto"/>
        </w:rPr>
        <w:t xml:space="preserve"> </w:t>
      </w:r>
      <w:r>
        <w:rPr>
          <w:rFonts w:ascii="Arial" w:cs="Arial" w:eastAsia="Arial" w:hAnsi="Arial"/>
          <w:sz w:val="16"/>
          <w:szCs w:val="16"/>
          <w:color w:val="auto"/>
        </w:rPr>
        <w:t>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the GlyB site and also involved the activation of another key neurological pathway, the alpha-amino-3-hydroxy-5-methyl-4-isoxazolepropionic acid (</w:t>
      </w:r>
      <w:r>
        <w:rPr>
          <w:rFonts w:ascii="Arial" w:cs="Arial" w:eastAsia="Arial" w:hAnsi="Arial"/>
          <w:sz w:val="16"/>
          <w:szCs w:val="16"/>
          <w:i w:val="1"/>
          <w:iCs w:val="1"/>
          <w:color w:val="auto"/>
        </w:rPr>
        <w:t>AMPA</w:t>
      </w:r>
      <w:r>
        <w:rPr>
          <w:rFonts w:ascii="Arial" w:cs="Arial" w:eastAsia="Arial" w:hAnsi="Arial"/>
          <w:sz w:val="16"/>
          <w:szCs w:val="16"/>
          <w:color w:val="auto"/>
        </w:rPr>
        <w:t>) receptor pathway</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February 2015, we entered into a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Under the CRADA, the NIMH is funding, and Dr. Zarate, as Principal Investigator, and his team are conducting, a 20-25 patient Phase 2 clinical study of AV-101 as a monotherapy in subjects with treatment-resistant MDD (the </w:t>
      </w:r>
      <w:r>
        <w:rPr>
          <w:rFonts w:ascii="Arial" w:cs="Arial" w:eastAsia="Arial" w:hAnsi="Arial"/>
          <w:sz w:val="16"/>
          <w:szCs w:val="16"/>
          <w:i w:val="1"/>
          <w:iCs w:val="1"/>
          <w:color w:val="auto"/>
        </w:rPr>
        <w:t>NIMH Study</w:t>
      </w:r>
      <w:r>
        <w:rPr>
          <w:rFonts w:ascii="Arial" w:cs="Arial" w:eastAsia="Arial" w:hAnsi="Arial"/>
          <w:sz w:val="16"/>
          <w:szCs w:val="16"/>
          <w:color w:val="auto"/>
        </w:rPr>
        <w:t>). We believe orally-administered AV-101 may have potential to deliver ketamine-like antidepressant effects without ketamine’s psychological and other side effects. We currently anticipate that the NIMH will complete the NIMH Study at the end of 2017.</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preparing to launch our Phase 2 clinical study of AV-101 as a new generation adjunctive treatment of MDD in adult patients with an inadequate response to standard, FDA-approved antidepressants (</w:t>
      </w:r>
      <w:r>
        <w:rPr>
          <w:rFonts w:ascii="Arial" w:cs="Arial" w:eastAsia="Arial" w:hAnsi="Arial"/>
          <w:sz w:val="16"/>
          <w:szCs w:val="16"/>
          <w:i w:val="1"/>
          <w:iCs w:val="1"/>
          <w:color w:val="auto"/>
        </w:rPr>
        <w:t>Phase 2 Study</w:t>
      </w:r>
      <w:r>
        <w:rPr>
          <w:rFonts w:ascii="Arial" w:cs="Arial" w:eastAsia="Arial" w:hAnsi="Arial"/>
          <w:sz w:val="16"/>
          <w:szCs w:val="16"/>
          <w:color w:val="auto"/>
        </w:rPr>
        <w:t>). We currently anticipate commencement of this multi-center, multi-dose, double blind, placebo-controlled efficacy and safety study of AV-101 by the end of the second quarter of 2017.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the Phase 2 Study. Dr. Fava was the co-Principal Investigator with Dr. A. John Rush of the STAR*D study, the largest clinical trial conducted in depression to date,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top line results of the Phase 2 Study by the end of 2018.</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third-party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including small molecule NCEs with regenerative potential, for CNS and other diseases and (ii) cellular therapies involving stem cell-derived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our customized cardiac bioassay system, to develop small molecule NCEs for our pipeline. In December 2016, we exclusively sublicensed to BlueRock Therapeutics LP, a next generation regenerative medicine company established by Bayer AG and Versant Ventures, rights to certain proprietary technologies relating to the production of cardiac stem cells for the treatment of heart disease (the </w:t>
      </w:r>
      <w:r>
        <w:rPr>
          <w:rFonts w:ascii="Arial" w:cs="Arial" w:eastAsia="Arial" w:hAnsi="Arial"/>
          <w:sz w:val="16"/>
          <w:szCs w:val="16"/>
          <w:i w:val="1"/>
          <w:iCs w:val="1"/>
          <w:color w:val="auto"/>
        </w:rPr>
        <w:t>BlueRock</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VistaStem may also pursue additional potential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applications, including using blood, cartilage, and/or liver cells derived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hPSCs for (A) cell-based therapy, (B) cell repair therapy, and/or (C) tissue engineering. In a manner similar to our exclusive sublicense agreement with BlueRock Therapeutics, VistaStem may pursue these additional RM applications in collaboration with third-parties.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 w:name="page8"/>
    <w:bookmarkEnd w:id="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World Health Organization (</w:t>
      </w:r>
      <w:r>
        <w:rPr>
          <w:rFonts w:ascii="Arial" w:cs="Arial" w:eastAsia="Arial" w:hAnsi="Arial"/>
          <w:sz w:val="16"/>
          <w:szCs w:val="16"/>
          <w:i w:val="1"/>
          <w:iCs w:val="1"/>
          <w:color w:val="auto"/>
        </w:rPr>
        <w:t>WHO</w:t>
      </w:r>
      <w:r>
        <w:rPr>
          <w:rFonts w:ascii="Arial" w:cs="Arial" w:eastAsia="Arial" w:hAnsi="Arial"/>
          <w:sz w:val="16"/>
          <w:szCs w:val="16"/>
          <w:color w:val="auto"/>
        </w:rPr>
        <w:t>) estimates that 300 million people worldwide are affected by depression. According to the NIH,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6"/>
          <w:szCs w:val="16"/>
          <w:i w:val="1"/>
          <w:iCs w:val="1"/>
          <w:color w:val="auto"/>
        </w:rPr>
        <w:t>CDC</w:t>
      </w:r>
      <w:r>
        <w:rPr>
          <w:rFonts w:ascii="Arial" w:cs="Arial" w:eastAsia="Arial" w:hAnsi="Arial"/>
          <w:sz w:val="16"/>
          <w:szCs w:val="16"/>
          <w:color w:val="auto"/>
        </w:rPr>
        <w:t>) one in 10 Americans over the age of 12 takes a standard, FDA-approved antidepressant.</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Most standard, FDA-approved antidepressants target neurotransmitter reuptake inhibition – either serotonin (antidepressants known as </w:t>
      </w:r>
      <w:r>
        <w:rPr>
          <w:rFonts w:ascii="Arial" w:cs="Arial" w:eastAsia="Arial" w:hAnsi="Arial"/>
          <w:sz w:val="18"/>
          <w:szCs w:val="18"/>
          <w:i w:val="1"/>
          <w:iCs w:val="1"/>
          <w:color w:val="auto"/>
        </w:rPr>
        <w:t>SSRIs</w:t>
      </w:r>
      <w:r>
        <w:rPr>
          <w:rFonts w:ascii="Arial" w:cs="Arial" w:eastAsia="Arial" w:hAnsi="Arial"/>
          <w:sz w:val="18"/>
          <w:szCs w:val="18"/>
          <w:color w:val="auto"/>
        </w:rPr>
        <w:t xml:space="preserve">) or serotonin/norepinephrine (antidepressants known as </w:t>
      </w:r>
      <w:r>
        <w:rPr>
          <w:rFonts w:ascii="Arial" w:cs="Arial" w:eastAsia="Arial" w:hAnsi="Arial"/>
          <w:sz w:val="18"/>
          <w:szCs w:val="18"/>
          <w:i w:val="1"/>
          <w:iCs w:val="1"/>
          <w:color w:val="auto"/>
        </w:rPr>
        <w:t>SNRIs</w:t>
      </w:r>
      <w:r>
        <w:rPr>
          <w:rFonts w:ascii="Arial" w:cs="Arial" w:eastAsia="Arial" w:hAnsi="Arial"/>
          <w:sz w:val="18"/>
          <w:szCs w:val="18"/>
          <w:color w:val="auto"/>
        </w:rPr>
        <w:t>). Even when effective, these standard depression medications take many weeks to achieve adequate antidepressant effects. Nearly two out of every three drug-treated depression patients, including an estimated 6.9 million drug-treated MDD patients in the U.S., obtain inadequate therapeutic benefit from initial treatment with a standard antidepressant. Unfortunately, even after treatment with many different standard antidepressants, nearly one out of every three drug-treated depression patients still do not achieve adequate therapeutic benefits from their antidepressant medication. Such patients with an inadequate response to standard antidepressants often seek to augment their treatment regimen by adding an atypical antipsychotic (drugs such as, for example, aripiprazole), despite only modest potential therapeutic benefit and the risk of additional side effects from atypical antipsychotics.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standard, FDA-approved antidepressants have risks of significant side effects, including, among others, potential anxiety, metabolic syndrome, sleep disturbance and sexual dysfunction. Adjunctive use of atypical antipsychotics to augment inadequately performing standard antidepressants increases the risk of serious side effects, including, potentially, tardive dyskinesia, significant weight gain, diabetes and heart disease, while offering only a modest potential increase in therapeutic benefit.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AV-101 is our oral new generation antidepressant prodrug candidate in Phase 2 clinical development in the U.S. for the adjunctive treatment of MDD patients with an inadequate response to standard, FDA-approved antidepressants. As published in the October 2015 issue of the peer-reviewed, </w:t>
      </w:r>
      <w:r>
        <w:rPr>
          <w:rFonts w:ascii="Arial" w:cs="Arial" w:eastAsia="Arial" w:hAnsi="Arial"/>
          <w:sz w:val="16"/>
          <w:szCs w:val="16"/>
          <w:i w:val="1"/>
          <w:iCs w:val="1"/>
          <w:color w:val="auto"/>
        </w:rPr>
        <w:t>Journal of Pharmacology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Experimental Therapeutics, </w:t>
      </w:r>
      <w:r>
        <w:rPr>
          <w:rFonts w:ascii="Arial" w:cs="Arial" w:eastAsia="Arial" w:hAnsi="Arial"/>
          <w:sz w:val="16"/>
          <w:szCs w:val="16"/>
          <w:color w:val="auto"/>
        </w:rPr>
        <w:t>in an article entitled,</w:t>
      </w:r>
      <w:r>
        <w:rPr>
          <w:rFonts w:ascii="Arial" w:cs="Arial" w:eastAsia="Arial" w:hAnsi="Arial"/>
          <w:sz w:val="16"/>
          <w:szCs w:val="16"/>
          <w:i w:val="1"/>
          <w:iCs w:val="1"/>
          <w:color w:val="auto"/>
        </w:rPr>
        <w:t xml:space="preserve"> 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 depression, AV-101 was shown to induce fast-acting, dose-dependent, persistent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the GlyB site and also involved the activation of another key neurological pathway, the alpha-amino-3-hydroxy-5-methyl-4-isoxazolepropionic acid (</w:t>
      </w:r>
      <w:r>
        <w:rPr>
          <w:rFonts w:ascii="Arial" w:cs="Arial" w:eastAsia="Arial" w:hAnsi="Arial"/>
          <w:sz w:val="16"/>
          <w:szCs w:val="16"/>
          <w:i w:val="1"/>
          <w:iCs w:val="1"/>
          <w:color w:val="auto"/>
        </w:rPr>
        <w:t>AMPA</w:t>
      </w:r>
      <w:r>
        <w:rPr>
          <w:rFonts w:ascii="Arial" w:cs="Arial" w:eastAsia="Arial" w:hAnsi="Arial"/>
          <w:sz w:val="16"/>
          <w:szCs w:val="16"/>
          <w:color w:val="auto"/>
        </w:rPr>
        <w:t>) receptor pathway. We believe activation of the AMPA receptor pathway is a key final common pathway feature of new generation antidepressants.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Following the completion of our NIH-funded, randomized, double blind, placebo-controlled AV-101 Phase 1 safety studies, in February 2015, we entered into a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with the NIMH. Under the CRADA, the NIMH is funding, and Dr. Zarate, as Principal Investigator, and his team are conducting, a 20-25 patient Phase 2 clinical study of AV-101 as a monotherapy in subjects with treatment-resistant MDD (</w:t>
      </w:r>
      <w:r>
        <w:rPr>
          <w:rFonts w:ascii="Arial" w:cs="Arial" w:eastAsia="Arial" w:hAnsi="Arial"/>
          <w:sz w:val="18"/>
          <w:szCs w:val="18"/>
          <w:i w:val="1"/>
          <w:iCs w:val="1"/>
          <w:color w:val="auto"/>
        </w:rPr>
        <w:t>NIMH</w:t>
      </w:r>
      <w:r>
        <w:rPr>
          <w:rFonts w:ascii="Arial" w:cs="Arial" w:eastAsia="Arial" w:hAnsi="Arial"/>
          <w:sz w:val="18"/>
          <w:szCs w:val="18"/>
          <w:color w:val="auto"/>
        </w:rPr>
        <w:t xml:space="preserve"> </w:t>
      </w:r>
      <w:r>
        <w:rPr>
          <w:rFonts w:ascii="Arial" w:cs="Arial" w:eastAsia="Arial" w:hAnsi="Arial"/>
          <w:sz w:val="18"/>
          <w:szCs w:val="18"/>
          <w:i w:val="1"/>
          <w:iCs w:val="1"/>
          <w:color w:val="auto"/>
        </w:rPr>
        <w:t>Study</w:t>
      </w:r>
      <w:r>
        <w:rPr>
          <w:rFonts w:ascii="Arial" w:cs="Arial" w:eastAsia="Arial" w:hAnsi="Arial"/>
          <w:sz w:val="18"/>
          <w:szCs w:val="18"/>
          <w:color w:val="auto"/>
        </w:rPr>
        <w:t>). We currently anticipate that the NIMH will complete the NIMH Study by the end of 2017.</w:t>
      </w:r>
    </w:p>
    <w:p>
      <w:pPr>
        <w:spacing w:after="0" w:line="1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preparing to launch our approximately 180-patient Phase 2 Study of AV-101 as an adjunctive treatment of MDD in patients with an inadequate response to standard, FDA-approved antidepressants. We currently anticipate the launch of the Phase 2 Study, with Dr. Maurizio Fava of Harvard Medical School serving as Principal Investigator, by the end of the second quarter of 2017. We currently anticipate top line results of the Phase 2 Study by the end of 2018.</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prior preclinical studies support the hypothesis that AV-101 may also have the potential to treat multiple CNS disorders and neurodegenerative diseases in addition to MDD, including chronic neuropathic pain, epilepsy, Parkinson’s disease and Huntington’s disease, where modulation of the NMDAR, AMPA pathway and/or key active metabolites of AV-101 may achieve therapeutic benefit. However, human clinical studies will be required before this therapeutic potential could be demonstrated. There is no guarantee that human clinical trials would be successful or that the FDA would approve the use of AV-101 for the treatment of one or more of these additional CNS indications.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VistaStem Therapeutics is our wholly owned subsidiary focused on applying hPSC technology to discover, rescue, develop and commercialize proprietary small molecule NCEs for CNS and other diseases, as well as potential cellular therapies involving stem cell-derived blood, cartilage, heart and liver cells.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is our customized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cardiac bioassay system capable of predicting potential human heart toxicity of small molecule NCEs</w:t>
      </w:r>
      <w:r>
        <w:rPr>
          <w:rFonts w:ascii="Arial" w:cs="Arial" w:eastAsia="Arial" w:hAnsi="Arial"/>
          <w:sz w:val="16"/>
          <w:szCs w:val="16"/>
          <w:i w:val="1"/>
          <w:iCs w:val="1"/>
          <w:color w:val="auto"/>
        </w:rPr>
        <w:t xml:space="preserve"> in vitro</w:t>
      </w:r>
      <w:r>
        <w:rPr>
          <w:rFonts w:ascii="Arial" w:cs="Arial" w:eastAsia="Arial" w:hAnsi="Arial"/>
          <w:sz w:val="16"/>
          <w:szCs w:val="16"/>
          <w:color w:val="auto"/>
        </w:rPr>
        <w:t>, long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before they are ever tested in animal and human studies. Potential commercial applications of our stem cell technology platform involve (i)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internally for NCE drug discovery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and cellular therapies. Drug rescue involves leveraging substantial prior research and development investments by pharmaceutical companies and others related to public domain NCE programs terminated before FDA approval due to heart toxicity risks. In December 2016, we exclusively sublicensed to BlueRock Therapeutics LP, a next generation RM company established by Bayer AG and Versant Ventures, rights to certain proprietary technologies relating to the production of cardiac stem cells for the treatment of heart disease. We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and/or liver cells. In a manner similar to the BlueRock Therapeutics Agreement, we may pursue these additional RM and cellular therapy applications in collaboration with third-parties.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business is subject to substantial risk. Please carefully consider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on page 5 of this prospectus for a discussion of the factors you should carefully consider before deciding to purchase the securities offered by this prospectus. These risks include, among others:</w:t>
      </w:r>
    </w:p>
    <w:p>
      <w:pPr>
        <w:spacing w:after="0" w:line="139" w:lineRule="exact"/>
        <w:rPr>
          <w:sz w:val="20"/>
          <w:szCs w:val="20"/>
          <w:color w:val="auto"/>
        </w:rPr>
      </w:pPr>
    </w:p>
    <w:p>
      <w:pPr>
        <w:ind w:left="660" w:hanging="652"/>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a development stage biopharmaceutical company with no current revenues or approved products, and limited experience developing new drug, biological and/or regenerative medicine candidates, which makes it difficult to assess our future viability;</w:t>
      </w:r>
    </w:p>
    <w:p>
      <w:pPr>
        <w:spacing w:after="0" w:line="185" w:lineRule="exact"/>
        <w:rPr>
          <w:rFonts w:ascii="Arial" w:cs="Arial" w:eastAsia="Arial" w:hAnsi="Arial"/>
          <w:sz w:val="18"/>
          <w:szCs w:val="18"/>
          <w:color w:val="auto"/>
        </w:rPr>
      </w:pPr>
    </w:p>
    <w:p>
      <w:pPr>
        <w:ind w:left="660" w:hanging="652"/>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depend heavily on the success of AV-101, and we cannot be certain that we will be able to obtain regulatory approval for, or successfully commercialize, AV-101, or any product candidate;</w:t>
      </w:r>
    </w:p>
    <w:p>
      <w:pPr>
        <w:spacing w:after="0" w:line="185" w:lineRule="exact"/>
        <w:rPr>
          <w:rFonts w:ascii="Arial" w:cs="Arial" w:eastAsia="Arial" w:hAnsi="Arial"/>
          <w:sz w:val="18"/>
          <w:szCs w:val="18"/>
          <w:color w:val="auto"/>
        </w:rPr>
      </w:pPr>
    </w:p>
    <w:p>
      <w:pPr>
        <w:ind w:left="660" w:hanging="652"/>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failures or delays in the commencement or completion of our planned clinical trials could delay, prevent or limit our ability to generate revenue and continue our business;</w:t>
      </w:r>
    </w:p>
    <w:p>
      <w:pPr>
        <w:spacing w:after="0" w:line="185" w:lineRule="exact"/>
        <w:rPr>
          <w:rFonts w:ascii="Arial" w:cs="Arial" w:eastAsia="Arial" w:hAnsi="Arial"/>
          <w:sz w:val="18"/>
          <w:szCs w:val="18"/>
          <w:color w:val="auto"/>
        </w:rPr>
      </w:pPr>
    </w:p>
    <w:p>
      <w:pPr>
        <w:ind w:left="660" w:hanging="652"/>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some of our programs have been partially supported by government grants, which may not be available to us in the future;</w:t>
      </w:r>
    </w:p>
    <w:p>
      <w:pPr>
        <w:spacing w:after="0" w:line="225"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 and</w:t>
      </w:r>
    </w:p>
    <w:p>
      <w:pPr>
        <w:spacing w:after="0" w:line="194"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will continue to incur substantial operating losses for the foreseeable future.</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 risks and uncertainties not presently known to us or that we currently deem immaterial may also impair our business operations. You should be able to bear a complete loss of your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VistaGen Therapeutics, Inc., a Nevada corporation, is the parent of VistaGen Therapeutics, Inc. (dba VistaStem Therapeutics, Inc.), a wholly-owned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We have included our website address as a factual reference and do not intend it to be an active link to our website.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 investment in our securities involves a high degree of risk. You should consider the risks, uncertainties and assumptions described under Item 1A,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in our Annual Report on Form 10-K for the fiscal year ended March 31, 2016, as well as subsequently filed Quarterly Reports on Form 10-Q, which</w:t>
      </w:r>
      <w:r>
        <w:rPr>
          <w:rFonts w:ascii="Arial" w:cs="Arial" w:eastAsia="Arial" w:hAnsi="Arial"/>
          <w:sz w:val="16"/>
          <w:szCs w:val="16"/>
          <w:i w:val="1"/>
          <w:iCs w:val="1"/>
          <w:color w:val="auto"/>
        </w:rPr>
        <w:t xml:space="preserve"> </w:t>
      </w:r>
      <w:r>
        <w:rPr>
          <w:rFonts w:ascii="Arial" w:cs="Arial" w:eastAsia="Arial" w:hAnsi="Arial"/>
          <w:sz w:val="16"/>
          <w:szCs w:val="16"/>
          <w:color w:val="auto"/>
        </w:rPr>
        <w:t>risk factors are incorporated herein by reference, and may be amended, supplemented or superseded from time to time by other reports we file with the SEC in the future and any prospectus supplement related to a particular offering. The risks and uncertainties we have described in our Annual Report on Form 10-K for the fiscal year ended March 31, 2016 and subsequent Quarterly Reports on Form 10-Q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contained in this prospectus and/or any applicable prospectus supplement other than statements of historical facts,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ind w:left="660" w:hanging="652"/>
        <w:spacing w:after="0" w:line="33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to develop and commercialize our lead product candidate, AV-101, initially as an adjunctive treatment for MDD in patients with an inadequate response to standard, FDA-approved antidepressants, and subsequently as a treatment for additional CNS diseases and disorders;</w:t>
      </w:r>
    </w:p>
    <w:p>
      <w:pPr>
        <w:spacing w:after="0" w:line="139" w:lineRule="exact"/>
        <w:rPr>
          <w:rFonts w:ascii="Arial" w:cs="Arial" w:eastAsia="Arial" w:hAnsi="Arial"/>
          <w:sz w:val="16"/>
          <w:szCs w:val="16"/>
          <w:color w:val="auto"/>
        </w:rPr>
      </w:pPr>
    </w:p>
    <w:p>
      <w:pPr>
        <w:ind w:left="660" w:right="20" w:hanging="652"/>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the U.S. National Institute of Mental Health,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94" w:lineRule="exact"/>
        <w:rPr>
          <w:rFonts w:ascii="Arial" w:cs="Arial" w:eastAsia="Arial" w:hAnsi="Arial"/>
          <w:sz w:val="18"/>
          <w:szCs w:val="18"/>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success of competing products and product candidates in development by others that are or become available for the indications that we are pursuing;</w:t>
      </w:r>
    </w:p>
    <w:p>
      <w:pPr>
        <w:spacing w:after="0" w:line="259"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85" w:lineRule="exact"/>
        <w:rPr>
          <w:rFonts w:ascii="Arial" w:cs="Arial" w:eastAsia="Arial" w:hAnsi="Arial"/>
          <w:sz w:val="18"/>
          <w:szCs w:val="18"/>
          <w:color w:val="auto"/>
        </w:rPr>
      </w:pPr>
    </w:p>
    <w:p>
      <w:pPr>
        <w:ind w:left="660" w:hanging="652"/>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fiscal year ended March 31, 2016 and subsequent Quarterly Reports on Form 10-Q, which risk factors are incorporated herein by reference.</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as well as certain information incorporated by reference into this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You should read this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ratio of earnings to fixed charges for recently completed fiscal years and any required interim periods will be specified in a prospectus supplement or in a document that we file with the SEC and incorporated by reference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Unless otherwise provided in the applicable prospectus supplement, we intend to use the net proceeds from the sale of the securities under this prospectus for general corporate purposes, including research and development, working capital and capital expenditures. We may use a portion of the net proceeds to fund production of, and nonclinical and clinical studies related to Phase 2 and Phase 3 development of, AV-101 and other drug candidates. We may also use the net proceeds from the sale of the securities under this prospectus to in-license, acquire or invest in complementary businesses, technologies, products or assets. However, we have no current commitments or obligations to do so. We may set forth additional information on the use of proceeds from the sale or the securities we offer under this prospectus in a prospectus supplement relating to the specific offering. We cannot currently allocate specific percentages of the net proceeds that we may use for the purposes specified above. As a result, our management will have broad discretion in the allocation of the net proceeds. Pending the application of the net proceeds, we intend to invest the net proceeds in short- and intermediate-term, interest-bearing obligations, investment-grade instruments, certificates of deposit or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authorized capital stock consists of 30.0 million shares of common stock, $0.001 par value per share, and 10.0 million shares of preferred stock, $0.001 par value per share. The following is a description of our common stock and certain provisions of our Restated Articles of Incorporation (</w:t>
      </w:r>
      <w:r>
        <w:rPr>
          <w:rFonts w:ascii="Arial" w:cs="Arial" w:eastAsia="Arial" w:hAnsi="Arial"/>
          <w:sz w:val="18"/>
          <w:szCs w:val="18"/>
          <w:i w:val="1"/>
          <w:iCs w:val="1"/>
          <w:color w:val="auto"/>
        </w:rPr>
        <w:t>Articles</w:t>
      </w:r>
      <w:r>
        <w:rPr>
          <w:rFonts w:ascii="Arial" w:cs="Arial" w:eastAsia="Arial" w:hAnsi="Arial"/>
          <w:sz w:val="18"/>
          <w:szCs w:val="18"/>
          <w:color w:val="auto"/>
        </w:rPr>
        <w:t>), and our amended and restated bylaws (</w:t>
      </w:r>
      <w:r>
        <w:rPr>
          <w:rFonts w:ascii="Arial" w:cs="Arial" w:eastAsia="Arial" w:hAnsi="Arial"/>
          <w:sz w:val="18"/>
          <w:szCs w:val="18"/>
          <w:i w:val="1"/>
          <w:iCs w:val="1"/>
          <w:color w:val="auto"/>
        </w:rPr>
        <w:t>Bylaws</w:t>
      </w:r>
      <w:r>
        <w:rPr>
          <w:rFonts w:ascii="Arial" w:cs="Arial" w:eastAsia="Arial" w:hAnsi="Arial"/>
          <w:sz w:val="18"/>
          <w:szCs w:val="18"/>
          <w:color w:val="auto"/>
        </w:rPr>
        <w:t>), and certain provisions of Nevada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there were issued and outstanding, or reserved for issuance:</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8,781,471 shares of common stock held by approximately 700 stockholders of record;</w:t>
      </w:r>
    </w:p>
    <w:p>
      <w:pPr>
        <w:spacing w:after="0" w:line="225" w:lineRule="exact"/>
        <w:rPr>
          <w:rFonts w:ascii="Arial" w:cs="Arial" w:eastAsia="Arial" w:hAnsi="Arial"/>
          <w:sz w:val="18"/>
          <w:szCs w:val="18"/>
          <w:color w:val="auto"/>
        </w:rPr>
      </w:pPr>
    </w:p>
    <w:p>
      <w:pPr>
        <w:ind w:left="660" w:hanging="652"/>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held by one institutional investor and one accredited individual investor;</w:t>
      </w:r>
    </w:p>
    <w:p>
      <w:pPr>
        <w:spacing w:after="0" w:line="185" w:lineRule="exact"/>
        <w:rPr>
          <w:rFonts w:ascii="Arial" w:cs="Arial" w:eastAsia="Arial" w:hAnsi="Arial"/>
          <w:sz w:val="18"/>
          <w:szCs w:val="18"/>
          <w:color w:val="auto"/>
        </w:rPr>
      </w:pPr>
    </w:p>
    <w:p>
      <w:pPr>
        <w:ind w:left="660" w:right="20" w:hanging="652"/>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Preferred held by two institutional investors;</w:t>
      </w:r>
    </w:p>
    <w:p>
      <w:pPr>
        <w:spacing w:after="0" w:line="185" w:lineRule="exact"/>
        <w:rPr>
          <w:rFonts w:ascii="Arial" w:cs="Arial" w:eastAsia="Arial" w:hAnsi="Arial"/>
          <w:sz w:val="18"/>
          <w:szCs w:val="18"/>
          <w:color w:val="auto"/>
        </w:rPr>
      </w:pPr>
    </w:p>
    <w:p>
      <w:pPr>
        <w:ind w:left="660" w:hanging="652"/>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Preferred held by one institutional investor;</w:t>
      </w:r>
    </w:p>
    <w:p>
      <w:pPr>
        <w:spacing w:after="0" w:line="185" w:lineRule="exact"/>
        <w:rPr>
          <w:rFonts w:ascii="Arial" w:cs="Arial" w:eastAsia="Arial" w:hAnsi="Arial"/>
          <w:sz w:val="18"/>
          <w:szCs w:val="18"/>
          <w:color w:val="auto"/>
        </w:rPr>
      </w:pPr>
    </w:p>
    <w:p>
      <w:pPr>
        <w:ind w:left="660" w:hanging="652"/>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4,549,006 shares of common stock that have been reserved for issuance upon exercise of outstanding warrants, with a weighted average exercise price of $6.31 per share;</w:t>
      </w:r>
    </w:p>
    <w:p>
      <w:pPr>
        <w:spacing w:after="0" w:line="185" w:lineRule="exact"/>
        <w:rPr>
          <w:rFonts w:ascii="Arial" w:cs="Arial" w:eastAsia="Arial" w:hAnsi="Arial"/>
          <w:sz w:val="18"/>
          <w:szCs w:val="18"/>
          <w:color w:val="auto"/>
        </w:rPr>
      </w:pPr>
    </w:p>
    <w:p>
      <w:pPr>
        <w:ind w:left="660" w:hanging="652"/>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1,659,324 shares of common stock reserved for issuance upon exercise of outstanding stock options under our 1999 Stock Incentive Plan and our Amended and Restated 2016 Stock Incentive Plan, with a weighted average exercise price of $4.76 per share; and</w:t>
      </w:r>
    </w:p>
    <w:p>
      <w:pPr>
        <w:spacing w:after="0" w:line="185" w:lineRule="exact"/>
        <w:rPr>
          <w:rFonts w:ascii="Arial" w:cs="Arial" w:eastAsia="Arial" w:hAnsi="Arial"/>
          <w:sz w:val="18"/>
          <w:szCs w:val="18"/>
          <w:color w:val="auto"/>
        </w:rPr>
      </w:pPr>
    </w:p>
    <w:p>
      <w:pPr>
        <w:ind w:left="660" w:hanging="652"/>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1,134,911 shares of common stock reserved for future issuance in connection with future grants under our Amended and Restated 2016 Stock Incentive Plan.</w:t>
      </w:r>
    </w:p>
    <w:p>
      <w:pPr>
        <w:spacing w:after="0" w:line="18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i w:val="1"/>
          <w:iCs w:val="1"/>
          <w:color w:val="auto"/>
        </w:rPr>
        <w:t>This section describes the general terms of our common stock that we may offer from time to time. For more detailed information, a holder of our common stock should refer to our Articles and our Bylaws, copies of which are filed with the SEC as exhibits to the registration statement of which this prospectus is a part.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subject to conversion, redemption, sinking fund or similar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 Jersey City, New Jersey.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This section describes the general terms and provisions of our outstanding shares of preferred stock, as well as preferred stock that we may offer from time to time. The applicable prospectus supplement will describe the specific terms of the shares of preferred stock offered through that prospectus supplement, which may differ from the terms we describe below. We will file a copy of the certificate of designation that contains the terms of each new series of preferred stock with the SEC each time we issue a new series of preferred stock, and these certificates of designation will be incorporated by reference into the registration statement of which this prospectus is a part. Each certificate of designation will establish the number of shares included in a designated series and fix the designation, powers, privileges, preferences and rights of the shares of each series as well as any applicable qualifications, limitations or restrictions. A holder of our preferred stock should refer to the applicable certificate of designation, our Articles and the applicable prospectus supplement (and any related free writing prospectus that we may authorize to be provided to you) for more specific information.</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Series of Preferred Stock</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Currently, there are three series of our preferred stock outstanding- Series A Convertible Preferred Stock, Series B 10% Convertible Preferred Stock, and Series C Convertible Preferred Stock. The rights and preferences associated with each series are summarized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December 2011, our board of directors authorized the creation of a series of up to 500,000 shares of Series A Preferred. The Certificate of Designation of the Relative Rights and Preferences of the Series A Convertible Preferred Stock was filed with the Nevada Secretary of State effective December 20, 2011.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Rank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2017, there were 500,000 shares of Series A Preferred outstanding, which shares are currently subject to beneficial ownership blockers and are exchangeable at the option of the holders into an aggregate of 750,000 shares of our common stock. The Series A Preferred ranks prior to our common stock for purposes of liquidation preference.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ectPr>
          <w:pgSz w:w="11900" w:h="16838" w:orient="portrait"/>
          <w:cols w:equalWidth="0" w:num="1">
            <w:col w:w="11420"/>
          </w:cols>
          <w:pgMar w:left="240" w:top="131"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5" w:name="page16"/>
    <w:bookmarkEnd w:id="1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A Preferred has no voting rights, except with respect to transactions upon which the Series A Preferred shall be entitled to vote separately as a class, The common stock into which the Series A Preferred is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2015, our board of directors authorized the creation of a series of up to 4.0 million shares of Series B 10% Convertible Preferred Stock (</w:t>
      </w:r>
      <w:r>
        <w:rPr>
          <w:rFonts w:ascii="Arial" w:cs="Arial" w:eastAsia="Arial" w:hAnsi="Arial"/>
          <w:sz w:val="18"/>
          <w:szCs w:val="18"/>
          <w:i w:val="1"/>
          <w:iCs w:val="1"/>
          <w:color w:val="auto"/>
        </w:rPr>
        <w:t>Series B</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The Certificate of Designation of the Relative Rights and Preferences of the Series B 10% Convertible Preferred Stock was filed with the Nevada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Secretary of State on May 7, 2015 (the </w:t>
      </w:r>
      <w:r>
        <w:rPr>
          <w:rFonts w:ascii="Arial" w:cs="Arial" w:eastAsia="Arial" w:hAnsi="Arial"/>
          <w:sz w:val="18"/>
          <w:szCs w:val="18"/>
          <w:i w:val="1"/>
          <w:iCs w:val="1"/>
          <w:color w:val="auto"/>
        </w:rPr>
        <w:t>Series B Certificate of Designation</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the Company’s common stock. All outstanding shares of Series B Preferred are also automatically convertible into common stock (</w:t>
      </w:r>
      <w:r>
        <w:rPr>
          <w:rFonts w:ascii="Arial" w:cs="Arial" w:eastAsia="Arial" w:hAnsi="Arial"/>
          <w:sz w:val="16"/>
          <w:szCs w:val="16"/>
          <w:i w:val="1"/>
          <w:iCs w:val="1"/>
          <w:color w:val="auto"/>
        </w:rPr>
        <w:t>Automatic Conversion</w:t>
      </w:r>
      <w:r>
        <w:rPr>
          <w:rFonts w:ascii="Arial" w:cs="Arial" w:eastAsia="Arial" w:hAnsi="Arial"/>
          <w:sz w:val="16"/>
          <w:szCs w:val="16"/>
          <w:color w:val="auto"/>
        </w:rPr>
        <w:t>) upon the closing or effective date of any of the following transactions or events: (i) a strategic transaction involving AV-101 with an initial up front cash payment to the Company of at least $10.0 million;</w:t>
      </w:r>
    </w:p>
    <w:p>
      <w:pPr>
        <w:spacing w:after="0" w:line="1" w:lineRule="exact"/>
        <w:rPr>
          <w:sz w:val="20"/>
          <w:szCs w:val="20"/>
          <w:color w:val="auto"/>
        </w:rPr>
      </w:pPr>
    </w:p>
    <w:p>
      <w:pPr>
        <w:jc w:val="both"/>
        <w:ind w:firstLine="8"/>
        <w:spacing w:after="0" w:line="302" w:lineRule="auto"/>
        <w:tabs>
          <w:tab w:leader="none" w:pos="261" w:val="left"/>
        </w:tabs>
        <w:numPr>
          <w:ilvl w:val="0"/>
          <w:numId w:val="5"/>
        </w:numPr>
        <w:rPr>
          <w:rFonts w:ascii="Arial" w:cs="Arial" w:eastAsia="Arial" w:hAnsi="Arial"/>
          <w:sz w:val="16"/>
          <w:szCs w:val="16"/>
          <w:color w:val="auto"/>
        </w:rPr>
      </w:pPr>
      <w:r>
        <w:rPr>
          <w:rFonts w:ascii="Arial" w:cs="Arial" w:eastAsia="Arial" w:hAnsi="Arial"/>
          <w:sz w:val="16"/>
          <w:szCs w:val="16"/>
          <w:color w:val="auto"/>
        </w:rPr>
        <w:t>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completion of our $10.9 million underwritten public offering of our common stock in May 2016, which public offering occurred concurrently with and facilitated our listing on the Nasdaq Capital Market, approximately 2.4 million shares of Series B Preferred were converted automatically into approximately 2.4 million shares of our common stock pursuant to the Automatic Conversion provision. At March 31, 2017, there were 1,160,240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1,160,240 shares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Series B Preferred ranks prior to our common stock,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A Preferred for purposes of liquidation preference.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Prior to either a Voluntary Conversion or Automatic Conversion, shares of Series B Preferred will accrue dividends, payable only in unregistered common stock, at a rate of 10% per annum (the </w:t>
      </w:r>
      <w:r>
        <w:rPr>
          <w:rFonts w:ascii="Arial" w:cs="Arial" w:eastAsia="Arial" w:hAnsi="Arial"/>
          <w:sz w:val="18"/>
          <w:szCs w:val="18"/>
          <w:i w:val="1"/>
          <w:iCs w:val="1"/>
          <w:color w:val="auto"/>
        </w:rPr>
        <w:t>Accrued Dividend</w:t>
      </w:r>
      <w:r>
        <w:rPr>
          <w:rFonts w:ascii="Arial" w:cs="Arial" w:eastAsia="Arial" w:hAnsi="Arial"/>
          <w:sz w:val="18"/>
          <w:szCs w:val="18"/>
          <w:color w:val="auto"/>
        </w:rPr>
        <w:t>). The Accrued Dividend will be payable on the date of either a Voluntary Conversion or Automatic Conversion solely in that number of shares of Common Stock equal to the Accrued Dividend.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B Preferred has no voting rights, except with respect to transactions upon which the Series B Preferred shall be entitled to vote separately as a class. The common stock into which the Series B Preferred shall be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C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our board of directors authorized the creation of a series of up to 3.0 million shares of Series C Convertible Preferred Stock (</w:t>
      </w:r>
      <w:r>
        <w:rPr>
          <w:rFonts w:ascii="Arial" w:cs="Arial" w:eastAsia="Arial" w:hAnsi="Arial"/>
          <w:sz w:val="18"/>
          <w:szCs w:val="18"/>
          <w:i w:val="1"/>
          <w:iCs w:val="1"/>
          <w:color w:val="auto"/>
        </w:rPr>
        <w:t>Series C Preferred</w:t>
      </w:r>
      <w:r>
        <w:rPr>
          <w:rFonts w:ascii="Arial" w:cs="Arial" w:eastAsia="Arial" w:hAnsi="Arial"/>
          <w:sz w:val="18"/>
          <w:szCs w:val="18"/>
          <w:color w:val="auto"/>
        </w:rPr>
        <w:t xml:space="preserve">). The Certificate of Designation of the Relative Rights and Preferences of the Series C Convertible Preferred Stock was filed with the Nevada Secretary of State, effective January 25, 2016 (the </w:t>
      </w:r>
      <w:r>
        <w:rPr>
          <w:rFonts w:ascii="Arial" w:cs="Arial" w:eastAsia="Arial" w:hAnsi="Arial"/>
          <w:sz w:val="18"/>
          <w:szCs w:val="18"/>
          <w:i w:val="1"/>
          <w:iCs w:val="1"/>
          <w:color w:val="auto"/>
        </w:rPr>
        <w:t>Series C Certificate of Designation</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Rank</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At March 31, 2017, there were 2,318,012 shares of Series C Preferred outstanding, which shares of Series C Preferred are currently subject to beneficial ownership blockers and are exchangeable at the option of the holder into 2,318,012 shares of our common stock. The Series C Preferred ranks prior to our common stock for purposes of liquidation preference,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and Series B Preferred.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C Preferred has no voting rights, except with respect to transactions upon which the Series C Preferred shall be entitled to vote separately as a class. The common stock into which the Series C Preferred is exchangeable shall, upon issuance, have all of the same voting rights as other issued and outstanding shares of our common stock.</w:t>
      </w:r>
    </w:p>
    <w:p>
      <w:pPr>
        <w:sectPr>
          <w:pgSz w:w="11900" w:h="16838" w:orient="portrait"/>
          <w:cols w:equalWidth="0" w:num="1">
            <w:col w:w="11420"/>
          </w:cols>
          <w:pgMar w:left="240" w:top="131" w:right="2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 w:name="page18"/>
    <w:bookmarkEnd w:id="1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Preferred Stock Issuable Pursuant to this Prospectus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13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authorized;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such redemption and repurchase rights;</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660" w:hanging="652"/>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considerations applicable to the preferred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248" w:lineRule="exact"/>
        <w:rPr>
          <w:rFonts w:ascii="Arial" w:cs="Arial" w:eastAsia="Arial" w:hAnsi="Arial"/>
          <w:sz w:val="16"/>
          <w:szCs w:val="16"/>
          <w:color w:val="auto"/>
        </w:rPr>
      </w:pPr>
    </w:p>
    <w:p>
      <w:pPr>
        <w:ind w:left="660" w:hanging="652"/>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When we issue shares of preferred stock under this prospectus, the shares will fully be paid and nonassessable and will not have, or be subject to, any preemptive or similar rights.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WARRANTS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The following description, together with the additional information we include in any applicable prospectus supplements or free writing prospectus, summarizes the material terms and provisions of the warrants that we may offer under this prospectus, which may consist of warrants to purchase common stock and/or preferred stock in one or more series. Warrants may be offered independently or together with common stock and/or preferred stock offered by any prospectus supplement or free writing prospectus,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or free writing prospectus. The terms of any warrants we offer under a prospectus supplement or free writing prospectus may differ from the terms we describe below.</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that we issue warrants, we will issue the warrants under a warrant agreement which we will enter into with a warrant agent to be selected by us. Forms of these warrant agreements and forms of the warrant certificates representing the warrants, and the complete warrant agreements and forms of warrant certificates containing the terms of the warrants being offered, will be filed as exhibits to the registration statement of which this prospectus is a part or will be incorporated by reference from reports that we file with the SEC.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summaries of material provisions of the warrants and the warrant agreements are subject to, and qualified in their entirety by reference to, all the provisions of the warrant agreement applicable to a particular series of warrants. We urge you to read the applicable prospectus supplements or free writing prospectus related to the warrants that we sell under this prospectus, as well as the complete warrant agreements that contain the terms of the warrants.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will describe in the applicable prospectus supplement or free writing prospectus the terms relating to a series of warrants. If warrants for the purchase of common stock or preferred stock are offered, the prospectus supplement or free writing prospectus will describe the following terms, to the extent applicable:</w:t>
      </w:r>
    </w:p>
    <w:p>
      <w:pPr>
        <w:spacing w:after="0" w:line="13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offering price and the aggregate number of warrants offered;</w:t>
      </w:r>
    </w:p>
    <w:p>
      <w:pPr>
        <w:spacing w:after="0" w:line="225" w:lineRule="exact"/>
        <w:rPr>
          <w:rFonts w:ascii="Arial" w:cs="Arial" w:eastAsia="Arial" w:hAnsi="Arial"/>
          <w:sz w:val="18"/>
          <w:szCs w:val="18"/>
          <w:color w:val="auto"/>
        </w:rPr>
      </w:pPr>
    </w:p>
    <w:p>
      <w:pPr>
        <w:ind w:left="660" w:hanging="652"/>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total number of shares that can be purchased if a holder of the warrants exercises them and, in the case of warrants for preferred stock, the designation, total number and terms of the series of preferred stock that can be purchased upon exercise;</w:t>
      </w:r>
    </w:p>
    <w:p>
      <w:pPr>
        <w:spacing w:after="0" w:line="185" w:lineRule="exact"/>
        <w:rPr>
          <w:rFonts w:ascii="Arial" w:cs="Arial" w:eastAsia="Arial" w:hAnsi="Arial"/>
          <w:sz w:val="18"/>
          <w:szCs w:val="18"/>
          <w:color w:val="auto"/>
        </w:rPr>
      </w:pPr>
    </w:p>
    <w:p>
      <w:pPr>
        <w:ind w:left="660" w:hanging="652"/>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and terms of any series of preferred stock with which the warrants are being offered and the number of warrants being offered with each share of common stock or preferred stock;</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date on and after which the holder of the warrants can transfer them separately from the related common stock or series of preferred stock;</w:t>
      </w:r>
    </w:p>
    <w:p>
      <w:pPr>
        <w:spacing w:after="0" w:line="248"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can be purchased if a holder exercises the warrant and the price at which such common stock or preferred stock may be purchased upon exercise, including, if applicable, any provisions for changes to or adjustments in the exercise price and in the securities or other property receivable upon exercise;</w:t>
      </w:r>
    </w:p>
    <w:p>
      <w:pPr>
        <w:spacing w:after="0" w:line="194"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any rights to redeem or call, or accelerate the expiration of, the warrants;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begins and the date on which that right expires;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holder of a warrant is entitled to purchase the number of shares of common stock or preferred stock, as the case may be, at the exercise price described in the applicable prospectus supplement or free writing prospectus. After the close of business on the day when the right to exercise terminates (or a later date if we extend the time for exercise), unexercised warrants will become void.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holder of warrants may exercise them by following the general procedure outlined below:</w:t>
      </w:r>
    </w:p>
    <w:p>
      <w:pPr>
        <w:spacing w:after="0" w:line="225" w:lineRule="exact"/>
        <w:rPr>
          <w:sz w:val="20"/>
          <w:szCs w:val="20"/>
          <w:color w:val="auto"/>
        </w:rPr>
      </w:pPr>
    </w:p>
    <w:p>
      <w:pPr>
        <w:ind w:left="660" w:right="20" w:hanging="652"/>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delivering to the warrant agent the payment required by the applicable prospectus supplement or free writing prospectus to purchase the underlying security;</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properly completing and signing the reverse side of the warrant certificate representing the warrants; and</w:t>
      </w:r>
    </w:p>
    <w:p>
      <w:pPr>
        <w:spacing w:after="0" w:line="225" w:lineRule="exact"/>
        <w:rPr>
          <w:rFonts w:ascii="Arial" w:cs="Arial" w:eastAsia="Arial" w:hAnsi="Arial"/>
          <w:sz w:val="18"/>
          <w:szCs w:val="18"/>
          <w:color w:val="auto"/>
        </w:rPr>
      </w:pPr>
    </w:p>
    <w:p>
      <w:pPr>
        <w:ind w:left="660" w:right="20" w:hanging="652"/>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delivering the warrant certificate representing the warrants to the warrant agent within five business days of the warrant agent receiving payment of the exercise price.</w:t>
      </w:r>
    </w:p>
    <w:p>
      <w:pPr>
        <w:sectPr>
          <w:pgSz w:w="11900" w:h="16838" w:orient="portrait"/>
          <w:cols w:equalWidth="0" w:num="1">
            <w:col w:w="11420"/>
          </w:cols>
          <w:pgMar w:left="240" w:top="131" w:right="239" w:bottom="1157"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157" w:gutter="0" w:footer="0" w:header="0"/>
          <w:type w:val="continuous"/>
        </w:sectPr>
      </w:pPr>
    </w:p>
    <w:bookmarkStart w:id="19" w:name="page20"/>
    <w:bookmarkEnd w:id="1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you comply with the procedures described above, your warrants will be considered to have been exercised when the warrant agent receives payment of the exercise price, subject to the transfer books for the securities issuable upon exercise of the warrant not being closed on such date. After you have completed those procedures and subject to the foregoing, we will, as soon as practicable, issue and deliver to you the common stock or preferred stock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Supplements to the Warrant Agreements</w:t>
      </w:r>
    </w:p>
    <w:p>
      <w:pPr>
        <w:spacing w:after="0" w:line="23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Adjustments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Unless the applicable prospectus supplement or free writing prospectus states otherwise, the exercise price of, and the number of securities covered by, a common stock warrant or preferred stock warrant will be adjusted proportionately if we subdivide or combine our common stock or preferred stock, as applicable. In addition, unless the prospectus supplement or free writing prospectus states otherwise, if we, without receiving payment:</w:t>
      </w:r>
    </w:p>
    <w:p>
      <w:pPr>
        <w:spacing w:after="0" w:line="161" w:lineRule="exact"/>
        <w:rPr>
          <w:sz w:val="20"/>
          <w:szCs w:val="20"/>
          <w:color w:val="auto"/>
        </w:rPr>
      </w:pPr>
    </w:p>
    <w:p>
      <w:pPr>
        <w:ind w:left="660" w:hanging="652"/>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 capital stock or other securities convertible into or exchangeable for common stock or preferred stock, or any rights to subscribe for, purchase or otherwise acquire any of the foregoing, as a dividend or distribution to holders of our common stock or preferred stock;</w:t>
      </w:r>
    </w:p>
    <w:p>
      <w:pPr>
        <w:spacing w:after="0" w:line="185" w:lineRule="exact"/>
        <w:rPr>
          <w:rFonts w:ascii="Arial" w:cs="Arial" w:eastAsia="Arial" w:hAnsi="Arial"/>
          <w:sz w:val="18"/>
          <w:szCs w:val="18"/>
          <w:color w:val="auto"/>
        </w:rPr>
      </w:pPr>
    </w:p>
    <w:p>
      <w:pPr>
        <w:ind w:left="660" w:right="20" w:hanging="652"/>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any cash to holders of our common stock or preferred stock other than a cash dividend paid out of our current or retained earnings or other than in accordance with the terms of the preferred stock;</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issue any evidence of our indebtedness or rights to subscribe for or purchase our indebtedness to holders of our common stock or preferred stock; or</w:t>
      </w:r>
    </w:p>
    <w:p>
      <w:pPr>
        <w:spacing w:after="0" w:line="248" w:lineRule="exact"/>
        <w:rPr>
          <w:rFonts w:ascii="Arial" w:cs="Arial" w:eastAsia="Arial" w:hAnsi="Arial"/>
          <w:sz w:val="16"/>
          <w:szCs w:val="16"/>
          <w:color w:val="auto"/>
        </w:rPr>
      </w:pPr>
    </w:p>
    <w:p>
      <w:pPr>
        <w:ind w:left="660" w:hanging="652"/>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 common stock or preferred stock or additional stock or other securities or property to holders of our common stock or preferred stock by way of spinoff, split-up, reclassification, combination of shares or similar corporate rearrangement,</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then the holders of common stock warrants and preferred stock warrants, as applicable, will be entitled to receive upon exercise of the warrants, in addition to the securities otherwise receivable upon exercise of the warrants and without paying any additional consideration, the amount of stock and other securities and property such holders would have been entitled to receive had they held the common stock or preferred stock, as applicable, issuable under the warrants on the dates on which holders of those securities received or became entitled to receive such additional stock and other securities and property.</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Except as stated above or as otherwise set forth in the applicable prospectus supplement or free writing prospectus, the exercise price and number of securities covered by a common stock warrant and preferred stock warrant, and the amounts of other securities or property to be received, if any, upon exercise of those warrants,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Holders of common stock warrants and preferred stock warrants may have additional rights under the following circumstances:</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reclassifications, capital reorganizations or changes of the common stock or preferred stock, as applicable;</w:t>
      </w:r>
    </w:p>
    <w:p>
      <w:pPr>
        <w:spacing w:after="0" w:line="225" w:lineRule="exact"/>
        <w:rPr>
          <w:rFonts w:ascii="Arial" w:cs="Arial" w:eastAsia="Arial" w:hAnsi="Arial"/>
          <w:sz w:val="18"/>
          <w:szCs w:val="18"/>
          <w:color w:val="auto"/>
        </w:rPr>
      </w:pPr>
    </w:p>
    <w:p>
      <w:pPr>
        <w:ind w:left="660" w:right="20" w:hanging="652"/>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share exchanges, mergers, or similar transactions involving us and which result in changes of the common stock or preferred stock, as applicable; or</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sales or dispositions to another entity of all or substantially all of our property and assets.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one of the above transactions occurs and holders of our common stock or preferred stock are entitled to receive stock, securities or other property with respect to or in exchange for their securities, the holders of the common stock warrants and preferred stock warrants then outstanding, as applicable, will be entitled to receive upon exercise of their warrants the kind and amount of shares of stock and other securities or property that they would have received upon the applicable transaction if they had exercised their warrants immediately before the transaction.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or free writing prospectus. If so described in a particular prospectus supplement or free writing prospectus, the specific terms of any series of units may differ from the general description of terms presented below.</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shares of common stock, shares of preferred stock, warrants or any combination of such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specify the following terms of any units in respect of which this prospectus is being delivered:</w:t>
      </w:r>
    </w:p>
    <w:p>
      <w:pPr>
        <w:spacing w:after="0" w:line="225" w:lineRule="exact"/>
        <w:rPr>
          <w:sz w:val="20"/>
          <w:szCs w:val="20"/>
          <w:color w:val="auto"/>
        </w:rPr>
      </w:pPr>
    </w:p>
    <w:p>
      <w:pPr>
        <w:ind w:left="660" w:right="20" w:hanging="652"/>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of the units and of any of the shares of common stock, shares of preferred stock or warrants comprising the units, including whether and under what circumstances the securities comprising the units may be traded separately;</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appropriate, a discussion of material U.S. federal income tax considerations;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CERTAIN PROVISIONS OF NEVADA LAW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ARTICLES OF INCORPORATION AND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Interested Persons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Nevada Revised Statutes, or NRS, a transaction with the Company (i) in which a Company director or officer has a direct or indirect interest, or (ii) involving another corporation, firm or association in which one or more of the Company’s directors or officers are directors or officers of the corporation, firm or association or have a financial interest in the corporation firm or association, is not void or voidable solely because of the director’s or officer’s interest or common role in the transaction if any one of the following circumstances exists:</w:t>
      </w:r>
    </w:p>
    <w:p>
      <w:pPr>
        <w:spacing w:after="0" w:line="197" w:lineRule="exact"/>
        <w:rPr>
          <w:sz w:val="20"/>
          <w:szCs w:val="20"/>
          <w:color w:val="auto"/>
        </w:rPr>
      </w:pPr>
    </w:p>
    <w:p>
      <w:pPr>
        <w:ind w:left="660" w:hanging="652"/>
        <w:spacing w:after="0" w:line="33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board of directors or a committee of the board of directors and a majority of disinterested directors on the board of directors (or on the committee) authorized, approved or ratified the transaction;</w:t>
      </w:r>
    </w:p>
    <w:p>
      <w:pPr>
        <w:spacing w:after="0" w:line="139" w:lineRule="exact"/>
        <w:rPr>
          <w:rFonts w:ascii="Arial" w:cs="Arial" w:eastAsia="Arial" w:hAnsi="Arial"/>
          <w:sz w:val="16"/>
          <w:szCs w:val="16"/>
          <w:color w:val="auto"/>
        </w:rPr>
      </w:pPr>
    </w:p>
    <w:p>
      <w:pPr>
        <w:ind w:left="660" w:hanging="652"/>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fact of the common directorship, office or financial interest is known to the stockholders and disinterested stockholders holding a majority of the shares held by disinterested stockholders authorized, approved or ratified the transaction;</w:t>
      </w:r>
    </w:p>
    <w:p>
      <w:pPr>
        <w:spacing w:after="0" w:line="185" w:lineRule="exact"/>
        <w:rPr>
          <w:rFonts w:ascii="Arial" w:cs="Arial" w:eastAsia="Arial" w:hAnsi="Arial"/>
          <w:sz w:val="18"/>
          <w:szCs w:val="18"/>
          <w:color w:val="auto"/>
        </w:rPr>
      </w:pPr>
    </w:p>
    <w:p>
      <w:pPr>
        <w:ind w:left="660" w:hanging="652"/>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fact of the common directorship, office or financial interest is not known to the director or officer at the time the transaction is brought to the board of directors for action; or</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transaction was fair to the Company at the time it is authorized or approved.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 Provisions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Nevada law precludes an acquirer of the shares of a Nevada corporation who crosses one of three ownership thresholds (20%, 33 1/3% or 50%) from obtaining voting rights with respect to those shares unless the disinterested holders of a majority of the shares of the Company held by disinterested stockholders vote to accord voting power to those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Combinations with Interested Stockholders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NRS, except under certain circumstances, a corporation is not permitted to engage in a business combination with any “interested stockholder” for a period of two years following the date such stockholder became an interested stockholder. An “interested stockholder” is a person or entity who owns 10% or more of the outstanding shares of voting stock. Nevada permits a corporation to opt out of the application of these business combination provisions by so providing in the articles of incorporation or bylaws. The Company’s Bylaws contain a provision opting out of the application of these business combination provisions.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sell the securities described in this prospectus to or through underwriters or dealers, through agents, or directly to one or more purchasers. A prospectus supplement or supplements (and any related free writing prospectus that we may authorize to be provided to you) will describe the terms of the offering of the securities, including, to the extent applicable:</w:t>
      </w:r>
    </w:p>
    <w:p>
      <w:pPr>
        <w:spacing w:after="0" w:line="19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 or names of any underwriters or agents, if applicable;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Only underwriters named in a prospectus supplement are underwriters of the securities offered by the prospectus supplement.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that names the underwriter, the nature of any such relationship.</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We may provide agents and underwriters with indemnification against civil liabilities related to this offering, including liabilities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or contribution with respect to payments that the agents or underwriters may make with respect to these liabilities. Agents and underwriters may engage in transactions with, or perform services for, us in the ordinary course of business.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Any underwriters who are qualified market makers on the NASDAQ Capital Market may engage in passive market making transactions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validity of the securities offered by this prospectus will be passed upon by Disclosure Law Group, a Professional Corporation, San Diego, California (</w:t>
      </w:r>
      <w:r>
        <w:rPr>
          <w:rFonts w:ascii="Arial" w:cs="Arial" w:eastAsia="Arial" w:hAnsi="Arial"/>
          <w:sz w:val="16"/>
          <w:szCs w:val="16"/>
          <w:i w:val="1"/>
          <w:iCs w:val="1"/>
          <w:color w:val="auto"/>
        </w:rPr>
        <w:t>DLG</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Partners of DLG beneficially own an aggregate of 65,987 registered and/or restricted shares of our common stock.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financial statements of the Company incorporated in this prospectus by reference to the Annual Report on Form 10-K for the fiscal year ended March 31, 2016 have been audited by OUM &amp; Co. LLP, an independent registered public accounting firm, as set forth in their report thereon.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6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March 31, 2016, filed on June 24, 2016;</w:t>
      </w:r>
    </w:p>
    <w:p>
      <w:pPr>
        <w:spacing w:after="0" w:line="1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2016, filed on August 12, 2016;</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September 30, 2016, filed on November 14, 2016;</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December 31, 2016, filed on February 13, 2017;</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Report on Form 8-K filed on May 16, 2016;</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Report on Form 8-K filed on June 22, 2016;</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Report on Form 8-K filed on August 17, 2016;</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Report on Form 8-K filed on September 27, 2016;</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Report on Form 8-K filed on December 14, 2016;</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Report on Form 8-K filed on March 29, 2017; and</w:t>
      </w:r>
    </w:p>
    <w:p>
      <w:pPr>
        <w:spacing w:after="0" w:line="9" w:lineRule="exact"/>
        <w:rPr>
          <w:rFonts w:ascii="Arial" w:cs="Arial" w:eastAsia="Arial" w:hAnsi="Arial"/>
          <w:sz w:val="18"/>
          <w:szCs w:val="18"/>
          <w:color w:val="auto"/>
        </w:rPr>
      </w:pPr>
    </w:p>
    <w:p>
      <w:pPr>
        <w:ind w:left="660" w:hanging="652"/>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9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289560</wp:posOffset>
            </wp:positionV>
            <wp:extent cx="2392680" cy="1551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9268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$ 100,000,000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[______________],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722630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following table sets forth an estimate of the fees and expenses, other than the underwriting discounts and commissions, payable by us in connection with the issuance and distribution of the securities being registered. All the amounts shown are estimates, except for the SEC registration fee.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FINRA filing fee (if applicable)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Trustee fees and expenses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miscellaneous fees and expenses</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207,090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10200" w:type="dxa"/>
            <w:vAlign w:val="bottom"/>
            <w:gridSpan w:val="2"/>
          </w:tcPr>
          <w:p>
            <w:pPr>
              <w:spacing w:after="0"/>
              <w:rPr>
                <w:sz w:val="20"/>
                <w:szCs w:val="20"/>
                <w:color w:val="auto"/>
              </w:rPr>
            </w:pPr>
            <w:r>
              <w:rPr>
                <w:rFonts w:ascii="Arial" w:cs="Arial" w:eastAsia="Arial" w:hAnsi="Arial"/>
                <w:sz w:val="18"/>
                <w:szCs w:val="18"/>
                <w:b w:val="1"/>
                <w:bCs w:val="1"/>
                <w:color w:val="auto"/>
              </w:rPr>
              <w:t>ITEM 15. INDEMNIFICATION OF OFFICERS AND DIRECTORS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0" w:type="dxa"/>
            <w:vAlign w:val="bottom"/>
            <w:gridSpan w:val="2"/>
          </w:tcPr>
          <w:p>
            <w:pPr>
              <w:spacing w:after="0"/>
              <w:rPr>
                <w:sz w:val="20"/>
                <w:szCs w:val="20"/>
                <w:color w:val="auto"/>
              </w:rPr>
            </w:pPr>
            <w:r>
              <w:rPr>
                <w:rFonts w:ascii="Arial" w:cs="Arial" w:eastAsia="Arial" w:hAnsi="Arial"/>
                <w:sz w:val="18"/>
                <w:szCs w:val="18"/>
                <w:color w:val="auto"/>
              </w:rPr>
              <w:t>Limitations of liability and indemnification</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amended and restated bylaws provide that we will indemnify our directors, officers and employees to the fullest extent permitted by the Nevada Revised Statutes (</w:t>
      </w:r>
      <w:r>
        <w:rPr>
          <w:rFonts w:ascii="Arial" w:cs="Arial" w:eastAsia="Arial" w:hAnsi="Arial"/>
          <w:sz w:val="18"/>
          <w:szCs w:val="18"/>
          <w:i w:val="1"/>
          <w:iCs w:val="1"/>
          <w:color w:val="auto"/>
        </w:rPr>
        <w:t>NRS</w:t>
      </w:r>
      <w:r>
        <w:rPr>
          <w:rFonts w:ascii="Arial" w:cs="Arial" w:eastAsia="Arial" w:hAnsi="Arial"/>
          <w:sz w:val="18"/>
          <w:szCs w:val="18"/>
          <w:color w:val="auto"/>
        </w:rPr>
        <w:t>).</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104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Form of Underwriting Agreement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1.2*</w:t>
            </w:r>
          </w:p>
        </w:tc>
        <w:tc>
          <w:tcPr>
            <w:tcW w:w="10420" w:type="dxa"/>
            <w:vAlign w:val="bottom"/>
          </w:tcPr>
          <w:p>
            <w:pPr>
              <w:ind w:left="620"/>
              <w:spacing w:after="0"/>
              <w:rPr>
                <w:sz w:val="20"/>
                <w:szCs w:val="20"/>
                <w:color w:val="auto"/>
              </w:rPr>
            </w:pPr>
            <w:r>
              <w:rPr>
                <w:rFonts w:ascii="Arial" w:cs="Arial" w:eastAsia="Arial" w:hAnsi="Arial"/>
                <w:sz w:val="18"/>
                <w:szCs w:val="18"/>
                <w:color w:val="auto"/>
              </w:rPr>
              <w:t>Form of Placement Agent Agreement</w:t>
            </w:r>
          </w:p>
        </w:tc>
      </w:tr>
      <w:tr>
        <w:trPr>
          <w:trHeight w:val="208"/>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104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4"/>
              </w:rPr>
              <w:t>Form of any certificate of designation with respect to any preferred stock issued hereunder and the related form of preferred stock</w:t>
            </w:r>
          </w:p>
        </w:tc>
      </w:tr>
      <w:tr>
        <w:trPr>
          <w:trHeight w:val="224"/>
        </w:trPr>
        <w:tc>
          <w:tcPr>
            <w:tcW w:w="1000" w:type="dxa"/>
            <w:vAlign w:val="bottom"/>
            <w:shd w:val="clear" w:color="auto" w:fill="CCEEFF"/>
          </w:tcPr>
          <w:p>
            <w:pPr>
              <w:spacing w:after="0"/>
              <w:rPr>
                <w:sz w:val="19"/>
                <w:szCs w:val="19"/>
                <w:color w:val="auto"/>
              </w:rPr>
            </w:pPr>
          </w:p>
        </w:tc>
        <w:tc>
          <w:tcPr>
            <w:tcW w:w="104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certificate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4.2*</w:t>
            </w:r>
          </w:p>
        </w:tc>
        <w:tc>
          <w:tcPr>
            <w:tcW w:w="10420" w:type="dxa"/>
            <w:vAlign w:val="bottom"/>
          </w:tcPr>
          <w:p>
            <w:pPr>
              <w:ind w:left="620"/>
              <w:spacing w:after="0"/>
              <w:rPr>
                <w:sz w:val="20"/>
                <w:szCs w:val="20"/>
                <w:color w:val="auto"/>
              </w:rPr>
            </w:pPr>
            <w:r>
              <w:rPr>
                <w:rFonts w:ascii="Arial" w:cs="Arial" w:eastAsia="Arial" w:hAnsi="Arial"/>
                <w:sz w:val="18"/>
                <w:szCs w:val="18"/>
                <w:color w:val="auto"/>
              </w:rPr>
              <w:t>Form of any warrant agreement with respect to each particular series of warrants issued hereunder</w:t>
            </w: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104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Form of any unit agreement with respect to any unit issued hereunder</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5.1</w:t>
            </w:r>
          </w:p>
        </w:tc>
        <w:tc>
          <w:tcPr>
            <w:tcW w:w="10420" w:type="dxa"/>
            <w:vAlign w:val="bottom"/>
          </w:tcPr>
          <w:p>
            <w:pPr>
              <w:ind w:left="620"/>
              <w:spacing w:after="0"/>
              <w:rPr>
                <w:sz w:val="20"/>
                <w:szCs w:val="20"/>
                <w:color w:val="auto"/>
              </w:rPr>
            </w:pPr>
            <w:r>
              <w:rPr>
                <w:rFonts w:ascii="Arial" w:cs="Arial" w:eastAsia="Arial" w:hAnsi="Arial"/>
                <w:sz w:val="18"/>
                <w:szCs w:val="18"/>
                <w:color w:val="auto"/>
              </w:rPr>
              <w:t>Opinion of Disclosure Law Group, a Professional Corporation</w:t>
            </w: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12.1*</w:t>
            </w:r>
          </w:p>
        </w:tc>
        <w:tc>
          <w:tcPr>
            <w:tcW w:w="104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23.1</w:t>
            </w:r>
          </w:p>
        </w:tc>
        <w:tc>
          <w:tcPr>
            <w:tcW w:w="10420" w:type="dxa"/>
            <w:vAlign w:val="bottom"/>
          </w:tcPr>
          <w:p>
            <w:pPr>
              <w:ind w:left="620"/>
              <w:spacing w:after="0"/>
              <w:rPr>
                <w:sz w:val="20"/>
                <w:szCs w:val="20"/>
                <w:color w:val="auto"/>
              </w:rPr>
            </w:pPr>
            <w:r>
              <w:rPr>
                <w:rFonts w:ascii="Arial" w:cs="Arial" w:eastAsia="Arial" w:hAnsi="Arial"/>
                <w:sz w:val="18"/>
                <w:szCs w:val="18"/>
                <w:color w:val="auto"/>
              </w:rPr>
              <w:t>Consent of Disclosure Law Group, a Professional Corporation</w:t>
            </w: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23.2</w:t>
            </w:r>
          </w:p>
        </w:tc>
        <w:tc>
          <w:tcPr>
            <w:tcW w:w="104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Consent of Independent Registered Public Accounting Firm – OUM &amp; Co., LLP</w:t>
            </w:r>
          </w:p>
        </w:tc>
      </w:t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24</w:t>
            </w:r>
          </w:p>
        </w:tc>
        <w:tc>
          <w:tcPr>
            <w:tcW w:w="10420" w:type="dxa"/>
            <w:vAlign w:val="bottom"/>
          </w:tcPr>
          <w:p>
            <w:pPr>
              <w:ind w:left="620"/>
              <w:spacing w:after="0"/>
              <w:rPr>
                <w:sz w:val="20"/>
                <w:szCs w:val="20"/>
                <w:color w:val="auto"/>
              </w:rPr>
            </w:pPr>
            <w:r>
              <w:rPr>
                <w:rFonts w:ascii="Arial" w:cs="Arial" w:eastAsia="Arial" w:hAnsi="Arial"/>
                <w:sz w:val="18"/>
                <w:szCs w:val="18"/>
                <w:color w:val="auto"/>
              </w:rPr>
              <w:t>Power of Attorney (located on signature page of the Registration Statement on Form S-3, filed January 23, 2017)</w:t>
            </w:r>
          </w:p>
        </w:tc>
      </w:tr>
    </w:tbl>
    <w:p>
      <w:pPr>
        <w:spacing w:after="0" w:line="201" w:lineRule="exact"/>
        <w:rPr>
          <w:sz w:val="20"/>
          <w:szCs w:val="20"/>
          <w:color w:val="auto"/>
        </w:rPr>
      </w:pPr>
    </w:p>
    <w:p>
      <w:pPr>
        <w:ind w:left="240" w:hanging="232"/>
        <w:spacing w:after="0" w:line="268" w:lineRule="auto"/>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be filed, if necessary, subsequent to the effectiveness of this registration by an amendment to this registration statement or incorporation by reference pursuant to a Current Report on Form 8-K in connection with an offering of securities.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jc w:val="both"/>
        <w:ind w:firstLine="656"/>
        <w:spacing w:after="0" w:line="291" w:lineRule="auto"/>
        <w:tabs>
          <w:tab w:leader="none" w:pos="100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74" w:lineRule="exact"/>
        <w:rPr>
          <w:rFonts w:ascii="Arial" w:cs="Arial" w:eastAsia="Arial" w:hAnsi="Arial"/>
          <w:sz w:val="16"/>
          <w:szCs w:val="16"/>
          <w:color w:val="auto"/>
        </w:rPr>
      </w:pPr>
    </w:p>
    <w:p>
      <w:pPr>
        <w:ind w:firstLine="656"/>
        <w:spacing w:after="0" w:line="268" w:lineRule="auto"/>
        <w:tabs>
          <w:tab w:leader="none" w:pos="102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do not apply if the information required to be included in a post-effective amendment by those paragraphs is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97" w:lineRule="exact"/>
        <w:rPr>
          <w:sz w:val="20"/>
          <w:szCs w:val="20"/>
          <w:color w:val="auto"/>
        </w:rPr>
      </w:pPr>
    </w:p>
    <w:p>
      <w:pPr>
        <w:jc w:val="both"/>
        <w:ind w:firstLine="656"/>
        <w:spacing w:after="0" w:line="259" w:lineRule="auto"/>
        <w:tabs>
          <w:tab w:leader="none" w:pos="9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firstLine="656"/>
        <w:spacing w:after="0" w:line="268" w:lineRule="auto"/>
        <w:tabs>
          <w:tab w:leader="none" w:pos="9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If the Registrant is relying on Rule 430B:</w:t>
      </w:r>
    </w:p>
    <w:p>
      <w:pPr>
        <w:spacing w:after="0" w:line="225" w:lineRule="exact"/>
        <w:rPr>
          <w:sz w:val="20"/>
          <w:szCs w:val="20"/>
          <w:color w:val="auto"/>
        </w:rPr>
      </w:pPr>
    </w:p>
    <w:p>
      <w:pPr>
        <w:ind w:firstLine="656"/>
        <w:spacing w:after="0" w:line="268" w:lineRule="auto"/>
        <w:tabs>
          <w:tab w:leader="none" w:pos="9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jc w:val="both"/>
        <w:ind w:firstLine="656"/>
        <w:spacing w:after="0" w:line="287" w:lineRule="auto"/>
        <w:tabs>
          <w:tab w:leader="none" w:pos="929" w:val="left"/>
        </w:tabs>
        <w:numPr>
          <w:ilvl w:val="0"/>
          <w:numId w:val="19"/>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ectPr>
          <w:pgSz w:w="11900" w:h="16838" w:orient="portrait"/>
          <w:cols w:equalWidth="0" w:num="1">
            <w:col w:w="11420"/>
          </w:cols>
          <w:pgMar w:left="240" w:top="131" w:right="239" w:bottom="4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468" w:gutter="0" w:footer="0" w:header="0"/>
          <w:type w:val="continuous"/>
        </w:sectPr>
      </w:pPr>
    </w:p>
    <w:bookmarkStart w:id="27" w:name="page28"/>
    <w:bookmarkEnd w:id="2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656"/>
        <w:spacing w:after="0" w:line="314" w:lineRule="auto"/>
        <w:tabs>
          <w:tab w:leader="none" w:pos="951" w:val="left"/>
        </w:tabs>
        <w:numPr>
          <w:ilvl w:val="0"/>
          <w:numId w:val="20"/>
        </w:numPr>
        <w:rPr>
          <w:rFonts w:ascii="Arial" w:cs="Arial" w:eastAsia="Arial" w:hAnsi="Arial"/>
          <w:sz w:val="15"/>
          <w:szCs w:val="15"/>
          <w:color w:val="auto"/>
        </w:rPr>
      </w:pPr>
      <w:r>
        <w:rPr>
          <w:rFonts w:ascii="Arial" w:cs="Arial" w:eastAsia="Arial" w:hAnsi="Arial"/>
          <w:sz w:val="15"/>
          <w:szCs w:val="15"/>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58" w:lineRule="exact"/>
        <w:rPr>
          <w:rFonts w:ascii="Arial" w:cs="Arial" w:eastAsia="Arial" w:hAnsi="Arial"/>
          <w:sz w:val="15"/>
          <w:szCs w:val="15"/>
          <w:color w:val="auto"/>
        </w:rPr>
      </w:pPr>
    </w:p>
    <w:p>
      <w:pPr>
        <w:jc w:val="both"/>
        <w:ind w:firstLine="818"/>
        <w:spacing w:after="0" w:line="298" w:lineRule="auto"/>
        <w:tabs>
          <w:tab w:leader="none" w:pos="1121"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7" w:lineRule="exact"/>
        <w:rPr>
          <w:sz w:val="20"/>
          <w:szCs w:val="20"/>
          <w:color w:val="auto"/>
        </w:rPr>
      </w:pPr>
    </w:p>
    <w:p>
      <w:pPr>
        <w:ind w:left="900" w:hanging="244"/>
        <w:spacing w:after="0"/>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960" w:hanging="304"/>
        <w:spacing w:after="0"/>
        <w:tabs>
          <w:tab w:leader="none" w:pos="9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undersigned registrant or used or referred to by the undersigned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registrant;</w:t>
      </w:r>
    </w:p>
    <w:p>
      <w:pPr>
        <w:spacing w:after="0" w:line="218" w:lineRule="exact"/>
        <w:rPr>
          <w:rFonts w:ascii="Arial" w:cs="Arial" w:eastAsia="Arial" w:hAnsi="Arial"/>
          <w:sz w:val="16"/>
          <w:szCs w:val="16"/>
          <w:color w:val="auto"/>
        </w:rPr>
      </w:pPr>
    </w:p>
    <w:p>
      <w:pPr>
        <w:ind w:firstLine="656"/>
        <w:spacing w:after="0" w:line="268" w:lineRule="auto"/>
        <w:tabs>
          <w:tab w:leader="none" w:pos="1035"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firstLine="8"/>
        <w:spacing w:after="0" w:line="298" w:lineRule="auto"/>
        <w:tabs>
          <w:tab w:leader="none" w:pos="3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rFonts w:ascii="Arial" w:cs="Arial" w:eastAsia="Arial" w:hAnsi="Arial"/>
          <w:sz w:val="16"/>
          <w:szCs w:val="16"/>
          <w:color w:val="auto"/>
        </w:rPr>
      </w:pPr>
    </w:p>
    <w:p>
      <w:pPr>
        <w:ind w:firstLine="8"/>
        <w:spacing w:after="0" w:line="268" w:lineRule="auto"/>
        <w:tabs>
          <w:tab w:leader="none" w:pos="2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each Registrant pursuant to the foregoing provisions, or otherwise, each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a Registrant of expenses incurred or paid by a director, officer or controlling person of a Registrant in the successful defense of any action, suit or proceeding) is asserted by such director, officer or controlling person in connection with the securities being registered, that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California on April 4, 2017.</w:t>
      </w:r>
    </w:p>
    <w:p>
      <w:pPr>
        <w:spacing w:after="0" w:line="188"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554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Shawn K. Singh,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10795</wp:posOffset>
            </wp:positionV>
            <wp:extent cx="168973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Shawn K. Singh, JD</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Signature</w:t>
            </w:r>
          </w:p>
        </w:tc>
        <w:tc>
          <w:tcPr>
            <w:tcW w:w="580" w:type="dxa"/>
            <w:vAlign w:val="bottom"/>
          </w:tcPr>
          <w:p>
            <w:pPr>
              <w:spacing w:after="0"/>
              <w:rPr>
                <w:sz w:val="20"/>
                <w:szCs w:val="20"/>
                <w:color w:val="auto"/>
              </w:rPr>
            </w:pPr>
          </w:p>
        </w:tc>
        <w:tc>
          <w:tcPr>
            <w:tcW w:w="460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Title</w:t>
            </w:r>
          </w:p>
        </w:tc>
        <w:tc>
          <w:tcPr>
            <w:tcW w:w="58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424"/>
        </w:trPr>
        <w:tc>
          <w:tcPr>
            <w:tcW w:w="2760" w:type="dxa"/>
            <w:vAlign w:val="bottom"/>
            <w:gridSpan w:val="3"/>
            <w:vMerge w:val="restart"/>
          </w:tcPr>
          <w:p>
            <w:pPr>
              <w:spacing w:after="0"/>
              <w:rPr>
                <w:sz w:val="20"/>
                <w:szCs w:val="20"/>
                <w:color w:val="auto"/>
              </w:rPr>
            </w:pPr>
            <w:r>
              <w:rPr>
                <w:rFonts w:ascii="Arial" w:cs="Arial" w:eastAsia="Arial" w:hAnsi="Arial"/>
                <w:sz w:val="18"/>
                <w:szCs w:val="18"/>
                <w:color w:val="auto"/>
              </w:rPr>
              <w:t>/s/ *</w:t>
            </w:r>
          </w:p>
        </w:tc>
        <w:tc>
          <w:tcPr>
            <w:tcW w:w="58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 xml:space="preserve">Chief Executive Officer, and Director </w:t>
            </w:r>
            <w:r>
              <w:rPr>
                <w:rFonts w:ascii="Arial" w:cs="Arial" w:eastAsia="Arial" w:hAnsi="Arial"/>
                <w:sz w:val="18"/>
                <w:szCs w:val="18"/>
                <w:i w:val="1"/>
                <w:iCs w:val="1"/>
                <w:color w:val="auto"/>
              </w:rPr>
              <w:t>(Principal Executive</w:t>
            </w:r>
          </w:p>
        </w:tc>
        <w:tc>
          <w:tcPr>
            <w:tcW w:w="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760" w:type="dxa"/>
            <w:vAlign w:val="bottom"/>
            <w:tcBorders>
              <w:bottom w:val="single" w:sz="8" w:color="auto"/>
            </w:tcBorders>
            <w:gridSpan w:val="3"/>
            <w:vMerge w:val="continue"/>
          </w:tcPr>
          <w:p>
            <w:pPr>
              <w:spacing w:after="0"/>
              <w:rPr>
                <w:sz w:val="17"/>
                <w:szCs w:val="17"/>
                <w:color w:val="auto"/>
              </w:rPr>
            </w:pPr>
          </w:p>
        </w:tc>
        <w:tc>
          <w:tcPr>
            <w:tcW w:w="580" w:type="dxa"/>
            <w:vAlign w:val="bottom"/>
          </w:tcPr>
          <w:p>
            <w:pPr>
              <w:spacing w:after="0"/>
              <w:rPr>
                <w:sz w:val="17"/>
                <w:szCs w:val="17"/>
                <w:color w:val="auto"/>
              </w:rPr>
            </w:pPr>
          </w:p>
        </w:tc>
        <w:tc>
          <w:tcPr>
            <w:tcW w:w="4600" w:type="dxa"/>
            <w:vAlign w:val="bottom"/>
          </w:tcPr>
          <w:p>
            <w:pPr>
              <w:spacing w:after="0" w:line="197" w:lineRule="exact"/>
              <w:rPr>
                <w:sz w:val="20"/>
                <w:szCs w:val="20"/>
                <w:color w:val="auto"/>
              </w:rPr>
            </w:pPr>
            <w:r>
              <w:rPr>
                <w:rFonts w:ascii="Arial" w:cs="Arial" w:eastAsia="Arial" w:hAnsi="Arial"/>
                <w:sz w:val="18"/>
                <w:szCs w:val="18"/>
                <w:i w:val="1"/>
                <w:iCs w:val="1"/>
                <w:color w:val="auto"/>
              </w:rPr>
              <w:t>Officer)</w:t>
            </w:r>
          </w:p>
        </w:tc>
        <w:tc>
          <w:tcPr>
            <w:tcW w:w="580" w:type="dxa"/>
            <w:vAlign w:val="bottom"/>
          </w:tcPr>
          <w:p>
            <w:pPr>
              <w:spacing w:after="0"/>
              <w:rPr>
                <w:sz w:val="17"/>
                <w:szCs w:val="17"/>
                <w:color w:val="auto"/>
              </w:rPr>
            </w:pPr>
          </w:p>
        </w:tc>
        <w:tc>
          <w:tcPr>
            <w:tcW w:w="2900" w:type="dxa"/>
            <w:vAlign w:val="bottom"/>
            <w:vMerge w:val="restart"/>
          </w:tcPr>
          <w:p>
            <w:pPr>
              <w:jc w:val="center"/>
              <w:spacing w:after="0"/>
              <w:rPr>
                <w:sz w:val="20"/>
                <w:szCs w:val="20"/>
                <w:color w:val="auto"/>
              </w:rPr>
            </w:pPr>
            <w:r>
              <w:rPr>
                <w:rFonts w:ascii="Arial" w:cs="Arial" w:eastAsia="Arial" w:hAnsi="Arial"/>
                <w:sz w:val="18"/>
                <w:szCs w:val="18"/>
                <w:color w:val="auto"/>
                <w:w w:val="92"/>
              </w:rPr>
              <w:t>April 4, 2017</w:t>
            </w:r>
          </w:p>
        </w:tc>
        <w:tc>
          <w:tcPr>
            <w:tcW w:w="0" w:type="dxa"/>
            <w:vAlign w:val="bottom"/>
          </w:tcPr>
          <w:p>
            <w:pPr>
              <w:spacing w:after="0"/>
              <w:rPr>
                <w:sz w:val="1"/>
                <w:szCs w:val="1"/>
                <w:color w:val="auto"/>
              </w:rPr>
            </w:pPr>
          </w:p>
        </w:tc>
      </w:tr>
      <w:tr>
        <w:trPr>
          <w:trHeight w:val="222"/>
        </w:trPr>
        <w:tc>
          <w:tcPr>
            <w:tcW w:w="2760" w:type="dxa"/>
            <w:vAlign w:val="bottom"/>
            <w:gridSpan w:val="3"/>
          </w:tcPr>
          <w:p>
            <w:pPr>
              <w:spacing w:after="0"/>
              <w:rPr>
                <w:sz w:val="20"/>
                <w:szCs w:val="20"/>
                <w:color w:val="auto"/>
              </w:rPr>
            </w:pPr>
            <w:r>
              <w:rPr>
                <w:rFonts w:ascii="Arial" w:cs="Arial" w:eastAsia="Arial" w:hAnsi="Arial"/>
                <w:sz w:val="18"/>
                <w:szCs w:val="18"/>
                <w:color w:val="auto"/>
              </w:rPr>
              <w:t>Shawn K. Singh</w:t>
            </w:r>
          </w:p>
        </w:tc>
        <w:tc>
          <w:tcPr>
            <w:tcW w:w="5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2760" w:type="dxa"/>
            <w:vAlign w:val="bottom"/>
            <w:gridSpan w:val="3"/>
            <w:vMerge w:val="restart"/>
          </w:tcPr>
          <w:p>
            <w:pPr>
              <w:spacing w:after="0"/>
              <w:rPr>
                <w:sz w:val="20"/>
                <w:szCs w:val="20"/>
                <w:color w:val="auto"/>
              </w:rPr>
            </w:pPr>
            <w:r>
              <w:rPr>
                <w:rFonts w:ascii="Arial" w:cs="Arial" w:eastAsia="Arial" w:hAnsi="Arial"/>
                <w:sz w:val="18"/>
                <w:szCs w:val="18"/>
                <w:color w:val="auto"/>
              </w:rPr>
              <w:t>/s/ *</w:t>
            </w:r>
          </w:p>
        </w:tc>
        <w:tc>
          <w:tcPr>
            <w:tcW w:w="58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3"/>
              </w:rPr>
              <w:t xml:space="preserve">Vice President and Chief Financial Officer </w:t>
            </w:r>
            <w:r>
              <w:rPr>
                <w:rFonts w:ascii="Arial" w:cs="Arial" w:eastAsia="Arial" w:hAnsi="Arial"/>
                <w:sz w:val="18"/>
                <w:szCs w:val="18"/>
                <w:i w:val="1"/>
                <w:iCs w:val="1"/>
                <w:color w:val="auto"/>
                <w:w w:val="93"/>
              </w:rPr>
              <w:t>(Principal Financial</w:t>
            </w:r>
          </w:p>
        </w:tc>
        <w:tc>
          <w:tcPr>
            <w:tcW w:w="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760" w:type="dxa"/>
            <w:vAlign w:val="bottom"/>
            <w:tcBorders>
              <w:bottom w:val="single" w:sz="8" w:color="auto"/>
            </w:tcBorders>
            <w:gridSpan w:val="3"/>
            <w:vMerge w:val="continue"/>
          </w:tcPr>
          <w:p>
            <w:pPr>
              <w:spacing w:after="0"/>
              <w:rPr>
                <w:sz w:val="17"/>
                <w:szCs w:val="17"/>
                <w:color w:val="auto"/>
              </w:rPr>
            </w:pPr>
          </w:p>
        </w:tc>
        <w:tc>
          <w:tcPr>
            <w:tcW w:w="580" w:type="dxa"/>
            <w:vAlign w:val="bottom"/>
          </w:tcPr>
          <w:p>
            <w:pPr>
              <w:spacing w:after="0"/>
              <w:rPr>
                <w:sz w:val="17"/>
                <w:szCs w:val="17"/>
                <w:color w:val="auto"/>
              </w:rPr>
            </w:pPr>
          </w:p>
        </w:tc>
        <w:tc>
          <w:tcPr>
            <w:tcW w:w="4600" w:type="dxa"/>
            <w:vAlign w:val="bottom"/>
          </w:tcPr>
          <w:p>
            <w:pPr>
              <w:spacing w:after="0" w:line="197" w:lineRule="exact"/>
              <w:rPr>
                <w:sz w:val="20"/>
                <w:szCs w:val="20"/>
                <w:color w:val="auto"/>
              </w:rPr>
            </w:pPr>
            <w:r>
              <w:rPr>
                <w:rFonts w:ascii="Arial" w:cs="Arial" w:eastAsia="Arial" w:hAnsi="Arial"/>
                <w:sz w:val="18"/>
                <w:szCs w:val="18"/>
                <w:i w:val="1"/>
                <w:iCs w:val="1"/>
                <w:color w:val="auto"/>
              </w:rPr>
              <w:t>and Accounting Officer)</w:t>
            </w:r>
          </w:p>
        </w:tc>
        <w:tc>
          <w:tcPr>
            <w:tcW w:w="580" w:type="dxa"/>
            <w:vAlign w:val="bottom"/>
          </w:tcPr>
          <w:p>
            <w:pPr>
              <w:spacing w:after="0"/>
              <w:rPr>
                <w:sz w:val="17"/>
                <w:szCs w:val="17"/>
                <w:color w:val="auto"/>
              </w:rPr>
            </w:pPr>
          </w:p>
        </w:tc>
        <w:tc>
          <w:tcPr>
            <w:tcW w:w="2900" w:type="dxa"/>
            <w:vAlign w:val="bottom"/>
            <w:vMerge w:val="restart"/>
          </w:tcPr>
          <w:p>
            <w:pPr>
              <w:jc w:val="center"/>
              <w:spacing w:after="0"/>
              <w:rPr>
                <w:sz w:val="20"/>
                <w:szCs w:val="20"/>
                <w:color w:val="auto"/>
              </w:rPr>
            </w:pPr>
            <w:r>
              <w:rPr>
                <w:rFonts w:ascii="Arial" w:cs="Arial" w:eastAsia="Arial" w:hAnsi="Arial"/>
                <w:sz w:val="18"/>
                <w:szCs w:val="18"/>
                <w:color w:val="auto"/>
                <w:w w:val="92"/>
              </w:rPr>
              <w:t>April 4, 2017</w:t>
            </w:r>
          </w:p>
        </w:tc>
        <w:tc>
          <w:tcPr>
            <w:tcW w:w="0" w:type="dxa"/>
            <w:vAlign w:val="bottom"/>
          </w:tcPr>
          <w:p>
            <w:pPr>
              <w:spacing w:after="0"/>
              <w:rPr>
                <w:sz w:val="1"/>
                <w:szCs w:val="1"/>
                <w:color w:val="auto"/>
              </w:rPr>
            </w:pPr>
          </w:p>
        </w:tc>
      </w:tr>
      <w:tr>
        <w:trPr>
          <w:trHeight w:val="222"/>
        </w:trPr>
        <w:tc>
          <w:tcPr>
            <w:tcW w:w="2760" w:type="dxa"/>
            <w:vAlign w:val="bottom"/>
            <w:gridSpan w:val="3"/>
          </w:tcPr>
          <w:p>
            <w:pPr>
              <w:spacing w:after="0"/>
              <w:rPr>
                <w:sz w:val="20"/>
                <w:szCs w:val="20"/>
                <w:color w:val="auto"/>
              </w:rPr>
            </w:pPr>
            <w:r>
              <w:rPr>
                <w:rFonts w:ascii="Arial" w:cs="Arial" w:eastAsia="Arial" w:hAnsi="Arial"/>
                <w:sz w:val="18"/>
                <w:szCs w:val="18"/>
                <w:color w:val="auto"/>
              </w:rPr>
              <w:t>Jerrold D. Dotson</w:t>
            </w:r>
          </w:p>
        </w:tc>
        <w:tc>
          <w:tcPr>
            <w:tcW w:w="5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t>
            </w:r>
          </w:p>
        </w:tc>
        <w:tc>
          <w:tcPr>
            <w:tcW w:w="58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60" w:type="dxa"/>
            <w:vAlign w:val="bottom"/>
            <w:gridSpan w:val="3"/>
          </w:tcPr>
          <w:p>
            <w:pPr>
              <w:spacing w:after="0"/>
              <w:rPr>
                <w:sz w:val="20"/>
                <w:szCs w:val="20"/>
                <w:color w:val="auto"/>
              </w:rPr>
            </w:pPr>
            <w:r>
              <w:rPr>
                <w:rFonts w:ascii="Arial" w:cs="Arial" w:eastAsia="Arial" w:hAnsi="Arial"/>
                <w:sz w:val="18"/>
                <w:szCs w:val="18"/>
                <w:color w:val="auto"/>
              </w:rPr>
              <w:t>Jon S. Saxe</w:t>
            </w:r>
          </w:p>
        </w:tc>
        <w:tc>
          <w:tcPr>
            <w:tcW w:w="5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2"/>
              </w:rPr>
              <w:t>April 4, 2017</w:t>
            </w:r>
          </w:p>
        </w:tc>
        <w:tc>
          <w:tcPr>
            <w:tcW w:w="0" w:type="dxa"/>
            <w:vAlign w:val="bottom"/>
          </w:tcPr>
          <w:p>
            <w:pPr>
              <w:spacing w:after="0"/>
              <w:rPr>
                <w:sz w:val="1"/>
                <w:szCs w:val="1"/>
                <w:color w:val="auto"/>
              </w:rPr>
            </w:pPr>
          </w:p>
        </w:tc>
      </w:tr>
      <w:tr>
        <w:trPr>
          <w:trHeight w:val="433"/>
        </w:trPr>
        <w:tc>
          <w:tcPr>
            <w:tcW w:w="2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t>
            </w:r>
          </w:p>
        </w:tc>
        <w:tc>
          <w:tcPr>
            <w:tcW w:w="58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President, Chief Scientific Officer and Director</w:t>
            </w:r>
          </w:p>
        </w:tc>
        <w:tc>
          <w:tcPr>
            <w:tcW w:w="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60" w:type="dxa"/>
            <w:vAlign w:val="bottom"/>
            <w:gridSpan w:val="3"/>
          </w:tcPr>
          <w:p>
            <w:pPr>
              <w:spacing w:after="0"/>
              <w:rPr>
                <w:sz w:val="20"/>
                <w:szCs w:val="20"/>
                <w:color w:val="auto"/>
              </w:rPr>
            </w:pPr>
            <w:r>
              <w:rPr>
                <w:rFonts w:ascii="Arial" w:cs="Arial" w:eastAsia="Arial" w:hAnsi="Arial"/>
                <w:sz w:val="18"/>
                <w:szCs w:val="18"/>
                <w:color w:val="auto"/>
              </w:rPr>
              <w:t>H. Ralph Snodgrass, Ph.D.</w:t>
            </w:r>
          </w:p>
        </w:tc>
        <w:tc>
          <w:tcPr>
            <w:tcW w:w="5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2"/>
              </w:rPr>
              <w:t>April 4, 2017</w:t>
            </w:r>
          </w:p>
        </w:tc>
        <w:tc>
          <w:tcPr>
            <w:tcW w:w="0" w:type="dxa"/>
            <w:vAlign w:val="bottom"/>
          </w:tcPr>
          <w:p>
            <w:pPr>
              <w:spacing w:after="0"/>
              <w:rPr>
                <w:sz w:val="1"/>
                <w:szCs w:val="1"/>
                <w:color w:val="auto"/>
              </w:rPr>
            </w:pPr>
          </w:p>
        </w:tc>
      </w:tr>
      <w:tr>
        <w:trPr>
          <w:trHeight w:val="433"/>
        </w:trPr>
        <w:tc>
          <w:tcPr>
            <w:tcW w:w="2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t>
            </w:r>
          </w:p>
        </w:tc>
        <w:tc>
          <w:tcPr>
            <w:tcW w:w="58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60" w:type="dxa"/>
            <w:vAlign w:val="bottom"/>
            <w:gridSpan w:val="3"/>
          </w:tcPr>
          <w:p>
            <w:pPr>
              <w:spacing w:after="0"/>
              <w:rPr>
                <w:sz w:val="20"/>
                <w:szCs w:val="20"/>
                <w:color w:val="auto"/>
              </w:rPr>
            </w:pPr>
            <w:r>
              <w:rPr>
                <w:rFonts w:ascii="Arial" w:cs="Arial" w:eastAsia="Arial" w:hAnsi="Arial"/>
                <w:sz w:val="18"/>
                <w:szCs w:val="18"/>
                <w:color w:val="auto"/>
              </w:rPr>
              <w:t>Brian J. Underdown, Ph.D.</w:t>
            </w:r>
          </w:p>
        </w:tc>
        <w:tc>
          <w:tcPr>
            <w:tcW w:w="5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2"/>
              </w:rPr>
              <w:t>April 4, 2017</w:t>
            </w:r>
          </w:p>
        </w:tc>
        <w:tc>
          <w:tcPr>
            <w:tcW w:w="0" w:type="dxa"/>
            <w:vAlign w:val="bottom"/>
          </w:tcPr>
          <w:p>
            <w:pPr>
              <w:spacing w:after="0"/>
              <w:rPr>
                <w:sz w:val="1"/>
                <w:szCs w:val="1"/>
                <w:color w:val="auto"/>
              </w:rPr>
            </w:pPr>
          </w:p>
        </w:tc>
      </w:tr>
      <w:tr>
        <w:trPr>
          <w:trHeight w:val="433"/>
        </w:trPr>
        <w:tc>
          <w:tcPr>
            <w:tcW w:w="2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t>
            </w:r>
          </w:p>
        </w:tc>
        <w:tc>
          <w:tcPr>
            <w:tcW w:w="58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60" w:type="dxa"/>
            <w:vAlign w:val="bottom"/>
            <w:gridSpan w:val="3"/>
          </w:tcPr>
          <w:p>
            <w:pPr>
              <w:spacing w:after="0"/>
              <w:rPr>
                <w:sz w:val="20"/>
                <w:szCs w:val="20"/>
                <w:color w:val="auto"/>
              </w:rPr>
            </w:pPr>
            <w:r>
              <w:rPr>
                <w:rFonts w:ascii="Arial" w:cs="Arial" w:eastAsia="Arial" w:hAnsi="Arial"/>
                <w:sz w:val="18"/>
                <w:szCs w:val="18"/>
                <w:color w:val="auto"/>
              </w:rPr>
              <w:t>Jerry B. Gin, Ph.D., MBA</w:t>
            </w:r>
          </w:p>
        </w:tc>
        <w:tc>
          <w:tcPr>
            <w:tcW w:w="5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2"/>
              </w:rPr>
              <w:t>April 4, 2017</w:t>
            </w:r>
          </w:p>
        </w:tc>
        <w:tc>
          <w:tcPr>
            <w:tcW w:w="0" w:type="dxa"/>
            <w:vAlign w:val="bottom"/>
          </w:tcPr>
          <w:p>
            <w:pPr>
              <w:spacing w:after="0"/>
              <w:rPr>
                <w:sz w:val="1"/>
                <w:szCs w:val="1"/>
                <w:color w:val="auto"/>
              </w:rPr>
            </w:pPr>
          </w:p>
        </w:tc>
      </w:tr>
      <w:tr>
        <w:trPr>
          <w:trHeight w:val="601"/>
        </w:trPr>
        <w:tc>
          <w:tcPr>
            <w:tcW w:w="2760" w:type="dxa"/>
            <w:vAlign w:val="bottom"/>
            <w:gridSpan w:val="3"/>
          </w:tcPr>
          <w:p>
            <w:pPr>
              <w:ind w:left="60"/>
              <w:spacing w:after="0"/>
              <w:rPr>
                <w:sz w:val="20"/>
                <w:szCs w:val="20"/>
                <w:color w:val="auto"/>
              </w:rPr>
            </w:pPr>
            <w:r>
              <w:rPr>
                <w:rFonts w:ascii="Arial" w:cs="Arial" w:eastAsia="Arial" w:hAnsi="Arial"/>
                <w:sz w:val="18"/>
                <w:szCs w:val="18"/>
                <w:color w:val="auto"/>
              </w:rPr>
              <w:t>* By: /s/ Shawn K. Singh</w:t>
            </w:r>
          </w:p>
        </w:tc>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760" w:type="dxa"/>
            <w:vAlign w:val="bottom"/>
            <w:gridSpan w:val="3"/>
          </w:tcPr>
          <w:p>
            <w:pPr>
              <w:ind w:left="440"/>
              <w:spacing w:after="0"/>
              <w:rPr>
                <w:sz w:val="20"/>
                <w:szCs w:val="20"/>
                <w:color w:val="auto"/>
              </w:rPr>
            </w:pPr>
            <w:r>
              <w:rPr>
                <w:rFonts w:ascii="Arial" w:cs="Arial" w:eastAsia="Arial" w:hAnsi="Arial"/>
                <w:sz w:val="18"/>
                <w:szCs w:val="18"/>
                <w:color w:val="auto"/>
              </w:rPr>
              <w:t>Attorney-in-fact</w:t>
            </w:r>
          </w:p>
        </w:tc>
        <w:tc>
          <w:tcPr>
            <w:tcW w:w="5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3"/>
        </w:trPr>
        <w:tc>
          <w:tcPr>
            <w:tcW w:w="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II-4</w:t>
            </w:r>
          </w:p>
        </w:tc>
        <w:tc>
          <w:tcPr>
            <w:tcW w:w="5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109220</wp:posOffset>
            </wp:positionV>
            <wp:extent cx="2658745" cy="651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5874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April 4,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14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Registration Statement on Form S-3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acting as counsel for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in connection with the filing on the date hereof of Amendment No. 1 to a Registration Statement on Form S-3 relating to the registration under the Securities Act of 1933 (the “</w:t>
      </w:r>
      <w:r>
        <w:rPr>
          <w:rFonts w:ascii="Arial" w:cs="Arial" w:eastAsia="Arial" w:hAnsi="Arial"/>
          <w:sz w:val="16"/>
          <w:szCs w:val="16"/>
          <w:i w:val="1"/>
          <w:iCs w:val="1"/>
          <w:color w:val="auto"/>
        </w:rPr>
        <w:t>Act</w:t>
      </w:r>
      <w:r>
        <w:rPr>
          <w:rFonts w:ascii="Arial" w:cs="Arial" w:eastAsia="Arial" w:hAnsi="Arial"/>
          <w:sz w:val="16"/>
          <w:szCs w:val="16"/>
          <w:color w:val="auto"/>
        </w:rPr>
        <w:t>”) of the following securities of the Company having an aggregate initial public offering price of up to $100,000,000: (i) shares (the “</w:t>
      </w:r>
      <w:r>
        <w:rPr>
          <w:rFonts w:ascii="Arial" w:cs="Arial" w:eastAsia="Arial" w:hAnsi="Arial"/>
          <w:sz w:val="16"/>
          <w:szCs w:val="16"/>
          <w:i w:val="1"/>
          <w:iCs w:val="1"/>
          <w:color w:val="auto"/>
        </w:rPr>
        <w:t>Company Shares</w:t>
      </w:r>
      <w:r>
        <w:rPr>
          <w:rFonts w:ascii="Arial" w:cs="Arial" w:eastAsia="Arial" w:hAnsi="Arial"/>
          <w:sz w:val="16"/>
          <w:szCs w:val="16"/>
          <w:color w:val="auto"/>
        </w:rPr>
        <w:t>”) of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(ii) shares of preferred stock, par value $0.001 per share (“</w:t>
      </w:r>
      <w:r>
        <w:rPr>
          <w:rFonts w:ascii="Arial" w:cs="Arial" w:eastAsia="Arial" w:hAnsi="Arial"/>
          <w:sz w:val="16"/>
          <w:szCs w:val="16"/>
          <w:i w:val="1"/>
          <w:iCs w:val="1"/>
          <w:color w:val="auto"/>
        </w:rPr>
        <w:t>Preferred Stock</w:t>
      </w:r>
      <w:r>
        <w:rPr>
          <w:rFonts w:ascii="Arial" w:cs="Arial" w:eastAsia="Arial" w:hAnsi="Arial"/>
          <w:sz w:val="16"/>
          <w:szCs w:val="16"/>
          <w:color w:val="auto"/>
        </w:rPr>
        <w:t>”), in one or more series, (iii) warrants to purchase Common Stock or Preferred Stock or any combination thereof (“</w:t>
      </w:r>
      <w:r>
        <w:rPr>
          <w:rFonts w:ascii="Arial" w:cs="Arial" w:eastAsia="Arial" w:hAnsi="Arial"/>
          <w:sz w:val="16"/>
          <w:szCs w:val="16"/>
          <w:i w:val="1"/>
          <w:iCs w:val="1"/>
          <w:color w:val="auto"/>
        </w:rPr>
        <w:t>Warrants</w:t>
      </w:r>
      <w:r>
        <w:rPr>
          <w:rFonts w:ascii="Arial" w:cs="Arial" w:eastAsia="Arial" w:hAnsi="Arial"/>
          <w:sz w:val="16"/>
          <w:szCs w:val="16"/>
          <w:color w:val="auto"/>
        </w:rPr>
        <w:t>”), and (iv) units consisting of two or more of the Securities (as defined below) (“</w:t>
      </w:r>
      <w:r>
        <w:rPr>
          <w:rFonts w:ascii="Arial" w:cs="Arial" w:eastAsia="Arial" w:hAnsi="Arial"/>
          <w:sz w:val="16"/>
          <w:szCs w:val="16"/>
          <w:i w:val="1"/>
          <w:iCs w:val="1"/>
          <w:color w:val="auto"/>
        </w:rPr>
        <w:t>Units</w:t>
      </w:r>
      <w:r>
        <w:rPr>
          <w:rFonts w:ascii="Arial" w:cs="Arial" w:eastAsia="Arial" w:hAnsi="Arial"/>
          <w:sz w:val="16"/>
          <w:szCs w:val="16"/>
          <w:color w:val="auto"/>
        </w:rPr>
        <w:t>”). The Company Shares, Preferred Stock, Warrants and Units are collectively referred to herein as the “</w:t>
      </w:r>
      <w:r>
        <w:rPr>
          <w:rFonts w:ascii="Arial" w:cs="Arial" w:eastAsia="Arial" w:hAnsi="Arial"/>
          <w:sz w:val="16"/>
          <w:szCs w:val="16"/>
          <w:i w:val="1"/>
          <w:iCs w:val="1"/>
          <w:color w:val="auto"/>
        </w:rPr>
        <w:t>Securities</w:t>
      </w:r>
      <w:r>
        <w:rPr>
          <w:rFonts w:ascii="Arial" w:cs="Arial" w:eastAsia="Arial" w:hAnsi="Arial"/>
          <w:sz w:val="16"/>
          <w:szCs w:val="16"/>
          <w:color w:val="auto"/>
        </w:rPr>
        <w:t>.” The Securities shall include any additional amounts of such securities the offer and sale of which are registered pursuant to a registration statement filed pursuant to Rule 462(b) under the Act in connection with one or more offerings contemplated by such Registration Statement. Such Registration Statement, as amended, and including any registration statement related thereto and filed pursuant to Rule 462(b) under the Act, is herein referred to as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w:t>
      </w:r>
    </w:p>
    <w:p>
      <w:pPr>
        <w:spacing w:after="0" w:line="10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Securities may be offered and sold from time to time by the Company as set forth in the Registration Statement, the prospectus contained within the Registration Statement (the “</w:t>
      </w:r>
      <w:r>
        <w:rPr>
          <w:rFonts w:ascii="Arial" w:cs="Arial" w:eastAsia="Arial" w:hAnsi="Arial"/>
          <w:sz w:val="16"/>
          <w:szCs w:val="16"/>
          <w:i w:val="1"/>
          <w:iCs w:val="1"/>
          <w:color w:val="auto"/>
        </w:rPr>
        <w:t>Prospectus</w:t>
      </w:r>
      <w:r>
        <w:rPr>
          <w:rFonts w:ascii="Arial" w:cs="Arial" w:eastAsia="Arial" w:hAnsi="Arial"/>
          <w:sz w:val="16"/>
          <w:szCs w:val="16"/>
          <w:color w:val="auto"/>
        </w:rPr>
        <w:t>”), and supplements to the Prospectus (each, a “</w:t>
      </w:r>
      <w:r>
        <w:rPr>
          <w:rFonts w:ascii="Arial" w:cs="Arial" w:eastAsia="Arial" w:hAnsi="Arial"/>
          <w:sz w:val="16"/>
          <w:szCs w:val="16"/>
          <w:i w:val="1"/>
          <w:iCs w:val="1"/>
          <w:color w:val="auto"/>
        </w:rPr>
        <w:t>Prospectus Supplement</w:t>
      </w:r>
      <w:r>
        <w:rPr>
          <w:rFonts w:ascii="Arial" w:cs="Arial" w:eastAsia="Arial" w:hAnsi="Arial"/>
          <w:sz w:val="16"/>
          <w:szCs w:val="16"/>
          <w:color w:val="auto"/>
        </w:rPr>
        <w:t>”). The Warrants may be issued under one or more warrant agreements (each, a “</w:t>
      </w:r>
      <w:r>
        <w:rPr>
          <w:rFonts w:ascii="Arial" w:cs="Arial" w:eastAsia="Arial" w:hAnsi="Arial"/>
          <w:sz w:val="16"/>
          <w:szCs w:val="16"/>
          <w:i w:val="1"/>
          <w:iCs w:val="1"/>
          <w:color w:val="auto"/>
        </w:rPr>
        <w:t>Warrant Agreement</w:t>
      </w:r>
      <w:r>
        <w:rPr>
          <w:rFonts w:ascii="Arial" w:cs="Arial" w:eastAsia="Arial" w:hAnsi="Arial"/>
          <w:sz w:val="16"/>
          <w:szCs w:val="16"/>
          <w:color w:val="auto"/>
        </w:rPr>
        <w:t>”) by and between the Company and a bank or trust company to be identified therein as warrant agent. The Units may be issued under one or more unit agreements (each, a “</w:t>
      </w:r>
      <w:r>
        <w:rPr>
          <w:rFonts w:ascii="Arial" w:cs="Arial" w:eastAsia="Arial" w:hAnsi="Arial"/>
          <w:sz w:val="16"/>
          <w:szCs w:val="16"/>
          <w:i w:val="1"/>
          <w:iCs w:val="1"/>
          <w:color w:val="auto"/>
        </w:rPr>
        <w:t>Unit Agreement</w:t>
      </w:r>
      <w:r>
        <w:rPr>
          <w:rFonts w:ascii="Arial" w:cs="Arial" w:eastAsia="Arial" w:hAnsi="Arial"/>
          <w:sz w:val="16"/>
          <w:szCs w:val="16"/>
          <w:color w:val="auto"/>
        </w:rPr>
        <w:t>”) between the Company and a third party to be identified therein as unit agent. Each Warrant Agreement and each Unit Agreement are herein collectively called the “</w:t>
      </w:r>
      <w:r>
        <w:rPr>
          <w:rFonts w:ascii="Arial" w:cs="Arial" w:eastAsia="Arial" w:hAnsi="Arial"/>
          <w:sz w:val="16"/>
          <w:szCs w:val="16"/>
          <w:i w:val="1"/>
          <w:iCs w:val="1"/>
          <w:color w:val="auto"/>
        </w:rPr>
        <w:t>Agreements</w:t>
      </w:r>
      <w:r>
        <w:rPr>
          <w:rFonts w:ascii="Arial" w:cs="Arial" w:eastAsia="Arial" w:hAnsi="Arial"/>
          <w:sz w:val="16"/>
          <w:szCs w:val="16"/>
          <w:color w:val="auto"/>
        </w:rPr>
        <w:t>.”</w:t>
      </w:r>
    </w:p>
    <w:p>
      <w:pPr>
        <w:spacing w:after="0" w:line="10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have reviewed the Registration Statement and such other agreements, documents, records, certificates and other materials, and have reviewed and are familiar with such corporate proceedings and satisfied ourselves as to such other matters, as we have considered relevant or necessary as a basis for this opinion. 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basis of the assumptions and subject to the qualifications and limitations set forth herein, we are of the opinion that:</w:t>
      </w:r>
    </w:p>
    <w:p>
      <w:pPr>
        <w:spacing w:after="0" w:line="225" w:lineRule="exact"/>
        <w:rPr>
          <w:sz w:val="20"/>
          <w:szCs w:val="20"/>
          <w:color w:val="auto"/>
        </w:rPr>
      </w:pPr>
    </w:p>
    <w:p>
      <w:pPr>
        <w:jc w:val="both"/>
        <w:ind w:left="820" w:hanging="461"/>
        <w:spacing w:after="0" w:line="335" w:lineRule="auto"/>
        <w:tabs>
          <w:tab w:leader="none" w:pos="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When an issuance of Common Stock has been duly authorized by all necessary corporate action of the Company, upon issuance, delivery and payment therefor in an amount not less than the par value thereof in the manner contemplated by the Registration Statement and/or the Prospectus and related Prospectus Supplement(s) and by such corporate action, such shares of Common Stock will be validly issued, fully paid and nonassessable.</w:t>
      </w:r>
    </w:p>
    <w:p>
      <w:pPr>
        <w:spacing w:after="0" w:line="142" w:lineRule="exact"/>
        <w:rPr>
          <w:rFonts w:ascii="Arial" w:cs="Arial" w:eastAsia="Arial" w:hAnsi="Arial"/>
          <w:sz w:val="15"/>
          <w:szCs w:val="15"/>
          <w:color w:val="auto"/>
        </w:rPr>
      </w:pPr>
    </w:p>
    <w:p>
      <w:pPr>
        <w:jc w:val="both"/>
        <w:ind w:left="820" w:hanging="461"/>
        <w:spacing w:after="0" w:line="256"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When a series of Preferred Stock has been duly established in accordance with the terms of the Company’s Restated Articles of Incorporation, and authorized by all necessary corporate action of the Company, and upon issuance, delivery and payment therefor in the manner contemplated by the Registration Statement and/or the Prospectus and related Prospectus Supplement(s) and by such corporate action, such shares of such series of Preferred Stock will be validly issued, fully paid and nonassessable.</w:t>
      </w:r>
    </w:p>
    <w:p>
      <w:pPr>
        <w:spacing w:after="0" w:line="197" w:lineRule="exact"/>
        <w:rPr>
          <w:rFonts w:ascii="Arial" w:cs="Arial" w:eastAsia="Arial" w:hAnsi="Arial"/>
          <w:sz w:val="18"/>
          <w:szCs w:val="18"/>
          <w:color w:val="auto"/>
        </w:rPr>
      </w:pPr>
    </w:p>
    <w:p>
      <w:pPr>
        <w:jc w:val="both"/>
        <w:ind w:left="820" w:hanging="461"/>
        <w:spacing w:after="0" w:line="290" w:lineRule="auto"/>
        <w:tabs>
          <w:tab w:leader="none" w:pos="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When a Warrant Agreement has been duly authorized by all necessary corporate action of the Company and duly executed and delivered, and when the specific terms of a particular issuance of Warrants have been duly established in accordance with such Warrant Agreement and authorized by all necessary corporate action of the Company, and the Warrants have been duly executed, authenticated, issued and delivered against payment therefor in accordance with such Warrant Agreement and in the manner contemplated by the Registration Statement and/or the Prospectus and related Prospectus Supplement(s) and by such corporate action (assuming the securities issuable upon exercise of the Warrants have been duly authorized and reserved for issuance by all necessary corporate action), the Warrants will be legally valid and binding obligations of the Company, enforceable against the Company in accordance with their terms.</w:t>
      </w:r>
    </w:p>
    <w:p>
      <w:pPr>
        <w:spacing w:after="0" w:line="172" w:lineRule="exact"/>
        <w:rPr>
          <w:rFonts w:ascii="Arial" w:cs="Arial" w:eastAsia="Arial" w:hAnsi="Arial"/>
          <w:sz w:val="16"/>
          <w:szCs w:val="16"/>
          <w:color w:val="auto"/>
        </w:rPr>
      </w:pPr>
    </w:p>
    <w:p>
      <w:pPr>
        <w:jc w:val="both"/>
        <w:ind w:left="820" w:hanging="461"/>
        <w:spacing w:after="0" w:line="253"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When a Unit Agreement has been duly authorized by all necessary corporate action of the Company and duly executed and delivered, and when the specific terms of a particular issuance of Units have been duly established in accordance with such Unit Agreement and authorized by all necessary corporate action of the Company, and the Units have been duly executed, authenticated, issued and delivered against payment therefor in accordance with such Unit Agreement and in the manner contemplated by the Registration Statement and/or the Prospectus and related Prospectus Supplement(s) and by such corporate action (assuming the constituent securities of the Units have been duly authorized and reserved for issuance by all necessary corporate action), the Units will be legally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jc w:val="both"/>
        <w:ind w:firstLine="648"/>
        <w:spacing w:after="0" w:line="255" w:lineRule="auto"/>
        <w:rPr>
          <w:sz w:val="20"/>
          <w:szCs w:val="20"/>
          <w:color w:val="auto"/>
        </w:rPr>
      </w:pPr>
      <w:r>
        <w:rPr>
          <w:rFonts w:ascii="Arial" w:cs="Arial" w:eastAsia="Arial" w:hAnsi="Arial"/>
          <w:sz w:val="18"/>
          <w:szCs w:val="18"/>
          <w:color w:val="auto"/>
        </w:rPr>
        <w:t>Our opinions set forth above are subject to and limited by the effect of (a) applicable bankruptcy, insolvency, fraudulent conveyance, fraudulent transfer, receivership, conservatorship, arrangement, moratorium and other laws affecting and relating to the rights of creditors generally, (b) general equitable principles and (c) 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of the Securities (a) the Registration Statement, and any amendments thereto (including post-effective amendments), will have been declared effective under the Act and a Prospectus Supplement relating to the offer and sale of such Securities to the Prospectus will have been prepared and filed with the Securities and Exchange Commission pursuant to Rule 424(b) under the Act, (b) in the case of the issuance of the Company Shares or the Preferred Stock, the Company will have a sufficient number of authorized but unissued shares thereof under the Company’s Restated Articles of Incorporation at the time of such issuance, (c) the Board shall not have rescinded or otherwise modified the authorization of such Securities, (d) that a definitive purchase, underwriting or similar agreement, including any Agreements, with respect to any Securities offered will have been duly authorized and validly executed and delivered by the Company and the other parties thereto and (e) that any Securities issuable upon conversion, exchange, redemption or exercise of any Securities being offered will be duly authorized, created and, if appropriate, reserved for issuance upon such conversion, exchange, redemption or exercise (f) neither the establishment of any terms of such Securities after the date hereof nor the issuance and delivery of, or the performance of the Company’s obligations under, such Securities will require any authorization, consent, approval or license of or exemption from, or registration or filing with, or report or notice to, any governmental unit, agency, commission, department or other authority (a “</w:t>
      </w:r>
      <w:r>
        <w:rPr>
          <w:rFonts w:ascii="Arial" w:cs="Arial" w:eastAsia="Arial" w:hAnsi="Arial"/>
          <w:sz w:val="16"/>
          <w:szCs w:val="16"/>
          <w:i w:val="1"/>
          <w:iCs w:val="1"/>
          <w:color w:val="auto"/>
        </w:rPr>
        <w:t>Governmental Approval</w:t>
      </w:r>
      <w:r>
        <w:rPr>
          <w:rFonts w:ascii="Arial" w:cs="Arial" w:eastAsia="Arial" w:hAnsi="Arial"/>
          <w:sz w:val="16"/>
          <w:szCs w:val="16"/>
          <w:color w:val="auto"/>
        </w:rPr>
        <w:t>”) or violate or conflict with, result in a breach of, or constitute a default under, (i) any agreement or instrument to which the Company or any of its affiliates is a party or by which the Company or any of its affiliates or any of their respective properties may be bound, (ii) any Governmental Approval that may be applicable to the Company or any of its affiliates or any of their respective properties, (iii) any order, decision, judgment or decree that may be applicable to the Company or any of its affiliates or any of their respective properties or (iv) any applicable law (other than the Nevada Revised Statutes and the law of the State of California in each case as in effect on the date hereof).</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opinions set forth in this letter are limited to the Nevada Revised Statutes and the law of the State of California, in each case as in effect on the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Registration Statement and in the Prospectus forming a part thereof and any supplement thereto. In giving this consent, we do not thereby admit that we are within the category of persons whose consent is required under Section 7 of the Act or the rules and regulations of the Commission promulgated thereunder.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Disclosure Law Group, aPC</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Disclosure Law Group, a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on Form S-3/A, Amendment No. 1, of our report dated June 24, 2016 relating to the consolidated financial statements of VistaGen Therapeutics, Inc. appearing in the Company’s Annual Report on Form 10-K for the fiscal year ended March 31,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Roman"/>
      <w:start w:val="2"/>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lowerRoman"/>
      <w:start w:val="2"/>
    </w:lvl>
  </w:abstractNum>
  <w:abstractNum w:abstractNumId="17">
    <w:nsid w:val="436C6125"/>
    <w:multiLevelType w:val="hybridMultilevel"/>
    <w:lvl w:ilvl="0">
      <w:lvlJc w:val="left"/>
      <w:lvlText w:val="(%1)"/>
      <w:numFmt w:val="decimal"/>
      <w:start w:val="2"/>
    </w:lvl>
  </w:abstractNum>
  <w:abstractNum w:abstractNumId="18">
    <w:nsid w:val="628C895D"/>
    <w:multiLevelType w:val="hybridMultilevel"/>
    <w:lvl w:ilvl="0">
      <w:lvlJc w:val="left"/>
      <w:lvlText w:val="(%1)"/>
      <w:numFmt w:val="upperLetter"/>
      <w:start w:val="1"/>
    </w:lvl>
  </w:abstractNum>
  <w:abstractNum w:abstractNumId="19">
    <w:nsid w:val="333AB105"/>
    <w:multiLevelType w:val="hybridMultilevel"/>
    <w:lvl w:ilvl="0">
      <w:lvlJc w:val="left"/>
      <w:lvlText w:val="(%1)"/>
      <w:numFmt w:val="lowerRoman"/>
      <w:start w:val="2"/>
    </w:lvl>
    <w:lvl w:ilvl="1">
      <w:lvlJc w:val="left"/>
      <w:lvlText w:val="(%2)"/>
      <w:numFmt w:val="decimal"/>
      <w:start w:val="5"/>
    </w:lvl>
  </w:abstractNum>
  <w:abstractNum w:abstractNumId="20">
    <w:nsid w:val="721DA317"/>
    <w:multiLevelType w:val="hybridMultilevel"/>
    <w:lvl w:ilvl="0">
      <w:lvlJc w:val="left"/>
      <w:lvlText w:val="%1"/>
      <w:numFmt w:val="decimal"/>
      <w:start w:val="1"/>
    </w:lvl>
    <w:lvl w:ilvl="1">
      <w:lvlJc w:val="left"/>
      <w:lvlText w:val="(%2)"/>
      <w:numFmt w:val="lowerRoman"/>
      <w:start w:val="1"/>
    </w:lvl>
  </w:abstractNum>
  <w:abstractNum w:abstractNumId="21">
    <w:nsid w:val="2443A858"/>
    <w:multiLevelType w:val="hybridMultilevel"/>
    <w:lvl w:ilvl="0">
      <w:lvlJc w:val="left"/>
      <w:lvlText w:val="(%1)"/>
      <w:numFmt w:val="decimal"/>
      <w:start w:val="6"/>
    </w:lvl>
    <w:lvl w:ilvl="1">
      <w:lvlJc w:val="left"/>
      <w:lvlText w:val="%2"/>
      <w:numFmt w:val="lowerRoman"/>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2020-01-16T21:17:49Z</dcterms:created>
  <dcterms:modified xsi:type="dcterms:W3CDTF">2020-01-16T21:17:49Z</dcterms:modified>
</cp:coreProperties>
</file>