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May 20, 2015</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577-3600</w:t>
      </w:r>
    </w:p>
    <w:p>
      <w:pPr>
        <w:spacing w:after="0" w:line="23" w:lineRule="exact"/>
        <w:rPr>
          <w:rFonts w:ascii="Arial" w:cs="Arial" w:eastAsia="Arial" w:hAnsi="Arial"/>
          <w:sz w:val="18"/>
          <w:szCs w:val="18"/>
          <w:u w:val="single" w:color="auto"/>
          <w:color w:val="auto"/>
        </w:rPr>
      </w:pPr>
    </w:p>
    <w:p>
      <w:pPr>
        <w:ind w:left="4540"/>
        <w:spacing w:after="0"/>
        <w:rPr>
          <w:rFonts w:ascii="Arial" w:cs="Arial" w:eastAsia="Arial" w:hAnsi="Arial"/>
          <w:sz w:val="18"/>
          <w:szCs w:val="18"/>
          <w:u w:val="single" w:color="auto"/>
          <w:color w:val="auto"/>
        </w:rPr>
      </w:pPr>
      <w:r>
        <w:rPr>
          <w:rFonts w:ascii="Arial" w:cs="Arial" w:eastAsia="Arial" w:hAnsi="Arial"/>
          <w:sz w:val="18"/>
          <w:szCs w:val="18"/>
          <w:color w:val="auto"/>
        </w:rPr>
        <w:t>(Registrant's Telephone number)</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Cancellation of $1.8 Million of Indebtedness; Conversion of $1.8 Million of Promissory Notes into Series B 10% Convertible Preferred Stock and Warrants to Purchase Common Stock</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20, 2015,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the holders (the “</w:t>
      </w:r>
      <w:r>
        <w:rPr>
          <w:rFonts w:ascii="Arial" w:cs="Arial" w:eastAsia="Arial" w:hAnsi="Arial"/>
          <w:sz w:val="16"/>
          <w:szCs w:val="16"/>
          <w:i w:val="1"/>
          <w:iCs w:val="1"/>
          <w:color w:val="auto"/>
        </w:rPr>
        <w:t>Holders</w:t>
      </w:r>
      <w:r>
        <w:rPr>
          <w:rFonts w:ascii="Arial" w:cs="Arial" w:eastAsia="Arial" w:hAnsi="Arial"/>
          <w:sz w:val="16"/>
          <w:szCs w:val="16"/>
          <w:color w:val="auto"/>
        </w:rPr>
        <w:t>”) of all of the Company’s remaining outstanding Subordinate Convertible Promissory Notes (the “</w:t>
      </w:r>
      <w:r>
        <w:rPr>
          <w:rFonts w:ascii="Arial" w:cs="Arial" w:eastAsia="Arial" w:hAnsi="Arial"/>
          <w:sz w:val="16"/>
          <w:szCs w:val="16"/>
          <w:i w:val="1"/>
          <w:iCs w:val="1"/>
          <w:color w:val="auto"/>
        </w:rPr>
        <w:t>SubordinateNotes</w:t>
      </w:r>
      <w:r>
        <w:rPr>
          <w:rFonts w:ascii="Arial" w:cs="Arial" w:eastAsia="Arial" w:hAnsi="Arial"/>
          <w:sz w:val="16"/>
          <w:szCs w:val="16"/>
          <w:color w:val="auto"/>
        </w:rPr>
        <w:t>”) in the aggregate amount of approximately $1.8 million (including principal and all accrued but unpaid interest) entered into a Securities Purchase Agreement (the “</w:t>
      </w:r>
      <w:r>
        <w:rPr>
          <w:rFonts w:ascii="Arial" w:cs="Arial" w:eastAsia="Arial" w:hAnsi="Arial"/>
          <w:sz w:val="16"/>
          <w:szCs w:val="16"/>
          <w:i w:val="1"/>
          <w:iCs w:val="1"/>
          <w:color w:val="auto"/>
        </w:rPr>
        <w:t>Securities PurchaseAgreement</w:t>
      </w:r>
      <w:r>
        <w:rPr>
          <w:rFonts w:ascii="Arial" w:cs="Arial" w:eastAsia="Arial" w:hAnsi="Arial"/>
          <w:sz w:val="16"/>
          <w:szCs w:val="16"/>
          <w:color w:val="auto"/>
        </w:rPr>
        <w:t>”) providing for the cancellation of the Subordinate Notes in exchange for an aggregate total of 327,016 shares of the Company’s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and five-year warrants to purchase an aggregate 327,016 shares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at a fixed exercise price of $7.00 per share, which exercise price is subject to adjustment only for customary stock dividends, reclassifications, splits and similar transactions (“</w:t>
      </w:r>
      <w:r>
        <w:rPr>
          <w:rFonts w:ascii="Arial" w:cs="Arial" w:eastAsia="Arial" w:hAnsi="Arial"/>
          <w:sz w:val="16"/>
          <w:szCs w:val="16"/>
          <w:i w:val="1"/>
          <w:iCs w:val="1"/>
          <w:color w:val="auto"/>
        </w:rPr>
        <w:t>Warrants</w:t>
      </w:r>
      <w:r>
        <w:rPr>
          <w:rFonts w:ascii="Arial" w:cs="Arial" w:eastAsia="Arial" w:hAnsi="Arial"/>
          <w:sz w:val="16"/>
          <w:szCs w:val="16"/>
          <w:color w:val="auto"/>
        </w:rPr>
        <w:t>”), thereby cancelling approximately $1.8 million of the Company’s indebtedness in addition to the cancellation of approximately $7.3 million of indebtedness reported in the Company’s Current Report on Form 8-K filed with the Securities and Exchange Commission on May 13, 2015.</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share of Series B Preferred is convertible, at the option of the Holder (“</w:t>
      </w:r>
      <w:r>
        <w:rPr>
          <w:rFonts w:ascii="Arial" w:cs="Arial" w:eastAsia="Arial" w:hAnsi="Arial"/>
          <w:sz w:val="17"/>
          <w:szCs w:val="17"/>
          <w:i w:val="1"/>
          <w:iCs w:val="1"/>
          <w:color w:val="auto"/>
        </w:rPr>
        <w:t>Voluntary Conversion</w:t>
      </w:r>
      <w:r>
        <w:rPr>
          <w:rFonts w:ascii="Arial" w:cs="Arial" w:eastAsia="Arial" w:hAnsi="Arial"/>
          <w:sz w:val="17"/>
          <w:szCs w:val="17"/>
          <w:color w:val="auto"/>
        </w:rPr>
        <w:t>”), into one (1) share of Common Stock at a fixed conversion price of $7.00 per share, subject to adjustment only for customary stock dividends, reclassifications, splits and similar transactions (“</w:t>
      </w:r>
      <w:r>
        <w:rPr>
          <w:rFonts w:ascii="Arial" w:cs="Arial" w:eastAsia="Arial" w:hAnsi="Arial"/>
          <w:sz w:val="17"/>
          <w:szCs w:val="17"/>
          <w:i w:val="1"/>
          <w:iCs w:val="1"/>
          <w:color w:val="auto"/>
        </w:rPr>
        <w:t>Fixed</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Price</w:t>
      </w:r>
      <w:r>
        <w:rPr>
          <w:rFonts w:ascii="Arial" w:cs="Arial" w:eastAsia="Arial" w:hAnsi="Arial"/>
          <w:sz w:val="17"/>
          <w:szCs w:val="17"/>
          <w:color w:val="auto"/>
        </w:rPr>
        <w:t>”). All shares of Series B Preferred are also convertible automatically into Common Stock (“</w:t>
      </w:r>
      <w:r>
        <w:rPr>
          <w:rFonts w:ascii="Arial" w:cs="Arial" w:eastAsia="Arial" w:hAnsi="Arial"/>
          <w:sz w:val="17"/>
          <w:szCs w:val="17"/>
          <w:i w:val="1"/>
          <w:iCs w:val="1"/>
          <w:color w:val="auto"/>
        </w:rPr>
        <w:t>Automatic Conversion</w:t>
      </w:r>
      <w:r>
        <w:rPr>
          <w:rFonts w:ascii="Arial" w:cs="Arial" w:eastAsia="Arial" w:hAnsi="Arial"/>
          <w:sz w:val="17"/>
          <w:szCs w:val="17"/>
          <w:color w:val="auto"/>
        </w:rPr>
        <w:t>”) upon the closing or</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of any of the following transactions or events: (i) a strategic transaction involving AV-101, the Company’s clinical-stage, orally-available new drug candidate for Major Depressive Disorder and other diseases and disorders of the central nervous system,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(collectively, “</w:t>
      </w:r>
      <w:r>
        <w:rPr>
          <w:rFonts w:ascii="Arial" w:cs="Arial" w:eastAsia="Arial" w:hAnsi="Arial"/>
          <w:sz w:val="17"/>
          <w:szCs w:val="17"/>
          <w:i w:val="1"/>
          <w:iCs w:val="1"/>
          <w:color w:val="auto"/>
        </w:rPr>
        <w:t>Conversion</w:t>
      </w:r>
      <w:r>
        <w:rPr>
          <w:rFonts w:ascii="Arial" w:cs="Arial" w:eastAsia="Arial" w:hAnsi="Arial"/>
          <w:sz w:val="17"/>
          <w:szCs w:val="17"/>
          <w:color w:val="auto"/>
        </w:rPr>
        <w:t>”) are subject to customary beneficial ownership blockers. Prior to Conversion, shares of Series B Preferred will accrue dividends, payable only in unregistered shares of Common Stock, at a rate of 10% per annum (the “</w:t>
      </w:r>
      <w:r>
        <w:rPr>
          <w:rFonts w:ascii="Arial" w:cs="Arial" w:eastAsia="Arial" w:hAnsi="Arial"/>
          <w:sz w:val="17"/>
          <w:szCs w:val="17"/>
          <w:i w:val="1"/>
          <w:iCs w:val="1"/>
          <w:color w:val="auto"/>
        </w:rPr>
        <w:t>Accrued Dividend</w:t>
      </w:r>
      <w:r>
        <w:rPr>
          <w:rFonts w:ascii="Arial" w:cs="Arial" w:eastAsia="Arial" w:hAnsi="Arial"/>
          <w:sz w:val="17"/>
          <w:szCs w:val="17"/>
          <w:color w:val="auto"/>
        </w:rPr>
        <w:t>”). The Accrued Dividend will be payable only on the date of Conversion solely in that number of shares of Common Stock equal to the Accrued Dividend, divided by the Fixed Conversion Price.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See Item 1.01. The shares of Series B Preferred and Warrants issued to the Holders pursuant to the Securities Purchase Agreement were offered and sold in transactions exempt from registration under the Securities Act in reliance on 3(a)(9) thereof and Rule 506 of Regulation D thereunder. Each Holder represented that they are an "accredited investor" as defined in Regulation D, and not subject to the "Bad Actor" disqualifications described in Rule 506(d).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foregoing description of the Series B Preferred and the Securities Purchase Agreement do not purport to be complete, and are qualified in their entirety by reference to the full text of the Certificate of Designation of the Relative Rights and Preferences of the Series B 10% Preferred Stock of VistaGen Therapeutics, Inc. and Securities Purchase Agreement, substantially in the form attached as Exhibit 3.1 and Exhibit 10.3, respectively, to the Company’s Current Report on Form 8-K filed with the Securities and Exchange Commission on May 13, 2015, each of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May 22,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2020-01-23T15:30:32Z</dcterms:created>
  <dcterms:modified xsi:type="dcterms:W3CDTF">2020-01-23T15:30:32Z</dcterms:modified>
</cp:coreProperties>
</file>