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31, 2017</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1287" w:right="6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1287"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1287"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287"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31, 2017,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with Oppenheimer &amp; Co. Inc. (the “</w:t>
      </w:r>
      <w:r>
        <w:rPr>
          <w:rFonts w:ascii="Arial" w:cs="Arial" w:eastAsia="Arial" w:hAnsi="Arial"/>
          <w:sz w:val="16"/>
          <w:szCs w:val="16"/>
          <w:i w:val="1"/>
          <w:iCs w:val="1"/>
          <w:color w:val="auto"/>
        </w:rPr>
        <w:t>Underwriter</w:t>
      </w:r>
      <w:r>
        <w:rPr>
          <w:rFonts w:ascii="Arial" w:cs="Arial" w:eastAsia="Arial" w:hAnsi="Arial"/>
          <w:sz w:val="16"/>
          <w:szCs w:val="16"/>
          <w:color w:val="auto"/>
        </w:rPr>
        <w:t>”), relating to the issuance and sale (the “</w:t>
      </w:r>
      <w:r>
        <w:rPr>
          <w:rFonts w:ascii="Arial" w:cs="Arial" w:eastAsia="Arial" w:hAnsi="Arial"/>
          <w:sz w:val="16"/>
          <w:szCs w:val="16"/>
          <w:i w:val="1"/>
          <w:iCs w:val="1"/>
          <w:color w:val="auto"/>
        </w:rPr>
        <w:t>Offering</w:t>
      </w:r>
      <w:r>
        <w:rPr>
          <w:rFonts w:ascii="Arial" w:cs="Arial" w:eastAsia="Arial" w:hAnsi="Arial"/>
          <w:sz w:val="16"/>
          <w:szCs w:val="16"/>
          <w:color w:val="auto"/>
        </w:rPr>
        <w:t>”) of 1,371,430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and warrants to purchase an aggregate total of 1,892,572 shares of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is being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6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the terms of the Underwriting Agreement, the Underwriter has agreed to purchase the Shares and Warrants from the Company at a price of $1.6275 per share and related Warrants. Each Series A1 Warrant is exercisable six months from the date of issuance, while the Series A2 Warrants are immediately exercisable. Both Warrants have an exercise price of $1.82 per whole share, and expire five years from the date first exercisable.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to the Company from the sale of the Shares and Warrants, after deducting the underwriting discount and estimated offering expenses payable by the Company, are expected to be approximately $2.0 million. The Offering is expected to close on September 6, 2017, subject to the satisfaction of customary closing conditions.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Offering is being made pursuant to the Company’s effective shelf registration statement on Form S-3 (File No. 333-215671) filed with the Securities and Exchange Commission on January 23, 2017, and declared effective on July 27, 2017, including the base prospectus dated July 27, 2017 included therein and the related prospectus supplement.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the Underwriting Agreement, subject to certain exceptions, the Company has agreed for a period of 75 days after the date of the final prospectus supplement relating to the Offering and its directors and officers have agreed for a period of 90 days after the date of the final prospectus supplement relating to the Offering not to sell or otherwise dispose of any of the Company’s securities held by them without first obtaining the written consent of the Underwriter.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is only a brief description of the material terms of the Underwriting Agreement, does not purport to be a complete description of the rights and obligations of the parties thereunder, and is qualified in its entirety by reference to the Underwriting Agreement that is filed as Exhibit 1.1 to this Current Report on Form 8-K and incorporated by reference herein.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Underwriting Agreement has been attached hereto as an exhibit to provide investors and security holders with information regarding its terms. It is not intended to provide any other factual information about the Company. The representations, warranties and covenants contained in the Underwriting Agreement were made only for purposes of the Underwriting Agreement and as of specific dates, were solely for the benefit of the parties to the Underwriting Agreement, and may be subject to limitations agreed upon by the contracting parties, including being qualified by confidential disclosures exchanged between the parties in connection with the execution of the Underwriting Agreement.</w:t>
      </w:r>
    </w:p>
    <w:p>
      <w:pPr>
        <w:spacing w:after="0" w:line="17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legal opinion of Disclosure Law Group, a Professional Corporation, relating to the Common Stock and Warrants being offered is filed as Exhibit 5.1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On August 31, 2017, the Company issued a press release announcing the pricing and terms of the Offering. A copy of the press release is attached hereto as Exhibits 99.1, and is each incorporated herein by reference.</w:t>
      </w:r>
    </w:p>
    <w:p>
      <w:pPr>
        <w:spacing w:after="0" w:line="186"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Pursuant to the rules and regulations of the Securities and Exchange Commission, the information in this Item 7.01 disclosure, including Exhibit 99.1 and information set forth therein, is deemed to have been furnished and shall not be deemed to be “filed” under the Securities Exchange Act of 1934.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rules and regulations of the Securities and Exchange Commission, the attached exhibits are deemed to have been filed with the Securities and Exchange Commission: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Underwriting Agreement, dated as of August 31, 2017, by and between VistaGen Therapeutics, Inc. and Oppenheimer &amp; Co.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Series A1 Warrant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Series A2 Warrant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Consent of Disclosure Law Group, a Professional Corporation (included in Exhibit 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August 31, 2017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5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3" w:name="page4"/>
    <w:bookmarkEnd w:id="3"/>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August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1,371,430 Shares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Warrants to Purchase up to 1,388,931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A2 Warrants to Purchase up to 503,641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58"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August 31,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VistaGen Therapeutics, Inc., a Nevada corporation (the "Company") proposes, subject to the terms and conditions contained herein, to sell to you (the "Underwriter"), an aggregate of (i) 1,371,430 shares (the "Shares") of the Company's common stock, $0.001 par value per share (the "Common Stock"), (ii) Series A1 warrants (the “Series A1 Warrants”) to purchase up to an aggregate of 1,388,931 shares of Common Stock (the “Series A1 Warrant Shares”) and (iii) Series A2 warrants (the “Series A2 Warrants”, and collectively, with the Series A1 Warrants, the “Warrants”) to purchase an aggregate of 503,641 shares of Common Stock (the “Series A2 Warrant Shares,” and collectively, with the Series A1 Warrant Shares, the “Warrant Shares”). Each Share is being sold together with 1.0128 Series A1 Warrants, each whole Series A1 Warrant to purchase one Series A1 Warrant Share, and 0.3672 of a Series A2 Warrant, each Whole Series A2 Warrant to purchase one Series A2 Warrant Share. The Shares, the Warrants and the Warrant Shares are collectively referred to as the “Securities”. The Shares and the Warrants will be issued separately, but will be purchased together in the offering.</w:t>
      </w:r>
    </w:p>
    <w:p>
      <w:pPr>
        <w:spacing w:after="0" w:line="10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Company has prepared and filed in conformity with the requirements of the Securities Act of 1933, as amended (the "Securities Act"), and the published rules and regulations thereunder (the "Rules") adopted by the Securities and Exchange Commission (the "Commission") a registration statement on Form S-3 (No. 333-215671), including a related prospectus dated July 27, 2017 (the "Base Prospectus") relating to common stock, preferred stock, debt securities, warrants and units of the Company that may be sold from time to time by the Company in accordance with Rule 415 of the Securities Act, and such amendments thereof as may have been required to the date of this Agreement. The Registration Statement is effective and available for the offering and sale of the Securities as contemplated by this Agreement. Copies of such Registration Statement (including all amendments thereof and all documents deemed incorporated by reference therein) and of the related Base Prospectus have heretofore been delivered by the Company or are otherwise available to you.</w:t>
      </w:r>
    </w:p>
    <w:p>
      <w:pPr>
        <w:spacing w:after="0" w:line="17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term "Registration Statement" as used in this Agreement means the registration statement, including all exhibits, financial schedules and all documents and information deemed to be part of the Registration Statement by incorporation by reference or otherwise, as amended from time to time, including the information (if any) contained in the form of final prospectus filed with the Commission pursuant to Rule 424(b) of the Rules and deemed to be part thereof at the time of effectiveness pursuant to Rule 430B of the Rules.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 w:name="page6"/>
    <w:bookmarkEnd w:id="5"/>
    <w:p>
      <w:pPr>
        <w:ind w:firstLine="486"/>
        <w:spacing w:after="0" w:line="285" w:lineRule="auto"/>
        <w:rPr>
          <w:sz w:val="20"/>
          <w:szCs w:val="20"/>
          <w:color w:val="auto"/>
        </w:rPr>
      </w:pPr>
      <w:r>
        <w:rPr>
          <w:rFonts w:ascii="Arial" w:cs="Arial" w:eastAsia="Arial" w:hAnsi="Arial"/>
          <w:sz w:val="16"/>
          <w:szCs w:val="16"/>
          <w:color w:val="auto"/>
        </w:rPr>
        <w:t>If the Company has filed an abbreviated registration statement to register additional Shares and Warrants pursuant to Rule 462(b) under the Rules (the "462(b) Registration Statement"), then any reference herein to the Registration Statement shall also be deemed to include such 462(b) Registration Statement. The term "Preliminary Prospectus" means the Base Prospectus, together with any preliminary prospectus supplement used or filed with the Commission pursuant to Rule 424 of the Rules, in the form provided to the Underwriter by the Company for use in connection with the offering of the Securities. The term "Prospectus" means the Base Prospectus, any Preliminary Prospectus and any amendments or further supplements to such prospectus, and including, without limitation, the final prospectus supplement, filed pursuant to and within the limits described in Rule 424(b) with the Commission in connection with the proposed sale of the Securities contemplated by this Agreement through the date of such Prospectus Supplement. The term "Effective Date" shall mean each date that the Registration Statement and any post-effective amendment or amendments thereto became or becomes effective, including as provided in Section 11(d) of the Securities Act. Unless otherwise stated herein, any reference herein to the Registration Statement, any Preliminary Prospectus, the Statutory Prospectus (as hereinafter defined) and the Prospectus shall be deemed to refer to and include the documents incorporated by reference therein, including pursuant to Item 12 of Form S-3 under the Securities Act, which were filed under the Securities Exchange Act of 1934, as amended (the "Exchange Act") on or before the date hereof or are so filed hereafter. Any reference herein to the terms "amend," "amendment" or "supplement" with respect to the Registration Statement, any Preliminary Prospectus, the Statutory Prospectus or the Prospectus shall be deemed to refer to and include any such document filed or to be filed under the Exchange Act after the date of the Registration Statement, any such Preliminary Prospectus, the Statutory Prospectus or Prospectus, as the case may be, and deemed to be incorporated therein by reference.</w:t>
      </w:r>
    </w:p>
    <w:p>
      <w:pPr>
        <w:spacing w:after="0" w:line="180" w:lineRule="exact"/>
        <w:rPr>
          <w:sz w:val="20"/>
          <w:szCs w:val="20"/>
          <w:color w:val="auto"/>
        </w:rPr>
      </w:pPr>
    </w:p>
    <w:p>
      <w:pPr>
        <w:ind w:right="360" w:firstLine="527"/>
        <w:spacing w:after="0" w:line="294" w:lineRule="auto"/>
        <w:rPr>
          <w:sz w:val="20"/>
          <w:szCs w:val="20"/>
          <w:color w:val="auto"/>
        </w:rPr>
      </w:pPr>
      <w:r>
        <w:rPr>
          <w:rFonts w:ascii="Arial" w:cs="Arial" w:eastAsia="Arial" w:hAnsi="Arial"/>
          <w:sz w:val="16"/>
          <w:szCs w:val="16"/>
          <w:color w:val="auto"/>
        </w:rPr>
        <w:t>The Company understands that the Underwriter proposes to make a public offering of the Shares and the Warrants, as set forth in and pursuant to the Statutory Prospectus (as hereinafter defined) and the Prospectus, as soon after the Effective Date and the date of this Agreement as the Underwriter deems advisable. The Company hereby confirms that the Underwriter and dealers have been authorized to distribute or cause to be distributed each Preliminary Prospectus, and each Issuer Free Writing Prospectus (as hereinafter defined) and are authorized to distribute the Prospectus (as from time to time amended or supplemented if the Company furnishes amendments or supplements thereto to the Underwriter).</w:t>
      </w:r>
    </w:p>
    <w:p>
      <w:pPr>
        <w:spacing w:after="0" w:line="129" w:lineRule="exact"/>
        <w:rPr>
          <w:sz w:val="20"/>
          <w:szCs w:val="20"/>
          <w:color w:val="auto"/>
        </w:rPr>
      </w:pPr>
    </w:p>
    <w:p>
      <w:pPr>
        <w:ind w:right="400" w:firstLine="8"/>
        <w:spacing w:after="0" w:line="268" w:lineRule="auto"/>
        <w:tabs>
          <w:tab w:leader="none" w:pos="34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Sale, Purchase, Delivery and Payment for the Shares and the Warrants</w:t>
      </w:r>
      <w:r>
        <w:rPr>
          <w:rFonts w:ascii="Arial" w:cs="Arial" w:eastAsia="Arial" w:hAnsi="Arial"/>
          <w:sz w:val="18"/>
          <w:szCs w:val="18"/>
          <w:color w:val="auto"/>
        </w:rPr>
        <w:t>. On the basis of the representations, warranties and agreements contained in, and subject to the terms and conditions of, this Agreement:</w:t>
      </w:r>
    </w:p>
    <w:p>
      <w:pPr>
        <w:spacing w:after="0" w:line="118" w:lineRule="exact"/>
        <w:rPr>
          <w:rFonts w:ascii="Arial" w:cs="Arial" w:eastAsia="Arial" w:hAnsi="Arial"/>
          <w:sz w:val="18"/>
          <w:szCs w:val="18"/>
          <w:color w:val="auto"/>
        </w:rPr>
      </w:pPr>
    </w:p>
    <w:p>
      <w:pPr>
        <w:ind w:right="20" w:firstLine="656"/>
        <w:spacing w:after="0" w:line="294" w:lineRule="auto"/>
        <w:tabs>
          <w:tab w:leader="none" w:pos="975"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agrees to issue and sell to the Underwriter, and the Underwriter agrees to purchase from the Company, at a purchase price of $1.6275 per Share and related Warrants, (i) the number of Shares set forth opposite the name of the Underwriter under the column "Number of Shares to be Purchased" on Schedule I to this Agreement, (ii) the number of Series A1 Warrants set forth opposite the name of the Underwriter under the column “Number of Series A1 Warrants to be Purchased” on Schedule I to this Agreement and (iii) the number of Series A2 Warrants set forth opposite the name of the Underwriter under the column “Number of Series A2 Warrants to be Purchased” on Schedule I to this Agreement.</w:t>
      </w:r>
    </w:p>
    <w:p>
      <w:pPr>
        <w:spacing w:after="0" w:line="102" w:lineRule="exact"/>
        <w:rPr>
          <w:rFonts w:ascii="Arial" w:cs="Arial" w:eastAsia="Arial" w:hAnsi="Arial"/>
          <w:sz w:val="16"/>
          <w:szCs w:val="16"/>
          <w:color w:val="auto"/>
        </w:rPr>
      </w:pPr>
    </w:p>
    <w:p>
      <w:pPr>
        <w:jc w:val="both"/>
        <w:ind w:right="120" w:firstLine="656"/>
        <w:spacing w:after="0" w:line="247" w:lineRule="auto"/>
        <w:tabs>
          <w:tab w:leader="none" w:pos="985" w:val="left"/>
        </w:tabs>
        <w:numPr>
          <w:ilvl w:val="1"/>
          <w:numId w:val="2"/>
        </w:numPr>
        <w:rPr>
          <w:rFonts w:ascii="Arial" w:cs="Arial" w:eastAsia="Arial" w:hAnsi="Arial"/>
          <w:sz w:val="17"/>
          <w:szCs w:val="17"/>
          <w:color w:val="auto"/>
        </w:rPr>
      </w:pPr>
      <w:r>
        <w:rPr>
          <w:rFonts w:ascii="Arial" w:cs="Arial" w:eastAsia="Arial" w:hAnsi="Arial"/>
          <w:sz w:val="17"/>
          <w:szCs w:val="17"/>
          <w:color w:val="auto"/>
        </w:rPr>
        <w:t>Payment of the purchase price for, and delivery of certificates for, the Shares and the Warrants shall be made at the offices of Oppenheimer &amp; Co. Inc., 85 Broad Street, 23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Floor New York, New York 10004, at 10:00 a.m., New York City time, on the third business day following the date of this Agreement or at such time on such other date, not later than ten (10) business days after the date of this Agreement, as shall be agreed upon by the Company and the Underwriter (such time and date of delivery and payment are called the "Closing Date").</w:t>
      </w:r>
    </w:p>
    <w:p>
      <w:pPr>
        <w:spacing w:after="0" w:line="137" w:lineRule="exact"/>
        <w:rPr>
          <w:rFonts w:ascii="Arial" w:cs="Arial" w:eastAsia="Arial" w:hAnsi="Arial"/>
          <w:sz w:val="17"/>
          <w:szCs w:val="17"/>
          <w:color w:val="auto"/>
        </w:rPr>
      </w:pPr>
    </w:p>
    <w:p>
      <w:pPr>
        <w:ind w:right="160" w:firstLine="656"/>
        <w:spacing w:after="0" w:line="259" w:lineRule="auto"/>
        <w:tabs>
          <w:tab w:leader="none" w:pos="97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shall be made to the Company by wire transfer of immediately available funds or by certified or official bank check or checks payable in New York Clearing House (same day) funds drawn to the order of the Company, against delivery of certificates representing the Shares and the Warrants to the Underwriter.</w:t>
      </w:r>
    </w:p>
    <w:p>
      <w:pPr>
        <w:spacing w:after="0" w:line="126" w:lineRule="exact"/>
        <w:rPr>
          <w:rFonts w:ascii="Arial" w:cs="Arial" w:eastAsia="Arial" w:hAnsi="Arial"/>
          <w:sz w:val="18"/>
          <w:szCs w:val="18"/>
          <w:color w:val="auto"/>
        </w:rPr>
      </w:pPr>
    </w:p>
    <w:p>
      <w:pPr>
        <w:ind w:right="100" w:firstLine="656"/>
        <w:spacing w:after="0" w:line="254" w:lineRule="auto"/>
        <w:tabs>
          <w:tab w:leader="none" w:pos="985" w:val="left"/>
        </w:tabs>
        <w:numPr>
          <w:ilvl w:val="1"/>
          <w:numId w:val="2"/>
        </w:numPr>
        <w:rPr>
          <w:rFonts w:ascii="Arial" w:cs="Arial" w:eastAsia="Arial" w:hAnsi="Arial"/>
          <w:sz w:val="18"/>
          <w:szCs w:val="18"/>
          <w:color w:val="auto"/>
        </w:rPr>
      </w:pPr>
      <w:r>
        <w:rPr>
          <w:rFonts w:ascii="Arial" w:cs="Arial" w:eastAsia="Arial" w:hAnsi="Arial"/>
          <w:sz w:val="18"/>
          <w:szCs w:val="18"/>
          <w:color w:val="auto"/>
        </w:rPr>
        <w:t>Certificates evidencing the Shares and the Warrants shall be registered in such names and shall be in such denominations as the Underwriter shall request at least two full business days before the Closing Date and shall be delivered by or on behalf of the Company (i) in the case of the Shares, to the Underwriter through the facilities of the Depository Trust Company ("DTC") for the account of the Underwriter and (ii) in the case of the Warrants, by physical delivery to be received or directed by the Underwriter no later than one (1) business day following the Closing Date. The Company will cause the certificates representing the Warrants to be made available for checking and packaging, at such place as is designated by the Underwriter, on the full business day before the Closing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6" w:name="page7"/>
    <w:bookmarkEnd w:id="6"/>
    <w:p>
      <w:pPr>
        <w:ind w:right="120" w:firstLine="8"/>
        <w:spacing w:after="0" w:line="268"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 as of the date hereof and as of the Closing Date, as follows:</w:t>
      </w:r>
    </w:p>
    <w:p>
      <w:pPr>
        <w:spacing w:after="0" w:line="118" w:lineRule="exact"/>
        <w:rPr>
          <w:rFonts w:ascii="Arial" w:cs="Arial" w:eastAsia="Arial" w:hAnsi="Arial"/>
          <w:sz w:val="18"/>
          <w:szCs w:val="18"/>
          <w:color w:val="auto"/>
        </w:rPr>
      </w:pPr>
    </w:p>
    <w:p>
      <w:pPr>
        <w:ind w:firstLine="656"/>
        <w:spacing w:after="0" w:line="280" w:lineRule="auto"/>
        <w:tabs>
          <w:tab w:leader="none" w:pos="972"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Securities Act including the transaction requirements set forth in General Instruction 1.B.6 of such form. The aggregate market value of all securities sold by or on behalf of the Company pursuant to Form S-3 during the period of 12 calendar months immediately prior to, and including, the offering contemplated hereby is no more than one-third of the aggregate market value of the voting and non-voting common equity held by non-affiliates of the Company (calculated as provided in General Instruction 1.B.6 of Form S-3). The Company is not, and has not been for at least 12 calendar months prior to the filing of the Registration Statement, a shell company. The Company filed with the Commission the Registration Statement on such Form, including a Base Prospectus, for registration under the Securities Act of the offering and sale of the Securities, and the Company has prepared and used a Preliminary Prospectus in connection with the offer and sale of the Securities. When the Registration Statement or any amendment thereof or supplement thereto was or is declared effective and as of the date of the most recent amendment to the Registration Statement it (i) complied or will comply, in all material respects, with the requirements of the Securities Act and the Rules and the Exchange Act and the rules and regulations of the Commission thereunder and (ii) did not or will not, contain any untrue statement of a material fact or omit to state any material fact required to be stated therein or necessary in order to make the statements therein not misleading. When any Preliminary Prospectus or Prospectus was first filed with the Commission (whether filed as part of the Registration Statement or any amendment thereto or pursuant to Rule 424 of the Rules) and when any amendment thereof or supplement thereto was first filed with the Commission, such Preliminary Prospectus or Prospectus as amended or supplemented complied in all material respects with the applicable provisions of the Securities Act and the Rules and did not or will not, contain any untrue statement of a material fact or omit to state any material fact required to be stated therein or necessary in order to make the statements therein, in light of the circumstances under which they were made, not misleading. If applicable, each Preliminary Prospectus and the Prospectus delivered to the Underwriter for use in connection with this offering was identical to the electronically transmitted copies thereof filed with the Commission pursuant to EDGAR, except to the extent permitted by Regulation S-T. Notwithstanding the foregoing, none of the representations and warranties in this paragraph 2(a) shall apply to statements in, or omissions from, the Registration Statement, any Preliminary Prospectus or the Prospectus made in reliance upon, and in conformity with, information herein or otherwise furnished in writing by the Underwriter specifically for use in the Registration Statement, any Preliminary Prospectus or the Prospectus. With respect to the preceding sentence, the Company acknowledges that the only information furnished in writing by the Underwriter for use in the Registration Statement, any Preliminary Prospectus or the Prospectus is the statements contained in the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paragraphs under the caption "Underwriting" in the Prospectus (collectively, the "Underwriter Information").</w:t>
      </w:r>
    </w:p>
    <w:p>
      <w:pPr>
        <w:spacing w:after="0" w:line="101" w:lineRule="exact"/>
        <w:rPr>
          <w:rFonts w:ascii="Arial" w:cs="Arial" w:eastAsia="Arial" w:hAnsi="Arial"/>
          <w:sz w:val="16"/>
          <w:szCs w:val="16"/>
          <w:color w:val="auto"/>
        </w:rPr>
      </w:pPr>
    </w:p>
    <w:p>
      <w:pPr>
        <w:ind w:firstLine="656"/>
        <w:spacing w:after="0" w:line="288" w:lineRule="auto"/>
        <w:tabs>
          <w:tab w:leader="none" w:pos="975" w:val="left"/>
        </w:tabs>
        <w:numPr>
          <w:ilvl w:val="1"/>
          <w:numId w:val="3"/>
        </w:numPr>
        <w:rPr>
          <w:rFonts w:ascii="Arial" w:cs="Arial" w:eastAsia="Arial" w:hAnsi="Arial"/>
          <w:sz w:val="16"/>
          <w:szCs w:val="16"/>
          <w:color w:val="auto"/>
        </w:rPr>
      </w:pPr>
      <w:r>
        <w:rPr>
          <w:rFonts w:ascii="Arial" w:cs="Arial" w:eastAsia="Arial" w:hAnsi="Arial"/>
          <w:sz w:val="16"/>
          <w:szCs w:val="16"/>
          <w:color w:val="auto"/>
        </w:rPr>
        <w:t>As of the Applicable Time (as hereinafter defined), neither (i) (a) the Statutory Prospectus (as hereinafter defined), (b) the information set forth on Schedule III hereto which will be provided orally to investors, nor (c) the Additional Disclosure (as hereinafter defined) which has been provided orally to investors, all considered together (collectively, the “General Disclosure Package”) nor (ii) any individual Issuer Free Writing Prospectus when considered together with the General Disclosure Package, included, includes or will include, nor will it include any untrue statement of a material fact or omitted, omits or will omit to state any material fact required to be stated therein or necessary in order to make the statements therein, in the light of the circumstances under which they were made, not misleading; provided, however, that this representation and warranty shall not apply to statements in or omissions in the General Disclosure Package made in reliance upon and in conformity with the Underwriter Information. The Company further represents and warrants that on or prior to the Applicable Time (as hereinafter defined), it has provided to investors disclosure regarding the Company’s current clinical hold substantially similar to the disclosure in the draft of the Prospectus last provided to the Underwriter prior to the execution and delivery of this Agreement (the “Additional Disclosure”).</w:t>
      </w:r>
    </w:p>
    <w:p>
      <w:pPr>
        <w:spacing w:after="0" w:line="10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Each Issuer Free Writing Prospectus (as hereinafter defined), including any electronic road show (including without limitation any “bona fide electronic road show” as defined in Rule 433(h)(5) under the Securities Act) (each, a “Road Show”) (i) is identified in Schedule IV hereto and (iii) complied when issued, and complies, in all material respects with the requirements of the Securities Act and the Rules and the Exchange Act and the rules and regulations of the Commission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Section and elsewhere in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means 8:00 am (Eastern time) on the date of this Underwriting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“Statutory Prospectus” as of any time means the Preliminary Prospectus relating to the Securities that is included in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Applicable Time, including any document incorporated by reference therein and any prospectus supplement deemed to be a part thereof.</w:t>
      </w:r>
    </w:p>
    <w:p>
      <w:pPr>
        <w:spacing w:after="0" w:line="174"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“Issuer Free Writing Prospectus” means each “free writing prospectus” (as defined in Rule 405 of the Rules) prepared by or on behalf of the Company or used or referred to by the Company in connection with the offering of the Securities, including , without limitation, each Road Show.</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 w:name="page8"/>
    <w:bookmarkEnd w:id="7"/>
    <w:p>
      <w:pPr>
        <w:ind w:firstLine="656"/>
        <w:spacing w:after="0" w:line="29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no stop order preventing or suspending the effectiveness of the Registration Statement or suspending or preventing the use of any Preliminary Prospectus, the Prospectus or any “free writing prospectus,” as defined in Rule 405 under the Rules, has been issued by the Commission and no proceedings for that purpose have been instituted or are threatened under the Securities Act. Any required filing of any Preliminary Prospectus and/or the Prospectus and any supplement thereto pursuant to Rule 424(b) of the Rules has been or will be made in the manner and within the time period required by such Rule 424(b). Any material required to be filed by the Company pursuant to Rule 443(d) or Rule 163(b)(2) of the Rules has been or will be made in the manner and within the time period required by such Rules.</w:t>
      </w:r>
    </w:p>
    <w:p>
      <w:pPr>
        <w:spacing w:after="0" w:line="106" w:lineRule="exact"/>
        <w:rPr>
          <w:rFonts w:ascii="Arial" w:cs="Arial" w:eastAsia="Arial" w:hAnsi="Arial"/>
          <w:sz w:val="16"/>
          <w:szCs w:val="16"/>
          <w:color w:val="auto"/>
        </w:rPr>
      </w:pPr>
    </w:p>
    <w:p>
      <w:pPr>
        <w:ind w:right="100" w:firstLine="656"/>
        <w:spacing w:after="0" w:line="288" w:lineRule="auto"/>
        <w:tabs>
          <w:tab w:leader="none" w:pos="9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any Preliminary Prospectus and the Prospectus, at the time they became effective or were filed with the Commission, as the case may be, complied in all material respects with the requirements of the Securities Act or the Exchange Act, as applicable, and the rules and regulations of the Commission thereunder, and none of such documents contained an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any Preliminary Prospectus and the Prospectus,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in light of the circumstances under which they are made, not misleading.</w:t>
      </w:r>
    </w:p>
    <w:p>
      <w:pPr>
        <w:spacing w:after="0" w:line="106" w:lineRule="exact"/>
        <w:rPr>
          <w:rFonts w:ascii="Arial" w:cs="Arial" w:eastAsia="Arial" w:hAnsi="Arial"/>
          <w:sz w:val="16"/>
          <w:szCs w:val="16"/>
          <w:color w:val="auto"/>
        </w:rPr>
      </w:pPr>
    </w:p>
    <w:p>
      <w:pPr>
        <w:ind w:right="60" w:firstLine="656"/>
        <w:spacing w:after="0" w:line="306"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at all subsequent times through the completion of the public offer and sale of the Securities or until any earlier date that the Company notified or notifies the Underwriter as described in the next sentence, did not, does not and will not include any information that conflicted, conflicts or will conflict with the information contained in the Registration Statement, the Statutory Prospectus or the Prospectus.</w:t>
      </w:r>
    </w:p>
    <w:p>
      <w:pPr>
        <w:spacing w:after="0" w:line="9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Underwriter and has promptly amended or will promptly amend or supplement, at its own expense, such Issuer Free Writing Prospectus to eliminate or correct such conflict, untrue statement or omission.</w:t>
      </w:r>
    </w:p>
    <w:p>
      <w:pPr>
        <w:spacing w:after="0" w:line="174" w:lineRule="exact"/>
        <w:rPr>
          <w:sz w:val="20"/>
          <w:szCs w:val="20"/>
          <w:color w:val="auto"/>
        </w:rPr>
      </w:pPr>
    </w:p>
    <w:p>
      <w:pPr>
        <w:ind w:firstLine="656"/>
        <w:spacing w:after="0" w:line="289" w:lineRule="auto"/>
        <w:tabs>
          <w:tab w:leader="none" w:pos="9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financial statements of the Company (including all notes and schedules thereto) included or incorporated by reference in the Registration Statement, the Statutory Prospectus and Prospectus present fairly the financial position of the Company and its consolidated subsidiaries at the dates indicated and the statement of operations, stockholders' equity and cash flows of the Company and its consolidated subsidiaries for the periods specified; and such financial statements and related schedules and notes thereto, and the unaudited financial information filed with the Commission as part of the Registration Statement, have been prepared in conformity with generally accepted accounting principles, consistently applied throughout the periods involved. The summary and selected financial data, if any, included or incorporated by reference in the Statutory Prospectus and Prospectus present fairly the information shown therein as at the respective dates and for the respective periods specified and have been presented on a basis consistent with the consolidated financial statements set forth in the Prospectus and other financial information.</w:t>
      </w:r>
    </w:p>
    <w:p>
      <w:pPr>
        <w:spacing w:after="0" w:line="104" w:lineRule="exact"/>
        <w:rPr>
          <w:rFonts w:ascii="Arial" w:cs="Arial" w:eastAsia="Arial" w:hAnsi="Arial"/>
          <w:sz w:val="16"/>
          <w:szCs w:val="16"/>
          <w:color w:val="auto"/>
        </w:rPr>
      </w:pPr>
    </w:p>
    <w:p>
      <w:pPr>
        <w:ind w:right="180" w:firstLine="656"/>
        <w:spacing w:after="0" w:line="268" w:lineRule="auto"/>
        <w:tabs>
          <w:tab w:leader="none" w:pos="98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OUM &amp; Co. LLP (the “Auditor”) whose reports are filed with the Commission as a part of the Registration Statement, are and, during the periods covered by their reports, were independent public accountants as required by the Securities Act and the Rules.</w:t>
      </w:r>
    </w:p>
    <w:p>
      <w:pPr>
        <w:spacing w:after="0" w:line="118" w:lineRule="exact"/>
        <w:rPr>
          <w:rFonts w:ascii="Arial" w:cs="Arial" w:eastAsia="Arial" w:hAnsi="Arial"/>
          <w:sz w:val="18"/>
          <w:szCs w:val="18"/>
          <w:color w:val="auto"/>
        </w:rPr>
      </w:pPr>
    </w:p>
    <w:p>
      <w:pPr>
        <w:ind w:right="40" w:firstLine="656"/>
        <w:spacing w:after="0" w:line="286" w:lineRule="auto"/>
        <w:tabs>
          <w:tab w:leader="none" w:pos="98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each of its subsidiaries, including each entity (corporation, partnership, joint venture, association or other business organization) controlled directly or indirectly by the Company (each, a “subsidiary”), is duly organized, validly existing and in good standing under the laws of their respective jurisdictions of incorporation or organization and each such entity has all requisite power and authority to carry on its business as is currently being conducted as described in the Statutory Prospectus and the Prospectus, and to own, lease and operate its properties. All of the issued shares of capital stock of, or other ownership interests in, each subsidiary have been duly and validly authorized and issued and are fully paid and non-assessable and are owned, directly or indirectly, by the Company, free and clear of any lien, charge, mortgage, pledge, security interest, claim, limitation on voting rights, equity, trust or other encumbrance, preferential arrangement, defect or restriction of any kind whatsoever. The Company and each of its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condition, financial or otherwise, or in the results of operations, business affairs or business prospects of the Company and its subsidiaries considered as a whole (a "Material Adverse Effect"); and to the Company's knowledge, no proceeding has been instituted in any such jurisdiction revoking, limiting or curtailing, or seeking to revoke, limit or curtail, such power and authority or qualification. The Company does not own, lease or license any asset or property or conduct any business outside the United States of America.</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ind w:firstLine="656"/>
        <w:spacing w:after="0" w:line="291" w:lineRule="auto"/>
        <w:tabs>
          <w:tab w:leader="none" w:pos="94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Registration Statement initially became effective within three years of the date hereof. If, immediately prior to the third anniversary of the initial effective date of the Registration Statement, any of the Shares and the Warrants remain unsold by the Underwriter, the Company will, prior to that third anniversary file, if it has not already done so, a new shelf registration statement relating to the Shares and the Warrants, in a form satisfactory to the Underwriter, will use its best efforts to cause such registration statement to be declared effective within 180 days after that third anniversary, and will take all other action necessary or appropriate to permit the public offering and sale of the Shares and the Warrants to continue as contemplated in the expired Registration Statement. References herein to the registration statement relating to the Securities shall include such new shelf registration statement.</w:t>
      </w:r>
    </w:p>
    <w:p>
      <w:pPr>
        <w:spacing w:after="0" w:line="106" w:lineRule="exact"/>
        <w:rPr>
          <w:rFonts w:ascii="Arial" w:cs="Arial" w:eastAsia="Arial" w:hAnsi="Arial"/>
          <w:sz w:val="16"/>
          <w:szCs w:val="16"/>
          <w:color w:val="auto"/>
        </w:rPr>
      </w:pPr>
    </w:p>
    <w:p>
      <w:pPr>
        <w:ind w:firstLine="656"/>
        <w:spacing w:after="0" w:line="290" w:lineRule="auto"/>
        <w:tabs>
          <w:tab w:leader="none" w:pos="94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and each of its subsidiaries has all requisite corporate power and authority, and all necessary authorizations, approvals, consents, orders, licenses, certificates and permits of and from all governmental or regulatory bodies or any other person or entity (collectively, the "Permits"), to own, lease and license its assets and properties and conduct its business, all of which are valid and in full force and effect, except where the lack of such Permits, individually or in the aggregate, would not have a Material Adverse Effect. The Company and each of its subsidiaries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the Company thereunder. Except as may be required under the Securities Act and state and foreign Blue Sky laws, no other Permits are required to enter into, deliver and perform this Agreement and to issue and sell the Securities.</w:t>
      </w:r>
    </w:p>
    <w:p>
      <w:pPr>
        <w:spacing w:after="0" w:line="104" w:lineRule="exact"/>
        <w:rPr>
          <w:rFonts w:ascii="Arial" w:cs="Arial" w:eastAsia="Arial" w:hAnsi="Arial"/>
          <w:sz w:val="16"/>
          <w:szCs w:val="16"/>
          <w:color w:val="auto"/>
        </w:rPr>
      </w:pPr>
    </w:p>
    <w:p>
      <w:pPr>
        <w:ind w:right="200" w:firstLine="656"/>
        <w:spacing w:after="0" w:line="298" w:lineRule="auto"/>
        <w:tabs>
          <w:tab w:leader="none" w:pos="897"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(i) At the earliest time after the filing of the Registration Statement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Rules) of the Securities and (ii) at the date hereof</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was not and is not an “ineligible issuer,” as defined in Rule 405 of the Rules, including (but not limited to) the Company or any other subsidiary in the preceding three years not having been convicted of a felony or misdemeanor or having been made the subject of a judicial or administrative decree or order as described in Rule 405 of the Rules.</w:t>
      </w:r>
    </w:p>
    <w:p>
      <w:pPr>
        <w:spacing w:after="0" w:line="99" w:lineRule="exact"/>
        <w:rPr>
          <w:rFonts w:ascii="Arial" w:cs="Arial" w:eastAsia="Arial" w:hAnsi="Arial"/>
          <w:sz w:val="16"/>
          <w:szCs w:val="16"/>
          <w:color w:val="auto"/>
        </w:rPr>
      </w:pPr>
    </w:p>
    <w:p>
      <w:pPr>
        <w:ind w:right="160" w:firstLine="656"/>
        <w:spacing w:after="0" w:line="298" w:lineRule="auto"/>
        <w:tabs>
          <w:tab w:leader="none" w:pos="94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and each of its subsidiaries owns or possesses legally enforceable rights to use all patents, patent rights, inventions, trademarks, trademark applications, trade names, service marks, copyrights, copyright applications, licenses, know-how and other similar rights and proprietary knowledge (collectively, "Intangibles") necessary for the conduct of its business. Neither the Company nor any of its subsidiaries has received any notice of, or is not aware of, any infringement of or conflict with asserted rights of others with respect to any Intangibles.</w:t>
      </w:r>
    </w:p>
    <w:p>
      <w:pPr>
        <w:spacing w:after="0" w:line="166" w:lineRule="exact"/>
        <w:rPr>
          <w:rFonts w:ascii="Arial" w:cs="Arial" w:eastAsia="Arial" w:hAnsi="Arial"/>
          <w:sz w:val="16"/>
          <w:szCs w:val="16"/>
          <w:color w:val="auto"/>
        </w:rPr>
      </w:pPr>
    </w:p>
    <w:p>
      <w:pPr>
        <w:ind w:firstLine="656"/>
        <w:spacing w:after="0" w:line="254" w:lineRule="auto"/>
        <w:tabs>
          <w:tab w:leader="none" w:pos="103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title in fee simple to all real property, and good and marketable title to all other property owned by it, in each case free and clear of all liens, encumbrances, claims, security interests and defects, except such as do not materially affect the value of such property and do not materially interfere with the use made or proposed to be made of such property by the Company and its subsidiaries. All property held under lease by the Company and its subsidiaries is held by them under valid, existing and enforceable leases, free and clear of all liens, encumbrances, claims, security interests and defects, except such as are not material and do not materially interfere with the use made or proposed to be made of such property by the Company and its subsidiaries.</w:t>
      </w:r>
    </w:p>
    <w:p>
      <w:pPr>
        <w:spacing w:after="0" w:line="130" w:lineRule="exact"/>
        <w:rPr>
          <w:rFonts w:ascii="Arial" w:cs="Arial" w:eastAsia="Arial" w:hAnsi="Arial"/>
          <w:sz w:val="18"/>
          <w:szCs w:val="18"/>
          <w:color w:val="auto"/>
        </w:rPr>
      </w:pPr>
    </w:p>
    <w:p>
      <w:pPr>
        <w:ind w:right="40" w:firstLine="656"/>
        <w:spacing w:after="0" w:line="283" w:lineRule="auto"/>
        <w:tabs>
          <w:tab w:leader="none" w:pos="985" w:val="left"/>
        </w:tabs>
        <w:numPr>
          <w:ilvl w:val="1"/>
          <w:numId w:val="6"/>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Statutory Prospectus and the Prospectus, (i) there has not been any event which could have a Material Adverse Effect; (ii) neither the Company nor any of its subsidiaries has sustained any loss or interference with its assets, businesses or properties (whether owned or leased) from fire, explosion, earthquake, flood or other calamity, whether or not covered by insurance, or from any labor dispute or any court or legislative or other governmental action, order or decree which would have a Material Adverse Effect; and</w:t>
      </w:r>
    </w:p>
    <w:p>
      <w:pPr>
        <w:spacing w:after="0" w:line="2" w:lineRule="exact"/>
        <w:rPr>
          <w:rFonts w:ascii="Arial" w:cs="Arial" w:eastAsia="Arial" w:hAnsi="Arial"/>
          <w:sz w:val="16"/>
          <w:szCs w:val="16"/>
          <w:color w:val="auto"/>
        </w:rPr>
      </w:pPr>
    </w:p>
    <w:p>
      <w:pPr>
        <w:ind w:firstLine="8"/>
        <w:spacing w:after="0" w:line="288" w:lineRule="auto"/>
        <w:tabs>
          <w:tab w:leader="none" w:pos="307" w:val="left"/>
        </w:tabs>
        <w:numPr>
          <w:ilvl w:val="0"/>
          <w:numId w:val="7"/>
        </w:numPr>
        <w:rPr>
          <w:rFonts w:ascii="Arial" w:cs="Arial" w:eastAsia="Arial" w:hAnsi="Arial"/>
          <w:sz w:val="16"/>
          <w:szCs w:val="16"/>
          <w:color w:val="auto"/>
        </w:rPr>
      </w:pPr>
      <w:r>
        <w:rPr>
          <w:rFonts w:ascii="Arial" w:cs="Arial" w:eastAsia="Arial" w:hAnsi="Arial"/>
          <w:sz w:val="16"/>
          <w:szCs w:val="16"/>
          <w:color w:val="auto"/>
        </w:rPr>
        <w:t>since the date of the latest balance sheet included in the Registration Statement and the Prospectus, neither the Company nor its subsidiaries has (A) except for the issuance of 250,000 shares of the Company’s unregistered Common Stock (the “Cato Shares”) having a cash equivalent value of not less than $1.75 per share issued to Cato Research Ltd., a North Carolina corporation, for services rendered, issued any securities or incurred any liability or obligation, direct or contingent, for borrowed money, except such liabilities or obligations incurred in the ordinary course of business, (B) entered into any transaction not in the ordinary course of business or (C) except for regular dividends on the Common Stock in amounts per share that are consistent with past practice, declared or paid any dividend or made any distribution on any shares of its stock or redeemed, purchased or otherwise acquired or agreed to redeem, purchase or otherwise acquire any shares of its capital stock.</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9" w:name="page10"/>
    <w:bookmarkEnd w:id="9"/>
    <w:p>
      <w:pPr>
        <w:ind w:left="-8" w:firstLine="656"/>
        <w:spacing w:after="0" w:line="286" w:lineRule="auto"/>
        <w:tabs>
          <w:tab w:leader="none" w:pos="987"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There is no document, contract or other agreement required to be described in the Registration Statement, the Statutory Prospectus or the Prospectus or to be filed as an exhibit to the Registration Statement which is not described or filed as required by the Securities Act or Rules. Each description of a contract, document or other agreement in the Registration Statement, the Statutory Prospectus or the Prospectus accurately reflects in all respects the terms of the underlying contract, document or other agreement. Each contract, document or other agreement described in the Registration Statement, the Statutory Prospectus or the Prospectus or listed in the Exhibits to the Registration Statement or incorporated by reference is in full force and effect and is valid and enforceable by and against the Company or its subsidiary, as the case may be, in accordance with its terms. Neither the Company nor any of its subsidiaries, if a subsidiary is a party, nor to the Company's knowledge, any other party is in default in the observance or performance of any term or obligation to be performed by it under any such agreement, and no event has occurred which with notice or lapse of time or both would constitute such a default, in any such case which default or event, individually or in the aggregate, would have a Material Adverse Effect. No default exists, and no event has occurred which with notice or lapse of time or both would constitute a default, in the due performance and observance of any term, covenant or condition, by the Company or its subsidiary, if a subsidiary is a party thereto, of any other agreement or instrument to which the Company or any of its subsidiaries is a party or by which Company or its properties or business or a subsidiary or its properties or business may be bound or affected which default or event, individually or in the aggregate, would have a Material Adverse Effect.</w:t>
      </w:r>
    </w:p>
    <w:p>
      <w:pPr>
        <w:spacing w:after="0" w:line="107" w:lineRule="exact"/>
        <w:rPr>
          <w:rFonts w:ascii="Arial" w:cs="Arial" w:eastAsia="Arial" w:hAnsi="Arial"/>
          <w:sz w:val="16"/>
          <w:szCs w:val="16"/>
          <w:color w:val="auto"/>
        </w:rPr>
      </w:pPr>
    </w:p>
    <w:p>
      <w:pPr>
        <w:ind w:left="-8" w:right="720" w:firstLine="656"/>
        <w:spacing w:after="0" w:line="268" w:lineRule="auto"/>
        <w:tabs>
          <w:tab w:leader="none" w:pos="97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statistical and market related data included or incorporated by reference in the Registration Statement, the Statutory Prospectus or the Prospectus are based on or derived from sources that the Company believes to be reliable and accurate.</w:t>
      </w:r>
    </w:p>
    <w:p>
      <w:pPr>
        <w:spacing w:after="0" w:line="118" w:lineRule="exact"/>
        <w:rPr>
          <w:rFonts w:ascii="Arial" w:cs="Arial" w:eastAsia="Arial" w:hAnsi="Arial"/>
          <w:sz w:val="18"/>
          <w:szCs w:val="18"/>
          <w:color w:val="auto"/>
        </w:rPr>
      </w:pPr>
    </w:p>
    <w:p>
      <w:pPr>
        <w:ind w:left="-8" w:right="20" w:firstLine="656"/>
        <w:spacing w:after="0" w:line="283" w:lineRule="auto"/>
        <w:tabs>
          <w:tab w:leader="none" w:pos="977" w:val="left"/>
        </w:tabs>
        <w:numPr>
          <w:ilvl w:val="1"/>
          <w:numId w:val="8"/>
        </w:numPr>
        <w:rPr>
          <w:rFonts w:ascii="Arial" w:cs="Arial" w:eastAsia="Arial" w:hAnsi="Arial"/>
          <w:sz w:val="16"/>
          <w:szCs w:val="16"/>
          <w:color w:val="auto"/>
        </w:rPr>
      </w:pPr>
      <w:r>
        <w:rPr>
          <w:rFonts w:ascii="Arial" w:cs="Arial" w:eastAsia="Arial" w:hAnsi="Arial"/>
          <w:sz w:val="16"/>
          <w:szCs w:val="16"/>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subsidiary pursuant to, any bond, debenture, note, indenture, mortgage, deed of trust, loan agreement or other agreement or instrument to which it is a party or by which it is bound or to which any of its properties or assets is subject or (iii) is in violation of any statute, law, rule, regulation, ordinance, directive, judgment, decree or order of any judicial, regulatory or other legal or governmental agency or body, foreign or domestic, except (in the case of clauses</w:t>
      </w:r>
    </w:p>
    <w:p>
      <w:pPr>
        <w:ind w:left="252" w:hanging="252"/>
        <w:spacing w:after="0"/>
        <w:tabs>
          <w:tab w:leader="none" w:pos="252" w:val="left"/>
        </w:tabs>
        <w:numPr>
          <w:ilvl w:val="0"/>
          <w:numId w:val="9"/>
        </w:numPr>
        <w:rPr>
          <w:rFonts w:ascii="Arial" w:cs="Arial" w:eastAsia="Arial" w:hAnsi="Arial"/>
          <w:sz w:val="16"/>
          <w:szCs w:val="16"/>
          <w:color w:val="auto"/>
        </w:rPr>
      </w:pPr>
      <w:r>
        <w:rPr>
          <w:rFonts w:ascii="Arial" w:cs="Arial" w:eastAsia="Arial" w:hAnsi="Arial"/>
          <w:sz w:val="16"/>
          <w:szCs w:val="16"/>
          <w:color w:val="auto"/>
        </w:rPr>
        <w:t>and (iii) above) for violations or defaults that could not (individually or in the aggregate) reasonably be expected to have a Material Adverse Effect.</w:t>
      </w:r>
    </w:p>
    <w:p>
      <w:pPr>
        <w:spacing w:after="0" w:line="241" w:lineRule="exact"/>
        <w:rPr>
          <w:rFonts w:ascii="Arial" w:cs="Arial" w:eastAsia="Arial" w:hAnsi="Arial"/>
          <w:sz w:val="16"/>
          <w:szCs w:val="16"/>
          <w:color w:val="auto"/>
        </w:rPr>
      </w:pPr>
    </w:p>
    <w:p>
      <w:pPr>
        <w:ind w:left="952" w:hanging="304"/>
        <w:spacing w:after="0"/>
        <w:tabs>
          <w:tab w:leader="none" w:pos="9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8" w:right="20" w:firstLine="656"/>
        <w:spacing w:after="0" w:line="288" w:lineRule="auto"/>
        <w:tabs>
          <w:tab w:leader="none" w:pos="957" w:val="left"/>
        </w:tabs>
        <w:numPr>
          <w:ilvl w:val="1"/>
          <w:numId w:val="9"/>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and the Warrants by the Company nor the consummation of any of the transactions contemplated hereby (including, without limitation, the issuance and sale by the Company of the Shares and the Warrants)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their properties or businesses is bound, or any franchise, license, permit, judgment, decree, order, statute, rule or regulation applicable to the Company or any of its subsidiaries or violate any provision of the charter or by-laws of the Company or any of its subsidiaries, except for such consents or waivers which have already been obtained and are in full force and effect.</w:t>
      </w:r>
    </w:p>
    <w:p>
      <w:pPr>
        <w:spacing w:after="0" w:line="106" w:lineRule="exact"/>
        <w:rPr>
          <w:rFonts w:ascii="Arial" w:cs="Arial" w:eastAsia="Arial" w:hAnsi="Arial"/>
          <w:sz w:val="16"/>
          <w:szCs w:val="16"/>
          <w:color w:val="auto"/>
        </w:rPr>
      </w:pPr>
    </w:p>
    <w:p>
      <w:pPr>
        <w:ind w:left="-8" w:right="20" w:firstLine="656"/>
        <w:spacing w:after="0" w:line="284" w:lineRule="auto"/>
        <w:tabs>
          <w:tab w:leader="none" w:pos="93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has authorized and outstanding capital stock as set forth under the caption "Description of Securities We Are Offering" and “Description of Our Capital Stock” in the Statutory Prospectus and the Prospectus. The certificates evidencing the Shares and the Warrants are in due and proper legal form and have been duly authorized for issuance by the Company. All of the issued and outstanding shares of Common Stock have been duly and validly issued and are fully paid and nonassessable. There are no statutory preemptive or other similar rights to subscribe for or to purchase or acquire any shares of Common Stock of the Company or any of its subsidiaries or any such rights pursuant to its Certificate of Incorporation or by-laws or any agreement or instrument to or by which the Company or any of its subsidiaries is a party or bound. The Company has reserved and kept available for the exercise of the Warrants such number of authorized but unissued shares as are sufficient to permit the exercise in full of the Warrants. The Shares, when issued and sold pursuant to this Agreement, and the Warrant Shares, when issued and sold pursuant to the Warrants, will be duly and validly issued, fully paid and nonassessable and none of them will be issued in violation of any preemptive or other similar right. Except as disclosed in the Registration Statement, the Statutory Prospectus and the Prospectus, there is no outstanding option, warrant or other right calling for the issuance of, and there is no commitment, plan or arrangement to issue, any share of stock of the Company or any of its subsidiaries or any security convertible into, or exercisable or exchangeable for, such stock. The exercise price of each option to acquire Common Stock (each, a “Company Stock Option”) is no less than the fair market value of a share of Common Stock as determined on the date of grant of such Company Stock Option. All grants of Company Stock Options were validly issued and properly approved by the Board of Directors of the Company or the Compensation Committee thereof in material compliance with all applicable laws and the terms of the plans under which such Company Stock Options were issued and were recorded on the Company financial statements, including the documents incorporated by reference in the Registration Statement, the Statutory Prospectus and the Prospectus, in accordance with GAAP, and no such grants involved any “back dating”, “forward dating,” “spring loading” or similar practices with respect to the effective date of grant. The Common Stock, the Shares and the Warrants conform in all material respects to all statements in relation thereto contained in the Registration Statement, the Statutory Prospectus and the Prospectus. All outstanding shares of capital stock of each of the Company's subsidiaries have been duly authorized and validly issued, and are fully paid and nonassessable and are owned directly by the Company or by another wholly-owned subsidiary of the Company free and clear of any security interests, liens, encumbrances, equities or claims, other than those described in the Statutory Prospectus and the Prospectus.</w:t>
      </w: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36" w:right="259" w:bottom="1440" w:gutter="0" w:footer="0" w:header="0"/>
        </w:sectPr>
      </w:pPr>
    </w:p>
    <w:bookmarkStart w:id="10" w:name="page11"/>
    <w:bookmarkEnd w:id="10"/>
    <w:p>
      <w:pPr>
        <w:jc w:val="both"/>
        <w:ind w:left="-60" w:right="60" w:firstLine="656"/>
        <w:spacing w:after="0" w:line="298" w:lineRule="auto"/>
        <w:tabs>
          <w:tab w:leader="none" w:pos="9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holder of any security of the Company has any right, which has not been waived, to have any security owned by such holder included in the Registration Statement or to demand registration of any security owned by such holder for a period of 180 days after the date of this Agreement. Each director and executive officer of the Company and each stockholder of the Company listed on Schedule II hereto has delivered to the Underwriter his enforceable written lock-up agreement in the form attached to this Agreement as Exhibit A hereto ("Lock-Up Agreement").</w:t>
      </w:r>
    </w:p>
    <w:p>
      <w:pPr>
        <w:spacing w:after="0" w:line="99" w:lineRule="exact"/>
        <w:rPr>
          <w:rFonts w:ascii="Arial" w:cs="Arial" w:eastAsia="Arial" w:hAnsi="Arial"/>
          <w:sz w:val="16"/>
          <w:szCs w:val="16"/>
          <w:color w:val="auto"/>
        </w:rPr>
      </w:pPr>
    </w:p>
    <w:p>
      <w:pPr>
        <w:jc w:val="both"/>
        <w:ind w:left="-60" w:right="60" w:firstLine="656"/>
        <w:spacing w:after="0" w:line="256"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could individually or in the aggregate have a Material Adverse Effect; and, to the knowledge of the Company, no such proceedings are threatened or contemplated by governmental authorities or threatened by others.</w:t>
      </w:r>
    </w:p>
    <w:p>
      <w:pPr>
        <w:spacing w:after="0" w:line="197" w:lineRule="exact"/>
        <w:rPr>
          <w:rFonts w:ascii="Arial" w:cs="Arial" w:eastAsia="Arial" w:hAnsi="Arial"/>
          <w:sz w:val="18"/>
          <w:szCs w:val="18"/>
          <w:color w:val="auto"/>
        </w:rPr>
      </w:pPr>
    </w:p>
    <w:p>
      <w:pPr>
        <w:ind w:left="-60" w:firstLine="656"/>
        <w:spacing w:after="0" w:line="294" w:lineRule="auto"/>
        <w:tabs>
          <w:tab w:leader="none" w:pos="9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involved in any labor dispute nor, to the knowledge of the Company, is any such dispute threatened, which dispute would have a Material Adverse Effect. The Company is not aware of any existing or imminent labor disturbance by the employees of any of its principal suppliers or contractors which would have a Material Adverse Effect. The Company is not aware of any threatened or pending litigation between the Company or its subsidiaries and any of its executive officers which, if adversely determined, could have a Material Adverse Effect and has no reason to believe that such officers will not remain in the employment of the Company.</w:t>
      </w:r>
    </w:p>
    <w:p>
      <w:pPr>
        <w:spacing w:after="0" w:line="102" w:lineRule="exact"/>
        <w:rPr>
          <w:rFonts w:ascii="Arial" w:cs="Arial" w:eastAsia="Arial" w:hAnsi="Arial"/>
          <w:sz w:val="16"/>
          <w:szCs w:val="16"/>
          <w:color w:val="auto"/>
        </w:rPr>
      </w:pPr>
    </w:p>
    <w:p>
      <w:pPr>
        <w:ind w:left="-60" w:right="280" w:firstLine="656"/>
        <w:spacing w:after="0" w:line="259"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and any of its officers or directors, shareholders or any affiliate or affiliates of any such officer or director or shareholder that is required to be described in and is not described in the Registration Statement, the Statutory Prospectus and the Prospectus.</w:t>
      </w:r>
    </w:p>
    <w:p>
      <w:pPr>
        <w:spacing w:after="0" w:line="126" w:lineRule="exact"/>
        <w:rPr>
          <w:rFonts w:ascii="Arial" w:cs="Arial" w:eastAsia="Arial" w:hAnsi="Arial"/>
          <w:sz w:val="18"/>
          <w:szCs w:val="18"/>
          <w:color w:val="auto"/>
        </w:rPr>
      </w:pPr>
    </w:p>
    <w:p>
      <w:pPr>
        <w:ind w:left="-60" w:right="60" w:firstLine="656"/>
        <w:spacing w:after="0" w:line="259"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Common Stock or any security of the Company to facilitate the sale or resale of any of the Securities.</w:t>
      </w:r>
    </w:p>
    <w:p>
      <w:pPr>
        <w:spacing w:after="0" w:line="126" w:lineRule="exact"/>
        <w:rPr>
          <w:rFonts w:ascii="Arial" w:cs="Arial" w:eastAsia="Arial" w:hAnsi="Arial"/>
          <w:sz w:val="18"/>
          <w:szCs w:val="18"/>
          <w:color w:val="auto"/>
        </w:rPr>
      </w:pPr>
    </w:p>
    <w:p>
      <w:pPr>
        <w:ind w:left="-60" w:right="40" w:firstLine="656"/>
        <w:spacing w:after="0" w:line="323" w:lineRule="auto"/>
        <w:tabs>
          <w:tab w:leader="none" w:pos="915"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 and each of its subsidiaries has filed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are material and have become due. There are no tax audits or investigations pending, which if adversely determined would have a Material Adverse Effect; nor are there any material proposed additional tax assessments against the Company or any of its subsidiaries.</w:t>
      </w:r>
    </w:p>
    <w:p>
      <w:pPr>
        <w:spacing w:after="0" w:line="84" w:lineRule="exact"/>
        <w:rPr>
          <w:sz w:val="20"/>
          <w:szCs w:val="20"/>
          <w:color w:val="auto"/>
        </w:rPr>
      </w:pPr>
    </w:p>
    <w:p>
      <w:pPr>
        <w:ind w:left="-60" w:right="160" w:firstLine="656"/>
        <w:spacing w:after="0" w:line="291" w:lineRule="auto"/>
        <w:tabs>
          <w:tab w:leader="none" w:pos="9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Common Stock is registered pursuant to Section 12(b) of the Exchange Act and is listed on the Nasdaq Capital Market. The Company has taken no action designed to, or likely to have the effect of, terminating the registration of the Common Stock under the Exchange Act or listing of the Common Stock on the Nasdaq Capital Market. There is no action pending by the Company or, to the Company’s knowledge, by the Nasdaq Capital Market to delist the Common Stock from the Nasdaq Capital Market, nor has the Company received any notification that the Nasdaq Capital Market is contemplating terminating such listing. The Company has submitted a Notification Form: Listing of Additional Shares with the Nasdaq Capital Market with respect to the Shares and the Warrant Shares and Nasdaq has raised no objection with respect to the listing of the Shares and the Warrant Shares which has not been resolved.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11" w:name="page12"/>
    <w:bookmarkEnd w:id="11"/>
    <w:p>
      <w:pPr>
        <w:ind w:left="-20" w:right="40" w:firstLine="656"/>
        <w:spacing w:after="0" w:line="314" w:lineRule="auto"/>
        <w:tabs>
          <w:tab w:leader="none" w:pos="1052"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books, records and accounts of the Company and its subsidiaries accurately and fairly reflect, the transactions in, and dispositions of, the assets of, and the results of operations of, the Company and its subsidiaries. The Company and each of its subsidiaries maintains a system of internal accounting controls sufficient to provide reasonable assurances that (i) transactions are executed in accordance with management's general or specific authorizations, (ii) transactions are recorded as necessary to permit preparation of financial statements in accordance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91" w:lineRule="exact"/>
        <w:rPr>
          <w:rFonts w:ascii="Arial" w:cs="Arial" w:eastAsia="Arial" w:hAnsi="Arial"/>
          <w:sz w:val="15"/>
          <w:szCs w:val="15"/>
          <w:color w:val="auto"/>
        </w:rPr>
      </w:pPr>
    </w:p>
    <w:p>
      <w:pPr>
        <w:ind w:left="-20" w:right="100" w:firstLine="656"/>
        <w:spacing w:after="0" w:line="294" w:lineRule="auto"/>
        <w:tabs>
          <w:tab w:leader="none" w:pos="10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such term is defined in Rule 13a-15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w:t>
      </w:r>
    </w:p>
    <w:p>
      <w:pPr>
        <w:spacing w:after="0" w:line="102" w:lineRule="exact"/>
        <w:rPr>
          <w:rFonts w:ascii="Arial" w:cs="Arial" w:eastAsia="Arial" w:hAnsi="Arial"/>
          <w:sz w:val="16"/>
          <w:szCs w:val="16"/>
          <w:color w:val="auto"/>
        </w:rPr>
      </w:pPr>
    </w:p>
    <w:p>
      <w:pPr>
        <w:ind w:left="-20" w:firstLine="656"/>
        <w:spacing w:after="0" w:line="298" w:lineRule="auto"/>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except as disclosed in the Statutory Prospectus and the Prospectus, the Company is not aware of (i) any material weakness or significant deficiency in the design or operation of internal controls which could adversely affect the Company’s ability to record, process, summarize and report financial data or any material weaknesses in internal controls; or (ii) any fraud, whether or not material, that involves management or other employees who have a role in the Company’s internal controls.</w:t>
      </w:r>
    </w:p>
    <w:p>
      <w:pPr>
        <w:spacing w:after="0" w:line="99" w:lineRule="exact"/>
        <w:rPr>
          <w:rFonts w:ascii="Arial" w:cs="Arial" w:eastAsia="Arial" w:hAnsi="Arial"/>
          <w:sz w:val="16"/>
          <w:szCs w:val="16"/>
          <w:color w:val="auto"/>
        </w:rPr>
      </w:pPr>
    </w:p>
    <w:p>
      <w:pPr>
        <w:ind w:left="-20" w:right="180" w:firstLine="656"/>
        <w:spacing w:after="0" w:line="259" w:lineRule="auto"/>
        <w:tabs>
          <w:tab w:leader="none" w:pos="10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and as preapproved in accordance with the requirements set forth in Section 10A of the Exchange Act, the Auditor has not been engaged by the Company to perform any “prohibited activities” (as defined in Section 10A of the Exchange Act).</w:t>
      </w:r>
    </w:p>
    <w:p>
      <w:pPr>
        <w:spacing w:after="0" w:line="126" w:lineRule="exact"/>
        <w:rPr>
          <w:rFonts w:ascii="Arial" w:cs="Arial" w:eastAsia="Arial" w:hAnsi="Arial"/>
          <w:sz w:val="18"/>
          <w:szCs w:val="18"/>
          <w:color w:val="auto"/>
        </w:rPr>
      </w:pPr>
    </w:p>
    <w:p>
      <w:pPr>
        <w:jc w:val="both"/>
        <w:ind w:left="-20" w:firstLine="656"/>
        <w:spacing w:after="0" w:line="259" w:lineRule="auto"/>
        <w:tabs>
          <w:tab w:leader="none" w:pos="9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there are no material off-balance sheet arrangements (as defined in Item 303 of Regulation S-K) that have or are reasonably likely to have a material current or future effect on the Company’s financial condition, revenues or expenses, changes in financial condition, results of operations, liquidity, capital expenditures or capital resources.</w:t>
      </w:r>
    </w:p>
    <w:p>
      <w:pPr>
        <w:spacing w:after="0" w:line="126" w:lineRule="exact"/>
        <w:rPr>
          <w:rFonts w:ascii="Arial" w:cs="Arial" w:eastAsia="Arial" w:hAnsi="Arial"/>
          <w:sz w:val="18"/>
          <w:szCs w:val="18"/>
          <w:color w:val="auto"/>
        </w:rPr>
      </w:pPr>
    </w:p>
    <w:p>
      <w:pPr>
        <w:ind w:left="-20" w:right="260" w:firstLine="656"/>
        <w:spacing w:after="0" w:line="306" w:lineRule="auto"/>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Board of Directors has validly appointed an audit committee whose composition satisfies the requirements of Rule 5605 of the NASDAQ Stock Market and the Board of Directors and/or the audit committee has adopted a charter that satisfies the requirements of Rule 5605 of the NASDAQ Stock Market. The audit committee has reviewed the adequacy of its charter within the past twelve months.</w:t>
      </w:r>
    </w:p>
    <w:p>
      <w:pPr>
        <w:spacing w:after="0" w:line="93" w:lineRule="exact"/>
        <w:rPr>
          <w:sz w:val="20"/>
          <w:szCs w:val="20"/>
          <w:color w:val="auto"/>
        </w:rPr>
      </w:pPr>
    </w:p>
    <w:p>
      <w:pPr>
        <w:ind w:left="-20" w:right="420" w:firstLine="700"/>
        <w:spacing w:after="0" w:line="332" w:lineRule="auto"/>
        <w:tabs>
          <w:tab w:leader="none" w:pos="1096"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spacing w:after="0" w:line="71" w:lineRule="exact"/>
        <w:rPr>
          <w:rFonts w:ascii="Arial" w:cs="Arial" w:eastAsia="Arial" w:hAnsi="Arial"/>
          <w:sz w:val="16"/>
          <w:szCs w:val="16"/>
          <w:color w:val="auto"/>
        </w:rPr>
      </w:pPr>
    </w:p>
    <w:p>
      <w:pPr>
        <w:ind w:left="-20" w:firstLine="656"/>
        <w:spacing w:after="0" w:line="289" w:lineRule="auto"/>
        <w:tabs>
          <w:tab w:leader="none" w:pos="9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are insured by insurers of recognized financial responsibility against such losses and risks and in such amounts as are customary in the businesses in which they are engaged or propose to engage after giving effect to the transactions described in the Statutory Prospectus and the Prospectus; all policies of insurance and fidelity or surety bonds insuring the Company or any of its subsidiaries or the Company's or its subsidiaries' respective businesses, assets, employees, officers and directors are in full force and effect; the Company and each of its subsidiaries are in compliance with the terms of such policies and instruments in all material respects; and neither the Company nor any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its subsidiaries has been denied any insurance coverage which it has sought or for which it has applied.</w:t>
      </w:r>
    </w:p>
    <w:p>
      <w:pPr>
        <w:spacing w:after="0" w:line="104" w:lineRule="exact"/>
        <w:rPr>
          <w:rFonts w:ascii="Arial" w:cs="Arial" w:eastAsia="Arial" w:hAnsi="Arial"/>
          <w:sz w:val="16"/>
          <w:szCs w:val="16"/>
          <w:color w:val="auto"/>
        </w:rPr>
      </w:pPr>
    </w:p>
    <w:p>
      <w:pPr>
        <w:ind w:left="-20" w:right="100" w:firstLine="656"/>
        <w:spacing w:after="0" w:line="255" w:lineRule="auto"/>
        <w:tabs>
          <w:tab w:leader="none" w:pos="9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the Financial Industry Regulatory Authority ("FINRA") or may be necessary to qualify the Securities for public offering by the Underwriter under the state securities or Blue Sky laws) has been obtained or made and is in full force and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12" w:name="page13"/>
    <w:bookmarkEnd w:id="12"/>
    <w:p>
      <w:pPr>
        <w:ind w:firstLine="656"/>
        <w:spacing w:after="0" w:line="259" w:lineRule="auto"/>
        <w:tabs>
          <w:tab w:leader="none" w:pos="10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are no affiliations with FINRA among the Company's officers, directors or, to the best of the knowledge of the Company, any five percent or greater stockholder of the Company, except as set forth in the Registration Statement, the Statutory Prospectus and the Prospectus or otherwise disclosed in writing to the Underwriter.</w:t>
      </w:r>
    </w:p>
    <w:p>
      <w:pPr>
        <w:spacing w:after="0" w:line="126" w:lineRule="exact"/>
        <w:rPr>
          <w:rFonts w:ascii="Arial" w:cs="Arial" w:eastAsia="Arial" w:hAnsi="Arial"/>
          <w:sz w:val="18"/>
          <w:szCs w:val="18"/>
          <w:color w:val="auto"/>
        </w:rPr>
      </w:pPr>
    </w:p>
    <w:p>
      <w:pPr>
        <w:ind w:right="80" w:firstLine="656"/>
        <w:spacing w:after="0" w:line="303" w:lineRule="auto"/>
        <w:tabs>
          <w:tab w:leader="none" w:pos="994" w:val="left"/>
        </w:tabs>
        <w:numPr>
          <w:ilvl w:val="1"/>
          <w:numId w:val="15"/>
        </w:numPr>
        <w:rPr>
          <w:rFonts w:ascii="Arial" w:cs="Arial" w:eastAsia="Arial" w:hAnsi="Arial"/>
          <w:sz w:val="15"/>
          <w:szCs w:val="15"/>
          <w:color w:val="auto"/>
        </w:rPr>
      </w:pPr>
      <w:r>
        <w:rPr>
          <w:rFonts w:ascii="Arial" w:cs="Arial" w:eastAsia="Arial" w:hAnsi="Arial"/>
          <w:sz w:val="15"/>
          <w:szCs w:val="15"/>
          <w:color w:val="auto"/>
        </w:rPr>
        <w:t>(i) Each of the Company and each of its subsidiaries is in compliance in all material respects with all rules, laws and regulation relating to the use, treatment, storage and disposal of toxic substances and protection of health or the environment ("Environmental Law") which are applicable to its business; (ii) neither the Company nor its subsidiaries has received any notice from any governmental authority or third party of an asserted claim under Environmental Laws;</w:t>
      </w:r>
    </w:p>
    <w:p>
      <w:pPr>
        <w:spacing w:after="0" w:line="1" w:lineRule="exact"/>
        <w:rPr>
          <w:rFonts w:ascii="Arial" w:cs="Arial" w:eastAsia="Arial" w:hAnsi="Arial"/>
          <w:sz w:val="15"/>
          <w:szCs w:val="15"/>
          <w:color w:val="auto"/>
        </w:rPr>
      </w:pPr>
    </w:p>
    <w:p>
      <w:pPr>
        <w:ind w:right="120" w:firstLine="8"/>
        <w:spacing w:after="0" w:line="252" w:lineRule="auto"/>
        <w:tabs>
          <w:tab w:leader="none" w:pos="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Company and each of its subsidiaries has received all permits, licenses or other approvals required of it under applicable Environmental Laws to conduct its business and is in compliance with all terms and conditions of any such permit, license or approval; (iv) to the Company's knowledge, no facts currently exist that will require the Company or any of its subsidiaries to make future material capital expenditures to comply with Environmental Laws; and (v) no property which is or has been owned, leased or occupied by the Company or its subsidiaries has been designated as a Superfund site pursuant to the Comprehensive Environmental Response, Compensation of Liability Act of 1980, as amended (42 U.S.C. Section 9601, et. seq.) or otherwise designated as a contaminated site under applicable state or local law. Neither the Company nor any of its subsidiaries has been named as a "potentially responsible party" under the CERCLA 1980.</w:t>
      </w:r>
    </w:p>
    <w:p>
      <w:pPr>
        <w:spacing w:after="0" w:line="133" w:lineRule="exact"/>
        <w:rPr>
          <w:rFonts w:ascii="Arial" w:cs="Arial" w:eastAsia="Arial" w:hAnsi="Arial"/>
          <w:sz w:val="18"/>
          <w:szCs w:val="18"/>
          <w:color w:val="auto"/>
        </w:rPr>
      </w:pPr>
    </w:p>
    <w:p>
      <w:pPr>
        <w:ind w:right="260" w:firstLine="656"/>
        <w:spacing w:after="0" w:line="294"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the ordinary course of its business, the Company periodically reviews the effect of Environmental Laws on the business, operations and properties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spacing w:after="0" w:line="102" w:lineRule="exact"/>
        <w:rPr>
          <w:rFonts w:ascii="Arial" w:cs="Arial" w:eastAsia="Arial" w:hAnsi="Arial"/>
          <w:sz w:val="16"/>
          <w:szCs w:val="16"/>
          <w:color w:val="auto"/>
        </w:rPr>
      </w:pPr>
    </w:p>
    <w:p>
      <w:pPr>
        <w:jc w:val="both"/>
        <w:ind w:right="580" w:firstLine="656"/>
        <w:spacing w:after="0" w:line="259"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Warrants and the application of proceeds thereof (including any cash exercise of the Warrants) as described in the Statutory Prospectus and the Prospectus, will not be an "investment company" within the meaning of the Investment Company Act of 1940, as amended (the "Investment Company Act").</w:t>
      </w:r>
    </w:p>
    <w:p>
      <w:pPr>
        <w:spacing w:after="0" w:line="194" w:lineRule="exact"/>
        <w:rPr>
          <w:rFonts w:ascii="Arial" w:cs="Arial" w:eastAsia="Arial" w:hAnsi="Arial"/>
          <w:sz w:val="18"/>
          <w:szCs w:val="18"/>
          <w:color w:val="auto"/>
        </w:rPr>
      </w:pPr>
    </w:p>
    <w:p>
      <w:pPr>
        <w:ind w:left="1080" w:hanging="424"/>
        <w:spacing w:after="0"/>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or any other person associated with or acting on behalf of the Company including, without limitation, any director, officer, agent or</w:t>
      </w:r>
    </w:p>
    <w:p>
      <w:pPr>
        <w:spacing w:after="0" w:line="59" w:lineRule="exact"/>
        <w:rPr>
          <w:rFonts w:ascii="Arial" w:cs="Arial" w:eastAsia="Arial" w:hAnsi="Arial"/>
          <w:sz w:val="16"/>
          <w:szCs w:val="16"/>
          <w:color w:val="auto"/>
        </w:rPr>
      </w:pPr>
    </w:p>
    <w:p>
      <w:pPr>
        <w:ind w:right="20"/>
        <w:spacing w:after="0" w:line="298" w:lineRule="auto"/>
        <w:rPr>
          <w:rFonts w:ascii="Arial" w:cs="Arial" w:eastAsia="Arial" w:hAnsi="Arial"/>
          <w:sz w:val="16"/>
          <w:szCs w:val="16"/>
          <w:color w:val="auto"/>
        </w:rPr>
      </w:pPr>
      <w:r>
        <w:rPr>
          <w:rFonts w:ascii="Arial" w:cs="Arial" w:eastAsia="Arial" w:hAnsi="Arial"/>
          <w:sz w:val="16"/>
          <w:szCs w:val="16"/>
          <w:color w:val="auto"/>
        </w:rPr>
        <w:t>employee of the Company or its subsidiaries, has not,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99" w:lineRule="exact"/>
        <w:rPr>
          <w:rFonts w:ascii="Arial" w:cs="Arial" w:eastAsia="Arial" w:hAnsi="Arial"/>
          <w:sz w:val="16"/>
          <w:szCs w:val="16"/>
          <w:color w:val="auto"/>
        </w:rPr>
      </w:pPr>
    </w:p>
    <w:p>
      <w:pPr>
        <w:ind w:right="60" w:firstLine="656"/>
        <w:spacing w:after="0" w:line="254"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30" w:lineRule="exact"/>
        <w:rPr>
          <w:rFonts w:ascii="Arial" w:cs="Arial" w:eastAsia="Arial" w:hAnsi="Arial"/>
          <w:sz w:val="18"/>
          <w:szCs w:val="18"/>
          <w:color w:val="auto"/>
        </w:rPr>
      </w:pPr>
    </w:p>
    <w:p>
      <w:pPr>
        <w:ind w:right="240" w:firstLine="656"/>
        <w:spacing w:after="0" w:line="255"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58" w:right="259" w:bottom="1440" w:gutter="0" w:footer="0" w:header="0"/>
        </w:sectPr>
      </w:pPr>
    </w:p>
    <w:bookmarkStart w:id="13" w:name="page14"/>
    <w:bookmarkEnd w:id="13"/>
    <w:p>
      <w:pPr>
        <w:ind w:left="-8" w:right="260" w:firstLine="656"/>
        <w:spacing w:after="0" w:line="256" w:lineRule="auto"/>
        <w:tabs>
          <w:tab w:leader="none" w:pos="10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and except for the issuance of the Cato Shares, the Company has not sold or issued any shares of Common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w:t>
      </w:r>
    </w:p>
    <w:p>
      <w:pPr>
        <w:spacing w:after="0" w:line="129" w:lineRule="exact"/>
        <w:rPr>
          <w:rFonts w:ascii="Arial" w:cs="Arial" w:eastAsia="Arial" w:hAnsi="Arial"/>
          <w:sz w:val="18"/>
          <w:szCs w:val="18"/>
          <w:color w:val="auto"/>
        </w:rPr>
      </w:pPr>
    </w:p>
    <w:p>
      <w:pPr>
        <w:ind w:left="-8" w:right="40" w:firstLine="656"/>
        <w:spacing w:after="0" w:line="294" w:lineRule="auto"/>
        <w:tabs>
          <w:tab w:leader="none" w:pos="10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fulfilled its obligations, if any, under the minimum funding standards of Section 302 of the U.S. Employee Retirement Income Security Act of 1974 ("ERISA") and the regulations and published interpretations thereunder with respect to each "plan" as defined in Section 3(3) of ERISA and such regulations and published interpretations in which its employees are eligible to participate and each such plan is in compliance in all material respects with the presently applicable provisions of ERISA and such regulations and published interpretations. No "Reportable Event" (as defined in 12 ERISA) has occurred with respect to any "Pension Plan" (as defined in ERISA) for which the Company could have any liability.</w:t>
      </w:r>
    </w:p>
    <w:p>
      <w:pPr>
        <w:spacing w:after="0" w:line="1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5"/>
          <w:szCs w:val="15"/>
          <w:color w:val="auto"/>
        </w:rPr>
        <w:t>(uu))  Except as described in the Registration Statement, the General Disclosure Package and the Prospectus, the Company and each of its subsidiaries:</w:t>
      </w:r>
    </w:p>
    <w:p>
      <w:pPr>
        <w:spacing w:after="0" w:line="50" w:lineRule="exact"/>
        <w:rPr>
          <w:sz w:val="20"/>
          <w:szCs w:val="20"/>
          <w:color w:val="auto"/>
        </w:rPr>
      </w:pPr>
    </w:p>
    <w:p>
      <w:pPr>
        <w:ind w:left="-8" w:firstLine="8"/>
        <w:spacing w:after="0" w:line="283" w:lineRule="auto"/>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sold, under development, manufactured or distributed by the Company or any subsidiary (“Applicable Regulatory Laws”); (B) have not received any Form 483 from the United States Food and Drug Administration (“FDA”), notice of adverse finding, warning letter, or other correspondence or written notice from the FDA, the Drug Enforcement Administration (“DEA”) or any other federal, state, local, national or foreign governmental or regulatory authority alleging or asserting noncompliance with any Applicable Regulatory Laws or any licenses, certificates, approvals, clearances, authorizations, permits and supplements or amendments thereto required by any such Applicable Regulatory Laws (“Authorizations”); (C) possess all Authorizations, if any, and such Authorizations are valid and in full force and effect and neither the Company nor any subsidiary is in material violation of any term of any such Authorizations; (D) have not received written notice of any proceeding, hearing, enforcement, investigation, arbitration or other action from the FDA, the DEA, or any other federal, state, local, national or foreign governmental or regulatory authority or third party alleging that any product, operation or activity is in violation of any Applicable Regulatory Laws or Authorizations and has no knowledge that the FDA, the DEA or any other federal, state, local, national or foreign governmental or regulatory authority or third party is considering any such proceeding; (E) have not received written notice that the FDA, DEA or any other federal, state, local, national or foreign governmental or regulatory authority has taken, is taking or intends to take action to limit, suspend, modify or revoke any Authorizations and has no knowledge that the FDA, DEA or any other federal, state, local, national or foreign governmental or regulatory authority is considering such action; (F) have filed, obtained, maintained or submitted all reports, documents, forms, notices, applications, records, claims, submissions and supplements or amendments as required by any Applicable Regulatory Laws or Authorizations except where the failure to file such reports, documents, forms, notices, applications, records, claims, submissions and supplements or amendments would not result in a Material Adverse Effect on the Company and its subsidiaries, taken as a whole, and that all such reports, documents, forms, notices, applications, records, claims, submissions and supplements or amendments were complete and correct on the date filed (or were corrected or supplemented by a subsequent submission); and (G) has, and, if still pending, is, to the Company’s knowledge, conducting all clinical and preclinical studies in all material respects in accordance with experimental protocols, procedures and controls generally used by qualified experts in the clinical or preclinical study of new drugs or diagnostics as applied to comparable products to those being developed by the Company. The descriptions of the results of such studies, trials and tests contained in the Registration Statement, the Statutory Prospectus and the Prospectus are accurate and complete in all material respects, and except as set forth in the Registration Statement, the Statutory Prospectus and the Prospectus, the Company has no knowledge of any other trials, studies or tests, the results of which the Company believes reasonably calls into question the clinical trials, results described or referred to in the Registration Statement and the Prospectus when viewed in the context in which such results are described and the clinical state of development.</w:t>
      </w:r>
    </w:p>
    <w:p>
      <w:pPr>
        <w:spacing w:after="0" w:line="3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09" w:right="259" w:bottom="1440" w:gutter="0" w:footer="0" w:header="0"/>
        </w:sectPr>
      </w:pPr>
    </w:p>
    <w:bookmarkStart w:id="14" w:name="page15"/>
    <w:bookmarkEnd w:id="14"/>
    <w:p>
      <w:pPr>
        <w:ind w:left="-8" w:right="660" w:firstLine="8"/>
        <w:spacing w:after="0" w:line="268" w:lineRule="auto"/>
        <w:tabs>
          <w:tab w:leader="none" w:pos="60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Conditions of the Underwriter’s Obligations</w:t>
      </w:r>
      <w:r>
        <w:rPr>
          <w:rFonts w:ascii="Arial" w:cs="Arial" w:eastAsia="Arial" w:hAnsi="Arial"/>
          <w:sz w:val="18"/>
          <w:szCs w:val="18"/>
          <w:color w:val="auto"/>
        </w:rPr>
        <w:t>. The obligation of the Underwriter to purchase the Shares and the Warrants is subject to each of the following terms and conditions:</w:t>
      </w:r>
    </w:p>
    <w:p>
      <w:pPr>
        <w:spacing w:after="0" w:line="118" w:lineRule="exact"/>
        <w:rPr>
          <w:rFonts w:ascii="Arial" w:cs="Arial" w:eastAsia="Arial" w:hAnsi="Arial"/>
          <w:sz w:val="18"/>
          <w:szCs w:val="18"/>
          <w:color w:val="auto"/>
        </w:rPr>
      </w:pPr>
    </w:p>
    <w:p>
      <w:pPr>
        <w:ind w:left="-8" w:firstLine="656"/>
        <w:spacing w:after="0" w:line="286" w:lineRule="auto"/>
        <w:tabs>
          <w:tab w:leader="none" w:pos="9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4(a) of this Agreement and any material required to be filed by the Company pursuant to Rule 433(d) of the Rules shall have been timely filed with the Commission in accordance with such rule.</w:t>
      </w:r>
    </w:p>
    <w:p>
      <w:pPr>
        <w:ind w:left="-8" w:right="20" w:firstLine="656"/>
        <w:spacing w:after="0" w:line="287" w:lineRule="auto"/>
        <w:tabs>
          <w:tab w:leader="none" w:pos="977"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the Prospectus or any “free writing prospectus” (as defined in Rule 405 of the Rules)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 satisfaction of the Commission and the Underwriter. If the Company has elected to rely upon Rule 430B, Rule 430B information previously omitted from the effective Registration Statement pursuant to Rule 430B shall have been transmitted to the Commission for filing pursuant to Rule 424(b) within the prescribed time period and the Company shall have provided evidence satisfactory to the Underwriter of such timely filing, or a post-effective amendment providing such information shall have been promptly filed and declared effective in accordance with the requirements of Rule 430B.</w:t>
      </w:r>
    </w:p>
    <w:p>
      <w:pPr>
        <w:spacing w:after="0" w:line="178" w:lineRule="exact"/>
        <w:rPr>
          <w:rFonts w:ascii="Arial" w:cs="Arial" w:eastAsia="Arial" w:hAnsi="Arial"/>
          <w:sz w:val="16"/>
          <w:szCs w:val="16"/>
          <w:color w:val="auto"/>
        </w:rPr>
      </w:pPr>
    </w:p>
    <w:p>
      <w:pPr>
        <w:jc w:val="both"/>
        <w:ind w:left="-8" w:right="260" w:firstLine="656"/>
        <w:spacing w:after="0" w:line="306" w:lineRule="auto"/>
        <w:tabs>
          <w:tab w:leader="none" w:pos="9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this Agreement and in the certificate delivered pursuant to Section 3(d) shall be true and correct when made and on and as of the Closing Date as if made on such date. The Company shall have performed all covenants and agreements and satisfied all the conditions contained in this Agreement required to be performed or satisfied by them at or before the Closing Date.</w:t>
      </w:r>
    </w:p>
    <w:p>
      <w:pPr>
        <w:spacing w:after="0" w:line="93" w:lineRule="exact"/>
        <w:rPr>
          <w:rFonts w:ascii="Arial" w:cs="Arial" w:eastAsia="Arial" w:hAnsi="Arial"/>
          <w:sz w:val="16"/>
          <w:szCs w:val="16"/>
          <w:color w:val="auto"/>
        </w:rPr>
      </w:pPr>
    </w:p>
    <w:p>
      <w:pPr>
        <w:ind w:left="-8" w:right="40" w:firstLine="656"/>
        <w:spacing w:after="0" w:line="286" w:lineRule="auto"/>
        <w:tabs>
          <w:tab w:leader="none" w:pos="97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a certificate, addressed to the Underwriter and dated the Closing Date, of the chief executive or chief operating officer and the chief financial officer or chief accounting officer of the Company to the effect that: (i) the representations, warranties and agreements of the Company in this Agreement were true and correct when made and are true and correct as of the Closing Date; (ii) the Company has performed all covenants and agreements and satisfied all conditions contained herein; (iii) they have carefully examined the Registration Statement, the Prospectus, the General Disclosure Package and any Issuer Free Writing Prospectus, and in their opinion (A) as of the Effective Date the Registration Statement and Prospectus did not include, and as of the Applicable Time, neither (i) the General Disclosure Package, nor (ii) any individual Issuer Free Writing Prospectus, when considered together with the General Disclosure Package, included any untrue statement of a material fact and did not omit to state a material fact required to be stated therein or necessary to make the statements therein, in light of the circumstances under which they were made, not misleading, and (B) since the Effective Date no event has occurred which should have been set forth in a supplement or otherwise required an amendment to the Registration Statement, the Statutory Prospectus or the Prospectus; (iv) no stop order suspending the effectiveness of the Registration Statement has been issued and, to their knowledge, no proceedings for that purpose have been instituted or are pending under the Securities Act and (v) there has not occurred any material adverse change in the assets, properties, condition, financial or otherwise, or in the results of operations, business affairs or business prospects of the Company and its subsidiaries considered as a whole.</w:t>
      </w:r>
    </w:p>
    <w:p>
      <w:pPr>
        <w:spacing w:after="0" w:line="107" w:lineRule="exact"/>
        <w:rPr>
          <w:rFonts w:ascii="Arial" w:cs="Arial" w:eastAsia="Arial" w:hAnsi="Arial"/>
          <w:sz w:val="16"/>
          <w:szCs w:val="16"/>
          <w:color w:val="auto"/>
        </w:rPr>
      </w:pPr>
    </w:p>
    <w:p>
      <w:pPr>
        <w:ind w:left="-8" w:right="40" w:firstLine="656"/>
        <w:spacing w:after="0" w:line="290" w:lineRule="auto"/>
        <w:tabs>
          <w:tab w:leader="none" w:pos="9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Underwriter shall have received: (i) simultaneously with the execution of this Agreement a signed letter from the Auditor addressed to the Underwriter and dated the date of this Agreement, in form and substance reasonably satisfactory to the Underwriter, containing statements and information of the type ordinarily included in accountants’ “comfort letters” to underwriters with respect to the financial statements and certain financial information contained in the Registration Statement and the Disclosure Package, and (ii) on the Closing Date, a signed letter from the Auditor addressed to the Underwriter and dated the date of the Closing Date, in form and substance reasonably satisfactory to the Underwriter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09" w:right="259" w:bottom="1440" w:gutter="0" w:footer="0" w:header="0"/>
        </w:sectPr>
      </w:pPr>
    </w:p>
    <w:bookmarkStart w:id="15" w:name="page16"/>
    <w:bookmarkEnd w:id="15"/>
    <w:p>
      <w:pPr>
        <w:ind w:left="-40" w:right="440" w:firstLine="656"/>
        <w:spacing w:after="0" w:line="332" w:lineRule="auto"/>
        <w:tabs>
          <w:tab w:leader="none" w:pos="9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from Disclosure Law Group LLP, counsel for the Company, an opinion and negative assurance statement, addressed to the Underwriter and dated the Closing Date, in form and substance reasonably satisfactory to the Underwriter.</w:t>
      </w:r>
    </w:p>
    <w:p>
      <w:pPr>
        <w:spacing w:after="0" w:line="71" w:lineRule="exact"/>
        <w:rPr>
          <w:rFonts w:ascii="Arial" w:cs="Arial" w:eastAsia="Arial" w:hAnsi="Arial"/>
          <w:sz w:val="16"/>
          <w:szCs w:val="16"/>
          <w:color w:val="auto"/>
        </w:rPr>
      </w:pPr>
    </w:p>
    <w:p>
      <w:pPr>
        <w:ind w:left="-40" w:right="360" w:firstLine="656"/>
        <w:spacing w:after="0" w:line="332" w:lineRule="auto"/>
        <w:tabs>
          <w:tab w:leader="none" w:pos="9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from Reid Adler, Esq., intellectual property counsel for the Company, an opinion and negative assurance statement, addressed to the Underwriter and dated the Closing Date, in form and substance reasonably satisfactory to the Underwriter.</w:t>
      </w:r>
    </w:p>
    <w:p>
      <w:pPr>
        <w:spacing w:after="0" w:line="99" w:lineRule="exact"/>
        <w:rPr>
          <w:sz w:val="20"/>
          <w:szCs w:val="20"/>
          <w:color w:val="auto"/>
        </w:rPr>
      </w:pPr>
    </w:p>
    <w:p>
      <w:pPr>
        <w:ind w:left="-40" w:right="380" w:firstLine="700"/>
        <w:spacing w:after="0" w:line="332" w:lineRule="auto"/>
        <w:tabs>
          <w:tab w:leader="none" w:pos="999"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from Lowenstein Sandler LLP, counsel for the Underwriter, an opinion and negative assurance statement, addressed to the Underwriter and dated the Closing Date, in form and substance reasonably satisfactory to the Underwriter.</w:t>
      </w:r>
    </w:p>
    <w:p>
      <w:pPr>
        <w:spacing w:after="0" w:line="71" w:lineRule="exact"/>
        <w:rPr>
          <w:rFonts w:ascii="Arial" w:cs="Arial" w:eastAsia="Arial" w:hAnsi="Arial"/>
          <w:sz w:val="16"/>
          <w:szCs w:val="16"/>
          <w:color w:val="auto"/>
        </w:rPr>
      </w:pPr>
    </w:p>
    <w:p>
      <w:pPr>
        <w:ind w:left="-40" w:right="40" w:firstLine="656"/>
        <w:spacing w:after="0" w:line="268" w:lineRule="auto"/>
        <w:tabs>
          <w:tab w:leader="none" w:pos="8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proceedings taken in connection with the sale of the Shares and the Warrants as herein contemplated shall be reasonably satisfactory in form and substance to the Underwriter and its counsel.</w:t>
      </w:r>
    </w:p>
    <w:p>
      <w:pPr>
        <w:spacing w:after="0" w:line="118" w:lineRule="exact"/>
        <w:rPr>
          <w:rFonts w:ascii="Arial" w:cs="Arial" w:eastAsia="Arial" w:hAnsi="Arial"/>
          <w:sz w:val="18"/>
          <w:szCs w:val="18"/>
          <w:color w:val="auto"/>
        </w:rPr>
      </w:pPr>
    </w:p>
    <w:p>
      <w:pPr>
        <w:ind w:left="-40" w:right="300" w:firstLine="656"/>
        <w:spacing w:after="0" w:line="268" w:lineRule="auto"/>
        <w:tabs>
          <w:tab w:leader="none" w:pos="9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prior to the execution and delivery of this Agreement, the Underwriter shall have received copies of the Lock-up Agreements executed by each entity or person listed on Schedule II hereto.</w:t>
      </w:r>
    </w:p>
    <w:p>
      <w:pPr>
        <w:spacing w:after="0" w:line="118" w:lineRule="exact"/>
        <w:rPr>
          <w:rFonts w:ascii="Arial" w:cs="Arial" w:eastAsia="Arial" w:hAnsi="Arial"/>
          <w:sz w:val="18"/>
          <w:szCs w:val="18"/>
          <w:color w:val="auto"/>
        </w:rPr>
      </w:pPr>
    </w:p>
    <w:p>
      <w:pPr>
        <w:ind w:left="-40" w:right="180" w:firstLine="656"/>
        <w:spacing w:after="0" w:line="259" w:lineRule="auto"/>
        <w:tabs>
          <w:tab w:leader="none" w:pos="9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have submitted a Notification Form: Listing of Additional Shares Application with the Nasdaq Capital Market with respect to the Shares and Warrant Shares and the Nasdaq Capital Market shall have raised no objection with respect to the listing of the Shares and the Warrant Shares which has not been resolved to the reasonable satisfaction of the Underwriter on or before the Closing Date.</w:t>
      </w:r>
    </w:p>
    <w:p>
      <w:pPr>
        <w:spacing w:after="0" w:line="126" w:lineRule="exact"/>
        <w:rPr>
          <w:rFonts w:ascii="Arial" w:cs="Arial" w:eastAsia="Arial" w:hAnsi="Arial"/>
          <w:sz w:val="18"/>
          <w:szCs w:val="18"/>
          <w:color w:val="auto"/>
        </w:rPr>
      </w:pPr>
    </w:p>
    <w:p>
      <w:pPr>
        <w:ind w:left="-40" w:right="20" w:firstLine="656"/>
        <w:spacing w:after="0" w:line="286" w:lineRule="auto"/>
        <w:tabs>
          <w:tab w:leader="none" w:pos="9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Underwriter shall be reasonably satisfied that since the respective dates as of which information is given in the Registration Statement, the Statutory Prospectus, the General Disclosure Package and the Prospectus, (i) there shall not have been any material change in the capital stock of the Company or any material change in the indebtedness (other than in the ordinary course of business) of the Company, (ii) except as set forth or contemplated by the Registration Statement, the Statutory Prospectus, the General Disclosure Package or the Prospectus, no material oral or written agreement or other transaction shall have been entered into by the Company that is not in the ordinary course of business or that could reasonably be expected to result in a material reduction in the future earnings of the Company, (iii) no loss or damage (whether or not insured) to the property of the Company shall have been sustained that had or could reasonably be expected to have a Material Adverse Effect, (iv) no legal or governmental action, suit or proceeding affecting the Company or any of its properties that is material to the Company or that affects or could reasonably be expected to affect the transactions contemplated by this Agreement shall have been instituted or threatened and (v) there shall not have been any material change in the assets, properties, condition (financial or otherwise), or in the results of operations, business affairs or business prospects of the Company or its subsidiaries considered as a whole that makes it impractical or inadvisable in the Underwriter’s judgment to proceed with the purchase or offering of the Shares and the Warrants as contemplated hereby.</w:t>
      </w:r>
    </w:p>
    <w:p>
      <w:pPr>
        <w:spacing w:after="0" w:line="113" w:lineRule="exact"/>
        <w:rPr>
          <w:rFonts w:ascii="Arial" w:cs="Arial" w:eastAsia="Arial" w:hAnsi="Arial"/>
          <w:sz w:val="16"/>
          <w:szCs w:val="16"/>
          <w:color w:val="auto"/>
        </w:rPr>
      </w:pPr>
    </w:p>
    <w:p>
      <w:pPr>
        <w:ind w:left="-40" w:right="140" w:firstLine="656"/>
        <w:spacing w:after="0" w:line="268" w:lineRule="auto"/>
        <w:tabs>
          <w:tab w:leader="none" w:pos="9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before the Closing Date, FINRA shall have confirmed that it has not raised any objection with respect to the fairness and reasonableness of the underwriting terms and agreements in connection with the offering of the Shares and the Warrants.</w:t>
      </w:r>
    </w:p>
    <w:p>
      <w:pPr>
        <w:spacing w:after="0" w:line="118" w:lineRule="exact"/>
        <w:rPr>
          <w:rFonts w:ascii="Arial" w:cs="Arial" w:eastAsia="Arial" w:hAnsi="Arial"/>
          <w:sz w:val="18"/>
          <w:szCs w:val="18"/>
          <w:color w:val="auto"/>
        </w:rPr>
      </w:pPr>
    </w:p>
    <w:p>
      <w:pPr>
        <w:ind w:left="-40" w:firstLine="656"/>
        <w:spacing w:after="0" w:line="268" w:lineRule="auto"/>
        <w:tabs>
          <w:tab w:leader="none" w:pos="9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Underwriter such further certificates or documents as the Underwriter shall have reasonably requested.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6" w:name="page17"/>
    <w:bookmarkEnd w:id="16"/>
    <w:p>
      <w:pPr>
        <w:ind w:left="172" w:hanging="172"/>
        <w:spacing w:after="0"/>
        <w:tabs>
          <w:tab w:leader="none" w:pos="1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Covenants and other Agreements of the Company and the Underwriter</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72" w:hanging="324"/>
        <w:spacing w:after="0"/>
        <w:tabs>
          <w:tab w:leader="none" w:pos="9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158" w:lineRule="exact"/>
        <w:rPr>
          <w:sz w:val="20"/>
          <w:szCs w:val="20"/>
          <w:color w:val="auto"/>
        </w:rPr>
      </w:pPr>
    </w:p>
    <w:p>
      <w:pPr>
        <w:ind w:left="-8" w:right="220" w:firstLine="656"/>
        <w:spacing w:after="0" w:line="256" w:lineRule="auto"/>
        <w:tabs>
          <w:tab w:leader="none" w:pos="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prepare the Prospectus in a form approved by the Underwriter and file such Prospectus pursuant to Rule 424(b) under the Securities Act not later than the Commission's close of business on the second business day following the execution and delivery of this Agreement, or, if applicable, such earlier time as may be required by the Rules. The Company will file with the Commission all Issuer Free Writing Prospectuses in the time and manner required under Rules 433(d) or 163(b)(2) as the case may be.</w:t>
      </w:r>
    </w:p>
    <w:p>
      <w:pPr>
        <w:spacing w:after="0" w:line="156" w:lineRule="exact"/>
        <w:rPr>
          <w:rFonts w:ascii="Arial" w:cs="Arial" w:eastAsia="Arial" w:hAnsi="Arial"/>
          <w:sz w:val="18"/>
          <w:szCs w:val="18"/>
          <w:color w:val="auto"/>
        </w:rPr>
      </w:pPr>
    </w:p>
    <w:p>
      <w:pPr>
        <w:ind w:left="-8" w:firstLine="656"/>
        <w:spacing w:after="0" w:line="287" w:lineRule="auto"/>
        <w:tabs>
          <w:tab w:leader="none" w:pos="9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shall promptly advise the Underwriter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any “free writing prospectus,” as defined in Rule 405 of the Rules, or the institution or threatening of any proceeding for that purpose and (D) of the receipt by the Company of any notification with respect to the suspension of the qualification of the Securities for sale in any jurisdiction or the initiation or threatening of any proceeding for such purpose. The Company shall not file any amendment of the Registration Statement or supplement to the Prospectus or any document incorporated by reference in the Registration Statement, or any Issuer Free Writing Prospectus unless the Company has furnished the Underwriter a copy for its review prior to filing and shall not file any such proposed amendment or supplement to which the Underwriter reasonably objects. The Company shall use its best efforts to prevent the issuance of any such stop order and, if issued, to obtain as soon as possible the withdrawal thereof.</w:t>
      </w:r>
    </w:p>
    <w:p>
      <w:pPr>
        <w:spacing w:after="0" w:line="136" w:lineRule="exact"/>
        <w:rPr>
          <w:rFonts w:ascii="Arial" w:cs="Arial" w:eastAsia="Arial" w:hAnsi="Arial"/>
          <w:sz w:val="16"/>
          <w:szCs w:val="16"/>
          <w:color w:val="auto"/>
        </w:rPr>
      </w:pPr>
    </w:p>
    <w:p>
      <w:pPr>
        <w:ind w:left="-8" w:right="20" w:firstLine="656"/>
        <w:spacing w:after="0" w:line="291" w:lineRule="auto"/>
        <w:tabs>
          <w:tab w:leader="none" w:pos="10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(or, in lieu thereof, the notice referred to in Rule 173(a) of the Rules) is required to be delivered under the Securities Act and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4(a), an amendment or supplement which shall correct such statement or omission or an amendment which shall effect such compliance.</w:t>
      </w:r>
    </w:p>
    <w:p>
      <w:pPr>
        <w:spacing w:after="0" w:line="133" w:lineRule="exact"/>
        <w:rPr>
          <w:rFonts w:ascii="Arial" w:cs="Arial" w:eastAsia="Arial" w:hAnsi="Arial"/>
          <w:sz w:val="16"/>
          <w:szCs w:val="16"/>
          <w:color w:val="auto"/>
        </w:rPr>
      </w:pPr>
    </w:p>
    <w:p>
      <w:pPr>
        <w:ind w:left="-8" w:firstLine="656"/>
        <w:spacing w:after="0" w:line="294" w:lineRule="auto"/>
        <w:tabs>
          <w:tab w:leader="none" w:pos="10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at any time following issuance of an Issuer Free Writing Prospectus there occurs an event or development as a result of which such Issuer Free Writing Prospectus would conflict with the information contained in the Registration Statement or would include an untrue statement of a material fact or would omit to state a material fact required to be stated therein or necessary in order to make the statements therein, in the light of the circumstances prevailing at the subsequent time, not misleading, the Company will promptly notify the Underwriter and will promptly amend or supplement, at its own expense, such Issuer Free Writing Prospectus to eliminate or correct such conflict, untrue statement or omission.</w:t>
      </w:r>
    </w:p>
    <w:p>
      <w:pPr>
        <w:spacing w:after="0" w:line="129" w:lineRule="exact"/>
        <w:rPr>
          <w:rFonts w:ascii="Arial" w:cs="Arial" w:eastAsia="Arial" w:hAnsi="Arial"/>
          <w:sz w:val="16"/>
          <w:szCs w:val="16"/>
          <w:color w:val="auto"/>
        </w:rPr>
      </w:pPr>
    </w:p>
    <w:p>
      <w:pPr>
        <w:jc w:val="both"/>
        <w:ind w:left="-8" w:right="80" w:firstLine="656"/>
        <w:spacing w:after="0" w:line="256" w:lineRule="auto"/>
        <w:tabs>
          <w:tab w:leader="none" w:pos="9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make generally available to its security holders and to the Underwriter as soon as practicable, but not later than 45 days after the end of the 12-month period beginning at the end of the fiscal quarter of the Company during which the Effective Date occurs (or 90 days if such 12-month period coincides with the Company's fiscal year), an earning statement (which need not be audited) of the Company, covering such 12-month period, which shall satisfy the provisions of Section 11(a) of the Securities Act or Rule 158 of the Rules.</w:t>
      </w:r>
    </w:p>
    <w:p>
      <w:pPr>
        <w:spacing w:after="0" w:line="156" w:lineRule="exact"/>
        <w:rPr>
          <w:rFonts w:ascii="Arial" w:cs="Arial" w:eastAsia="Arial" w:hAnsi="Arial"/>
          <w:sz w:val="18"/>
          <w:szCs w:val="18"/>
          <w:color w:val="auto"/>
        </w:rPr>
      </w:pPr>
    </w:p>
    <w:p>
      <w:pPr>
        <w:ind w:left="-8" w:right="160" w:firstLine="656"/>
        <w:spacing w:after="0" w:line="291" w:lineRule="auto"/>
        <w:tabs>
          <w:tab w:leader="none" w:pos="10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shall furnish to the Underwriter and its counsel, without charge, signed copies of the Registration Statement (including all exhibits thereto and amendments thereof) and all amendments thereof and, so long as delivery of a prospectus by the Underwriter or dealer may be required by the Securities Act or the Rules, as many copies of any Preliminary Prospectus, any Issuer Free Writing Prospectus and the Prospectus and any amendments thereof and supplements thereto as the Underwriter may reasonably request. If applicable, the copies of the Registration Statement, preliminary prospectus, any Issuer Free Writing Prospectus and Prospectus and each amendment and supplement thereto furnished to the Underwriter will be identical to the electronically transmitted copies thereof filed with the Commission pursuant to EDGAR, except to the extent permitted by Regulation S-T.</w:t>
      </w:r>
    </w:p>
    <w:p>
      <w:pPr>
        <w:spacing w:after="0" w:line="3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09" w:right="259" w:bottom="1440" w:gutter="0" w:footer="0" w:header="0"/>
        </w:sectPr>
      </w:pPr>
    </w:p>
    <w:bookmarkStart w:id="17" w:name="page18"/>
    <w:bookmarkEnd w:id="17"/>
    <w:p>
      <w:pPr>
        <w:ind w:right="80" w:firstLine="656"/>
        <w:spacing w:after="0" w:line="323" w:lineRule="auto"/>
        <w:tabs>
          <w:tab w:leader="none" w:pos="1092"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shall cooperate with the Underwriter and its counsel in endeavoring to qualify the Securities for offer and sale in connection with the offering under the laws of such jurisdictions as the Underwriter may designate and shall maintain such qualifications in effect so long as required for the distribution of the Shares and the Warrants;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11" w:lineRule="exact"/>
        <w:rPr>
          <w:rFonts w:ascii="Arial" w:cs="Arial" w:eastAsia="Arial" w:hAnsi="Arial"/>
          <w:sz w:val="15"/>
          <w:szCs w:val="15"/>
          <w:color w:val="auto"/>
        </w:rPr>
      </w:pPr>
    </w:p>
    <w:p>
      <w:pPr>
        <w:ind w:right="40" w:firstLine="656"/>
        <w:spacing w:after="0" w:line="306" w:lineRule="auto"/>
        <w:tabs>
          <w:tab w:leader="none" w:pos="11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during the period when the Prospectus (or in lieu thereof, the notice referred to in Rule 173(a) of the Rules)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120" w:lineRule="exact"/>
        <w:rPr>
          <w:rFonts w:ascii="Arial" w:cs="Arial" w:eastAsia="Arial" w:hAnsi="Arial"/>
          <w:sz w:val="16"/>
          <w:szCs w:val="16"/>
          <w:color w:val="auto"/>
        </w:rPr>
      </w:pPr>
    </w:p>
    <w:p>
      <w:pPr>
        <w:ind w:right="80" w:firstLine="656"/>
        <w:spacing w:after="0" w:line="286" w:lineRule="auto"/>
        <w:tabs>
          <w:tab w:leader="none" w:pos="10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Without the prior written consent of the Underwriter, for a period of 75 days after the date of this Agreement, the Company shall not issue, sell or register with the Commission (other than on Form S-8 or on any successor form), or otherwise dispose of, directly or indirectly, any equity securities of the Company (or any securities convertible into, exercisable for or exchangeable for equity securities of the Company), except for (i) the issuance of the Securities pursuant to the Registration Statement; (ii) the issuance of shares pursuant to the Company's existing stock option plan or bonus plan as described in the Registration Statement and the Prospectus and (iii) the issuance of the Cato Shares. In the event that during this period, (A) any shares are issued pursuant to the Company's existing stock option plan or bonus plan that are exercisable during such 75 day period or (B) any registration is effected on Form S-8 or on any successor form relating to shares that are exercisable during such 75 day period, the Company shall obtain the written agreement of such grantee or purchaser or holder of such registered securities that, for a period of 75 days after the date of this Agreement, such person will not, without the prior written consent of the Underwriter, offer for sale, sell, distribute, grant any option for the sale of, or otherwise dispose of, directly or indirectly, or exercise any registration rights with respect to, any shares of Common Stock (or any securities convertible into, exercisable for, or exchangeable for any shares of Common Stock) owned by such person. Notwithstanding the foregoing, the Company represents and warrants that each such grantee or purchaser or holder of such registered securities shall be subject to similar lockup restrictions as set forth on Exhibit A attached hereto and the Company shall enforce such rights and impose stop-transfer restrictions on any such sale or other transfer or disposition of such shares until the end of the applicable period.</w:t>
      </w:r>
    </w:p>
    <w:p>
      <w:pPr>
        <w:spacing w:after="0" w:line="134" w:lineRule="exact"/>
        <w:rPr>
          <w:rFonts w:ascii="Arial" w:cs="Arial" w:eastAsia="Arial" w:hAnsi="Arial"/>
          <w:sz w:val="16"/>
          <w:szCs w:val="16"/>
          <w:color w:val="auto"/>
        </w:rPr>
      </w:pPr>
    </w:p>
    <w:p>
      <w:pPr>
        <w:ind w:left="1000" w:hanging="344"/>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before completion of this offering, the Company shall make all filings required under applicable securities laws and by the Nasdaq Capital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78" w:lineRule="exact"/>
        <w:rPr>
          <w:rFonts w:ascii="Arial" w:cs="Arial" w:eastAsia="Arial" w:hAnsi="Arial"/>
          <w:sz w:val="16"/>
          <w:szCs w:val="16"/>
          <w:color w:val="auto"/>
        </w:rPr>
      </w:pPr>
    </w:p>
    <w:p>
      <w:pPr>
        <w:jc w:val="both"/>
        <w:ind w:right="160" w:firstLine="656"/>
        <w:spacing w:after="0" w:line="256" w:lineRule="auto"/>
        <w:tabs>
          <w:tab w:leader="none" w:pos="10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Closing Date, the Company will issue no press release or other communications directly or indirectly and hold no press conference with respect to the Company, the condition, financial or otherwise, or the earnings, business affairs or business prospects of any of them, or the offering of the Securities without the prior written consent of the Underwriter unless in the judgment of the Company and its counsel, and after notification to the Underwriter, such press release or communication is required by law.</w:t>
      </w:r>
    </w:p>
    <w:p>
      <w:pPr>
        <w:spacing w:after="0" w:line="156" w:lineRule="exact"/>
        <w:rPr>
          <w:rFonts w:ascii="Arial" w:cs="Arial" w:eastAsia="Arial" w:hAnsi="Arial"/>
          <w:sz w:val="18"/>
          <w:szCs w:val="18"/>
          <w:color w:val="auto"/>
        </w:rPr>
      </w:pPr>
    </w:p>
    <w:p>
      <w:pPr>
        <w:ind w:left="1100" w:hanging="444"/>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will apply the net proceeds from the offering of the Shares and the Warrants in the manner set forth under "Use of Proceeds"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Prospectus.</w:t>
      </w:r>
    </w:p>
    <w:p>
      <w:pPr>
        <w:spacing w:after="0" w:line="151" w:lineRule="exact"/>
        <w:rPr>
          <w:sz w:val="20"/>
          <w:szCs w:val="20"/>
          <w:color w:val="auto"/>
        </w:rPr>
      </w:pPr>
    </w:p>
    <w:p>
      <w:pPr>
        <w:ind w:firstLine="656"/>
        <w:spacing w:after="0" w:line="284" w:lineRule="auto"/>
        <w:tabs>
          <w:tab w:leader="none" w:pos="9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agrees to pay, or reimburse if paid by the Underwriter, whether or not the transactions contemplated hereby are consummated or this Agreement is terminated, all costs and expenses incident to the public offering of the Securities and the performance of the obligations of the Company under this Agreement including those relating to: (i) the preparation, printing, reproduction filing and distribution of the Registration Statement including all exhibits thereto, each Preliminary Prospectus, the Prospectus, any Issuer Free Writing Prospectus, all amendments and supplements thereto and any document incorporated by reference therein, and the printing, filing and distribution of this Agreement; (ii) the preparation and delivery of certificates for the Warrants to or as directed by the Underwriter (iii) the registration or qualification of the Securities for offer and sale under the securities or Blue Sky laws of the various jurisdictions referred to in Section 4(a)(vii) of this Agreement, including the reasonable fees and disbursements of counsel for the Underwriter in connection with such registration and qualification and the preparation, printing, distribution and shipment of preliminary and supplementary Blue Sky memoranda; (iv) the furnishing (including costs of shipping and mailing) to the Underwriter of copies of each Preliminary Prospectus, the Prospectus and all amendments or supplements to the Prospectus, any Issuer Free Writing Prospectus and of the several documents required by this Section to be so furnished, as may be reasonably requested for use in connection with the offering and sale of the Shares and the Warrants by the Underwriter or by dealers to whom Shares and Warrants may be sold; (v) the filing fees of FINRA in connection with its review of the terms of the public offering and reasonable fees and disbursements of counsel for the Underwriter in connection with such review; (vi) listing of the Shares and the Warrant Shares on the Nasdaq Capital Market; and (vii) all transfer taxes, if any, with respect to the sale and delivery of the Shares and the Warrants by the Company to the Underwriter. The Company will reimburse the Underwriter for its reasonable expenses, in an amount not to exceed $20,000 without prior written approval by the Company, and will reimburse the Underwriter for legal fees and disbursements, in connection with the purchase and sale of the Shares and the Warrants contemplated hereby in an amount not to exceed $85,000 (including amounts payable pursuant to clauses (iii) and (v) above). Subject to the provisions of Section 7, the Underwriter agrees to pay, whether or not the transactions contemplated hereby are consummated or this Agreement is terminated, all costs and expenses incident to the performance of the obligations of the Underwriter under this Agreement not payable by the Company pursuant to this paragraph, including, without limitation, the fees and disbursements of counsel for the Underwriter in excess of the Company’s reimbursement obligation as set forth above.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85" w:right="279" w:bottom="1440" w:gutter="0" w:footer="0" w:header="0"/>
        </w:sectPr>
      </w:pPr>
    </w:p>
    <w:bookmarkStart w:id="18" w:name="page19"/>
    <w:bookmarkEnd w:id="18"/>
    <w:p>
      <w:pPr>
        <w:ind w:right="20" w:firstLine="656"/>
        <w:spacing w:after="0" w:line="286" w:lineRule="auto"/>
        <w:tabs>
          <w:tab w:leader="none" w:pos="9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 has acted and is acting solely in the capacity of a principal in an arm’s length transaction between the Company, on the one hand, and the Underwriter, on the other hand, with respect to the offering of the Shares and the Warrants contemplated hereby (including in connection with determining the terms of the offering) and not as a financial advisor, agent or fiduciary to the Company or any other person. Additionally, the Company acknowledges and agrees that the Underwriter has not and will not advise the Company or any other person as to any legal, tax, investment, accounting or regulatory matters in any jurisdiction. The Company has consulted with its own advisors concerning such matters and shall be responsible for making its own independent investigation and appraisal of the transactions contemplated hereby, and the Underwriter shall have no responsibility or liability to the Company or any other person with respect thereto, whether arising prior to or after the date hereof. Any review by the Underwriter of the Company, the transactions contemplated hereby or other matters relating to such transactions have been and will be performed solely for the benefit of the Underwriter and shall not be on behalf of the Company. The Company agrees that it will not claim that the Underwriter, or any of them, has rendered advisory services of any nature or respect, or owes a fiduciary duty to the Company or any other person in connection with any such transaction or the process leading thereto.</w:t>
      </w:r>
    </w:p>
    <w:p>
      <w:pPr>
        <w:spacing w:after="0" w:line="113" w:lineRule="exact"/>
        <w:rPr>
          <w:rFonts w:ascii="Arial" w:cs="Arial" w:eastAsia="Arial" w:hAnsi="Arial"/>
          <w:sz w:val="16"/>
          <w:szCs w:val="16"/>
          <w:color w:val="auto"/>
        </w:rPr>
      </w:pPr>
    </w:p>
    <w:p>
      <w:pPr>
        <w:ind w:right="100" w:firstLine="656"/>
        <w:spacing w:after="0" w:line="291" w:lineRule="auto"/>
        <w:tabs>
          <w:tab w:leader="none" w:pos="98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consent of the Underwriter, and the Underwriter represents and agrees that, unless it obtains the prior consent of the Company, it has not made and will not make any offer relating to the Shares that would constitute an “issuer free writing prospectus,” as defined in Rule 433, or that would otherwise constitute a “free writing prospectus,” as defined in Rule 405, required to be filed with the Commission. The Company has complied and will comply with the requirements of Rule 433 under the Act applicable to any Issuer Free Writing Prospectus, including timely filing with the Commission where required, legending and record keeping. The Company represents that is has satisfied and agrees that it will satisfy the conditions set forth in Rule 433 of the Rules to avoid a requirement to file with the Commission any Road Show.</w:t>
      </w:r>
    </w:p>
    <w:p>
      <w:pPr>
        <w:spacing w:after="0" w:line="106" w:lineRule="exact"/>
        <w:rPr>
          <w:rFonts w:ascii="Arial" w:cs="Arial" w:eastAsia="Arial" w:hAnsi="Arial"/>
          <w:sz w:val="16"/>
          <w:szCs w:val="16"/>
          <w:color w:val="auto"/>
        </w:rPr>
      </w:pPr>
    </w:p>
    <w:p>
      <w:pPr>
        <w:ind w:left="220" w:hanging="168"/>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656"/>
        <w:spacing w:after="0" w:line="285" w:lineRule="auto"/>
        <w:tabs>
          <w:tab w:leader="none" w:pos="97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Underwriter, its officers and employees and each person, if any, who controls the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it, or any of them, may become subject under the Securities Act, the Exchange Act or other Federal or state law or regulation, at common law or otherwise, insofar as such losses, claims, damages or liabilities arise out of or are based upon any untrue statement or alleged untrue statement of a material fact contained in any preliminary prospectus, the Registration Statement, the Statutory Prospectus, the Prospectus, any Issuer Free Writing Prospectus or any “issuer-information” filed or required to be filed pursuant to Rule 433(d) of the Rules, any amendment thereof or supplement thereto, or in any Blue Sky application or other information or other documents executed by the Company filed in any state or other jurisdiction to qualify any or all of the Securities under the securities laws thereof (any such application, document or information being hereinafter referred to as a "Blue Sky Application") or arise out of or are based upon any omission or alleged omission to state therein a material fact required to be stated therein or necessary to make the statements therein (except in the case of the Registration Statement, in light of the circumstances under which they were made) not misleading; provided, however, that such indemnity shall not inure to the benefit of the Underwriter (or any person controlling the Underwriter) on account of any losses, claims, damages or liabilities arising from the sale of the Shares and the Warrants to any person by the Underwriter if such untrue statement or omission or alleged untrue statement or omission was made in such preliminary prospectus, the Registration Statement, the Prospectus, the Statutory Prospectus, any Issuer Free Writing Prospectus or such amendment or supplement thereto, or in any Blue Sky Application in reliance upon and in conformity with the Underwriter Information. This indemnity agreement will be in addition to any liability which the Company may otherwise have.</w:t>
      </w:r>
    </w:p>
    <w:p>
      <w:pPr>
        <w:spacing w:after="0" w:line="110" w:lineRule="exact"/>
        <w:rPr>
          <w:rFonts w:ascii="Arial" w:cs="Arial" w:eastAsia="Arial" w:hAnsi="Arial"/>
          <w:sz w:val="16"/>
          <w:szCs w:val="16"/>
          <w:color w:val="auto"/>
        </w:rPr>
      </w:pPr>
    </w:p>
    <w:p>
      <w:pPr>
        <w:ind w:firstLine="656"/>
        <w:spacing w:after="0" w:line="286" w:lineRule="auto"/>
        <w:tabs>
          <w:tab w:leader="none" w:pos="981"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Underwriter agrees to indemnify and hold harmless the Company and each person, if any, who controls the Company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any preliminary prospectus, the Registration Statement, the Statutory Prospectus, the Prospectus, or any Issuer Free Writing Prospectus or any “issuer-information” filed or required to be filed pursuant to Rule 433(d) of the Rules,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the Statutory Prospectus, the Prospectus, any Issuer Free Writing Prospectus or any such amendment or supplement thereto in reliance upon and in conformity with the Underwriter Information; provided, however, that the obligation of the Underwriter to indemnify the Company (including any controlling person, director or officer thereof) shall be limited to the amount of the underwriting discount and commissions applicable to the Shares and the Warrants to be purchased by the Underwriter hereunder.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ind w:firstLine="656"/>
        <w:spacing w:after="0" w:line="284" w:lineRule="auto"/>
        <w:tabs>
          <w:tab w:leader="none" w:pos="96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party that proposes to assert the right to be indemnified under this Section will, promptly after receipt of notice of commencement of any action, suit or proceeding against such party in respect of which a claim is to be made against an indemnifying party or parties under this Section, notify each such indemnifying party of the commencement of such action, suit or proceeding, enclosing a copy of all papers served. No indemnification provided for in Section 5(a) or 5(b) shall be available to any party who shall fail to give notice as provided in this Section 5(c) if the party to whom notice was not given was unaware of the proceeding to which such notice would have related and was prejudiced by the failure to give such notice but the omission so to notify such indemnifying party of any such action, suit or proceeding shall not relieve it from any liability that it may have to any indemnified party for contribution or otherwise than under this Section.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subsequently incurred by such indemnified party in connection with the defense thereof. 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indemnified party shall have been advised by counsel that there may be one or more legal defenses available to it which are different from or in addition to those available to the indemnifying party (in which case the indemnifying parties shall not have the right to direct the defense of such action on behalf of the indemnified party) or (iii) the indemnifying parties shall not have employed counsel to assume the defense of such action within a reasonable time after notice of the commencement thereof, in each of which cases the fees and expenses of counsel shall be at the expense of the indemnifying parties. An indemnifying party shall not be liable for any settlement of any action, suit, and proceeding or claim effected without its written consent, which consent shall not be unreasonably withheld or delayed.</w:t>
      </w:r>
    </w:p>
    <w:p>
      <w:pPr>
        <w:spacing w:after="0" w:line="117" w:lineRule="exact"/>
        <w:rPr>
          <w:rFonts w:ascii="Arial" w:cs="Arial" w:eastAsia="Arial" w:hAnsi="Arial"/>
          <w:sz w:val="16"/>
          <w:szCs w:val="16"/>
          <w:color w:val="auto"/>
        </w:rPr>
      </w:pPr>
    </w:p>
    <w:p>
      <w:pPr>
        <w:ind w:right="80" w:firstLine="8"/>
        <w:spacing w:after="0" w:line="283" w:lineRule="auto"/>
        <w:tabs>
          <w:tab w:leader="none" w:pos="61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Section 5(a) or 5(b) is due in accordance with its terms but for any reason is unavailable to or insufficient to hold harmless an indemnified party in respect to any losses, liabilities, claims, damages or expenses referred to therein, then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on the one hand and the Underwriter on the other hand from the offering of the Shares and the Warrants pursuant to this Agreement or, if such allocation is not permitted by applicable law, in such proportion as is appropriate to reflect not only the relative benefits referred to above but also the relative fault of the Company on the one hand and the Underwriter on the other hand in connection with the statements or omissions which resulted in such losses, liabilities, claims, damages or expenses, as well as any other relevant equitable considerations. The Company and the Underwriter agree that it would not be just and equitable if contribution pursuant to this Section 6 were determined by pro rata allocation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6, the Underwriter shall not be required to contribute any amount in excess of the underwriting discounts and commissions applicable to the Shares and the Warrants purchased by the Underwriter. No person guilty of fraudulent misrepresentation (within the meaning of Section 11(f) of the Securities Act) shall be entitled to contribution from any person who was not guilty of such fraudulent misrepresentation. For purposes of this Section 6, each person, if any, who controls the Underwriter within the meaning of Section 15 of the Securities Act or Section 20 of the Exchange Act shall have the same rights to contribution as the Underwriter, and each director of the Company, each officer of the Company who signed the Registration Statement, and each person, if any, who controls the Company within the meaning of the Section 15 of the Securities Act or Section 20 of the Exchange Act,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under this Section 6, notify such party or parties from whom contribution may be sought, but the omission so to notify such party or parties from whom contribution may be sought shall not relieve the party or parties from whom contribution may be sought from any other obligation it or they may have hereunder or otherwise than under this Section 6. No party shall be liable for contribution with respect to any action, suit, proceeding or claim settled without its written consent.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20" w:name="page21"/>
    <w:bookmarkEnd w:id="20"/>
    <w:p>
      <w:pPr>
        <w:ind w:left="620" w:hanging="61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656"/>
        <w:spacing w:after="0" w:line="285" w:lineRule="auto"/>
        <w:tabs>
          <w:tab w:leader="none" w:pos="97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This Agreement may be terminated with respect to the Shares and the Warrants to be purchased at the Closing Date by the Underwriter by notifying the Company at any time at or before the Closing Date in the absolute discretion of the Underwriter if: (i) there has occurred any material adverse change in the securities markets or any event, act or occurrence that has materially disrupted, or in the opinion of the Underwriter,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Underwriter, inadvisable or impracticable to market the Shares and the Warrants or enforce contracts for the sale of the Shares and the Warrants; (ii) there has occurred any outbreak or material escalation of hostilities or acts of terrorism or other calamity or crisis the effect of which on the financial markets of the United States is such as to make it, in the judgment of the Underwriter, inadvisable or impracticable to market the Shares and the Warrants or enforce contracts for the sale of the Shares and the Warrants; (iii) trading in the Shares or any securities of the Company has been suspended or materially limited by the Commission or trading generally on the New York Stock Exchange, Inc., the NYSE American or the Nasdaq Stock Market has been suspended or materially limited, or minimum or maximum ranges for prices for securities shall have been fixed, or maximum ranges for prices for securities have been required, by any of said exchanges or by such system or by order of the Commission, FINRA, or any other governmental or regulatory authority; or (iv) a banking moratorium has been declared by any state or Federal authority; or (v) in the judgment of the Underwriter, there has been, since the time of execution of this Agreement or since the respective dates as of which information is given in the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w:t>
      </w:r>
    </w:p>
    <w:p>
      <w:pPr>
        <w:spacing w:after="0" w:line="112" w:lineRule="exact"/>
        <w:rPr>
          <w:rFonts w:ascii="Arial" w:cs="Arial" w:eastAsia="Arial" w:hAnsi="Arial"/>
          <w:sz w:val="16"/>
          <w:szCs w:val="16"/>
          <w:color w:val="auto"/>
        </w:rPr>
      </w:pPr>
    </w:p>
    <w:p>
      <w:pPr>
        <w:ind w:right="120" w:firstLine="656"/>
        <w:spacing w:after="0" w:line="290" w:lineRule="auto"/>
        <w:tabs>
          <w:tab w:leader="none" w:pos="985"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this Agreement is terminated pursuant to any of its provisions, the Company shall not be under any liability to the Underwriter, and the Underwriter shall not be under any liability to the Company, except that (x) if this Agreement is terminated by the Underwriter because of any failure, refusal or inability on the part of the Company to comply with the terms or to fulfill any of the conditions of this Agreement, the Company will reimburse the Underwriter for all out-of-pocket expenses (including the reasonable fees and disbursements of their counsel) incurred by them in connection with the proposed purchase and sale of the Shares and the Warrants or in contemplation of performing their obligations hereunder and (y) if the Underwriter shall have failed or refused to purchase the Shares and the Warrants agreed to be purchased by it under this Agreement, without some reason sufficient hereunder to justify cancellation or termination of its obligations under this Agreement, it shall not be relieved of liability to the Company for damages occasioned by its failure or refusal.</w:t>
      </w:r>
    </w:p>
    <w:p>
      <w:pPr>
        <w:spacing w:after="0" w:line="104" w:lineRule="exact"/>
        <w:rPr>
          <w:rFonts w:ascii="Arial" w:cs="Arial" w:eastAsia="Arial" w:hAnsi="Arial"/>
          <w:sz w:val="16"/>
          <w:szCs w:val="16"/>
          <w:color w:val="auto"/>
        </w:rPr>
      </w:pPr>
    </w:p>
    <w:p>
      <w:pPr>
        <w:ind w:left="620" w:hanging="61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respective agreements, representations, warranties, indemnities and other statements of the Company and the Underwriter, as set forth in this Agreement or made by or on behalf of them pursuant to this Agreement, shall remain in full force and effect, regardless of any investigation (or any statement as to the results thereof) made by or on behalf of the Underwriter or the Company or any of their respective officers, directors or controlling persons referred to in Sections 5 and 6 hereof, and shall survive delivery of and payment for the Shares and the Warrants. In addition, the provisions of Sections 4(b), 5, 6 and 7 shall survive the termination or cancellation of this Agreement.</w:t>
      </w:r>
    </w:p>
    <w:p>
      <w:pPr>
        <w:spacing w:after="0" w:line="129" w:lineRule="exact"/>
        <w:rPr>
          <w:sz w:val="20"/>
          <w:szCs w:val="20"/>
          <w:color w:val="auto"/>
        </w:rPr>
      </w:pPr>
    </w:p>
    <w:p>
      <w:pPr>
        <w:ind w:right="340" w:firstLine="648"/>
        <w:spacing w:after="0" w:line="298" w:lineRule="auto"/>
        <w:rPr>
          <w:sz w:val="20"/>
          <w:szCs w:val="20"/>
          <w:color w:val="auto"/>
        </w:rPr>
      </w:pPr>
      <w:r>
        <w:rPr>
          <w:rFonts w:ascii="Arial" w:cs="Arial" w:eastAsia="Arial" w:hAnsi="Arial"/>
          <w:sz w:val="16"/>
          <w:szCs w:val="16"/>
          <w:color w:val="auto"/>
        </w:rPr>
        <w:t>This Agreement has been and is made for the benefit of the Underwriter, the Company and their respective successors and assigns, and, to the extent expressed herein, for the benefit of persons controlling the Underwriter, or the Company, and directors and officers of the Company, and their respective successors and assigns, and no other person shall acquire or have any right under or by virtue of this Agreement. The term "successors and assigns" shall not include any purchaser of Shares and Warrants from the Underwriter merely because of such purchase.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notices and communications hereunder shall be in writing and mailed or delivered or by telephone or telegraph if subsequently confirmed in writing,</w:t>
      </w:r>
    </w:p>
    <w:p>
      <w:pPr>
        <w:spacing w:after="0" w:line="38" w:lineRule="exact"/>
        <w:rPr>
          <w:sz w:val="20"/>
          <w:szCs w:val="20"/>
          <w:color w:val="auto"/>
        </w:rPr>
      </w:pPr>
    </w:p>
    <w:p>
      <w:pPr>
        <w:ind w:right="220" w:firstLine="8"/>
        <w:spacing w:after="0" w:line="253" w:lineRule="auto"/>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to the Underwriter, c/o Oppenheimer &amp; Co. Inc., 85 Broad Street, New York, New York 10004 Attention: Equity Capital Markets, with a copy to Oppenheimer &amp; Co. Inc., 85 Broad Street, New York, New York 10004 Attention: General Counsel, and to Lowenstein Sandler LLP, 1251 Avenue of the Americas, New York, New York 10020, Attention: John D. Hogoboom and (b) if to the Company, to its agent for service as such agent's address appears on the cover page of the Registration Statement with a copy to Disclosure Law Group, a Professional Corporation, 600 West Broadway, Suite 700, San Diego, California, 92101, Attention: Jessica Sudweeks.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spacing w:after="0" w:line="339" w:lineRule="auto"/>
        <w:rPr>
          <w:sz w:val="20"/>
          <w:szCs w:val="20"/>
          <w:color w:val="auto"/>
        </w:rPr>
      </w:pPr>
      <w:r>
        <w:rPr>
          <w:rFonts w:ascii="Arial" w:cs="Arial" w:eastAsia="Arial" w:hAnsi="Arial"/>
          <w:sz w:val="16"/>
          <w:szCs w:val="16"/>
          <w:b w:val="1"/>
          <w:bCs w:val="1"/>
          <w:color w:val="auto"/>
        </w:rPr>
        <w:t xml:space="preserve">This Agreement shall be governed by and construed in accordance with the laws of the State of New York. </w:t>
      </w:r>
      <w:r>
        <w:rPr>
          <w:rFonts w:ascii="Arial" w:cs="Arial" w:eastAsia="Arial" w:hAnsi="Arial"/>
          <w:sz w:val="16"/>
          <w:szCs w:val="16"/>
          <w:color w:val="auto"/>
        </w:rPr>
        <w:t>This Agreement may be signed in any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shall be an original, with the same effect as if the signatures thereto and hereto were upon the same instrument.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that the foregoing correctly sets forth the agreement among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Shawn Singh</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Confirmed: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Helenek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Eric Helenek</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SCHEDULE I</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center"/>
              <w:ind w:left="712"/>
              <w:spacing w:after="0"/>
              <w:rPr>
                <w:sz w:val="20"/>
                <w:szCs w:val="20"/>
                <w:color w:val="auto"/>
              </w:rPr>
            </w:pPr>
            <w:r>
              <w:rPr>
                <w:rFonts w:ascii="Arial" w:cs="Arial" w:eastAsia="Arial" w:hAnsi="Arial"/>
                <w:sz w:val="18"/>
                <w:szCs w:val="18"/>
                <w:b w:val="1"/>
                <w:bCs w:val="1"/>
                <w:color w:val="auto"/>
                <w:w w:val="88"/>
              </w:rPr>
              <w:t>Number of</w:t>
            </w:r>
          </w:p>
        </w:tc>
        <w:tc>
          <w:tcPr>
            <w:tcW w:w="8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Series A1 Warrants to</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Number of Series A2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center"/>
              <w:ind w:left="712"/>
              <w:spacing w:after="0"/>
              <w:rPr>
                <w:sz w:val="20"/>
                <w:szCs w:val="20"/>
                <w:color w:val="auto"/>
              </w:rPr>
            </w:pPr>
            <w:r>
              <w:rPr>
                <w:rFonts w:ascii="Arial" w:cs="Arial" w:eastAsia="Arial" w:hAnsi="Arial"/>
                <w:sz w:val="18"/>
                <w:szCs w:val="18"/>
                <w:b w:val="1"/>
                <w:bCs w:val="1"/>
                <w:color w:val="auto"/>
                <w:w w:val="82"/>
              </w:rPr>
              <w:t>Shares to</w:t>
            </w:r>
          </w:p>
        </w:tc>
        <w:tc>
          <w:tcPr>
            <w:tcW w:w="8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6"/>
              </w:rPr>
              <w:t>Be Purchased</w:t>
            </w:r>
          </w:p>
        </w:tc>
        <w:tc>
          <w:tcPr>
            <w:tcW w:w="2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Warrants to Be Purchased</w:t>
            </w:r>
          </w:p>
        </w:tc>
        <w:tc>
          <w:tcPr>
            <w:tcW w:w="0" w:type="dxa"/>
            <w:vAlign w:val="bottom"/>
          </w:tcPr>
          <w:p>
            <w:pPr>
              <w:spacing w:after="0"/>
              <w:rPr>
                <w:sz w:val="1"/>
                <w:szCs w:val="1"/>
                <w:color w:val="auto"/>
              </w:rPr>
            </w:pPr>
          </w:p>
        </w:tc>
      </w:tr>
      <w:tr>
        <w:trPr>
          <w:trHeight w:val="237"/>
        </w:trPr>
        <w:tc>
          <w:tcPr>
            <w:tcW w:w="3900" w:type="dxa"/>
            <w:vAlign w:val="bottom"/>
            <w:gridSpan w:val="2"/>
          </w:tcPr>
          <w:p>
            <w:pPr>
              <w:ind w:left="1560"/>
              <w:spacing w:after="0"/>
              <w:rPr>
                <w:sz w:val="20"/>
                <w:szCs w:val="20"/>
                <w:color w:val="auto"/>
              </w:rPr>
            </w:pPr>
            <w:r>
              <w:rPr>
                <w:rFonts w:ascii="Arial" w:cs="Arial" w:eastAsia="Arial" w:hAnsi="Arial"/>
                <w:sz w:val="18"/>
                <w:szCs w:val="18"/>
                <w:b w:val="1"/>
                <w:bCs w:val="1"/>
                <w:color w:val="auto"/>
              </w:rPr>
              <w:t>Name</w:t>
            </w:r>
          </w:p>
        </w:tc>
        <w:tc>
          <w:tcPr>
            <w:tcW w:w="2040" w:type="dxa"/>
            <w:vAlign w:val="bottom"/>
          </w:tcPr>
          <w:p>
            <w:pPr>
              <w:jc w:val="center"/>
              <w:ind w:left="712"/>
              <w:spacing w:after="0"/>
              <w:rPr>
                <w:sz w:val="20"/>
                <w:szCs w:val="20"/>
                <w:color w:val="auto"/>
              </w:rPr>
            </w:pPr>
            <w:r>
              <w:rPr>
                <w:rFonts w:ascii="Arial" w:cs="Arial" w:eastAsia="Arial" w:hAnsi="Arial"/>
                <w:sz w:val="18"/>
                <w:szCs w:val="18"/>
                <w:b w:val="1"/>
                <w:bCs w:val="1"/>
                <w:color w:val="auto"/>
                <w:w w:val="86"/>
              </w:rPr>
              <w:t>Be Purchased</w:t>
            </w:r>
          </w:p>
        </w:tc>
        <w:tc>
          <w:tcPr>
            <w:tcW w:w="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Oppenheimer &amp; Co. Inc.</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1,371,430</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ind w:right="872"/>
              <w:spacing w:after="0"/>
              <w:rPr>
                <w:sz w:val="20"/>
                <w:szCs w:val="20"/>
                <w:color w:val="auto"/>
              </w:rPr>
            </w:pPr>
            <w:r>
              <w:rPr>
                <w:rFonts w:ascii="Arial" w:cs="Arial" w:eastAsia="Arial" w:hAnsi="Arial"/>
                <w:sz w:val="18"/>
                <w:szCs w:val="18"/>
                <w:color w:val="auto"/>
              </w:rPr>
              <w:t>1,371,430</w:t>
            </w:r>
          </w:p>
        </w:tc>
        <w:tc>
          <w:tcPr>
            <w:tcW w:w="2400" w:type="dxa"/>
            <w:vAlign w:val="bottom"/>
          </w:tcPr>
          <w:p>
            <w:pPr>
              <w:jc w:val="right"/>
              <w:ind w:right="652"/>
              <w:spacing w:after="0"/>
              <w:rPr>
                <w:sz w:val="20"/>
                <w:szCs w:val="20"/>
                <w:color w:val="auto"/>
              </w:rPr>
            </w:pPr>
            <w:r>
              <w:rPr>
                <w:rFonts w:ascii="Arial" w:cs="Arial" w:eastAsia="Arial" w:hAnsi="Arial"/>
                <w:sz w:val="18"/>
                <w:szCs w:val="18"/>
                <w:color w:val="auto"/>
              </w:rPr>
              <w:t>1,388,931</w:t>
            </w:r>
          </w:p>
        </w:tc>
        <w:tc>
          <w:tcPr>
            <w:tcW w:w="1320" w:type="dxa"/>
            <w:vAlign w:val="bottom"/>
          </w:tcPr>
          <w:p>
            <w:pPr>
              <w:jc w:val="right"/>
              <w:spacing w:after="0"/>
              <w:rPr>
                <w:sz w:val="20"/>
                <w:szCs w:val="20"/>
                <w:color w:val="auto"/>
              </w:rPr>
            </w:pPr>
            <w:r>
              <w:rPr>
                <w:rFonts w:ascii="Arial" w:cs="Arial" w:eastAsia="Arial" w:hAnsi="Arial"/>
                <w:sz w:val="18"/>
                <w:szCs w:val="18"/>
                <w:color w:val="auto"/>
              </w:rPr>
              <w:t>503,641</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4" w:name="page25"/>
    <w:bookmarkEnd w:id="24"/>
    <w:p>
      <w:pPr>
        <w:jc w:val="center"/>
        <w:ind w:right="-120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3799"/>
        <w:spacing w:after="0"/>
        <w:rPr>
          <w:sz w:val="20"/>
          <w:szCs w:val="20"/>
          <w:color w:val="auto"/>
        </w:rPr>
      </w:pPr>
      <w:r>
        <w:rPr>
          <w:rFonts w:ascii="Arial" w:cs="Arial" w:eastAsia="Arial" w:hAnsi="Arial"/>
          <w:sz w:val="18"/>
          <w:szCs w:val="18"/>
          <w:color w:val="auto"/>
        </w:rPr>
        <w:t>Lock-up Signatories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 Ralph Snodgrass,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S. Saxe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Underdown,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B. Gin,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Smith,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color w:val="auto"/>
        </w:rPr>
        <w:t>SCHEDULE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(to be provided orally only)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to be Issued: 1,371,430 shares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Number of Series A1 Warrants to be Issued: Warrants to Purchase 1,388,931 shares of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Series A1 Warrant Coverage: 101.28%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A1 Warrant Exercise Price: $1.82 per share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Number of Series A2 Warrants to be Issued: Warrants to Purchase 503,641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A2 Warrant Coverage: 36.72%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A2 Warrant Exercise Price: $1.82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$1.75 per share and related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26" w:name="page27"/>
    <w:bookmarkEnd w:id="26"/>
    <w:p>
      <w:pPr>
        <w:jc w:val="right"/>
        <w:ind w:right="3939"/>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WARRANT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w:t>
      </w:r>
      <w:r>
        <w:rPr>
          <w:rFonts w:ascii="Arial" w:cs="Arial" w:eastAsia="Arial" w:hAnsi="Arial"/>
          <w:sz w:val="18"/>
          <w:szCs w:val="18"/>
          <w:u w:val="single" w:color="auto"/>
          <w:color w:val="auto"/>
        </w:rPr>
        <w:t>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 2017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14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VistaGen 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[HOLDER],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March 7, 2018 (the “</w:t>
      </w:r>
      <w:r>
        <w:rPr>
          <w:rFonts w:ascii="Arial" w:cs="Arial" w:eastAsia="Arial" w:hAnsi="Arial"/>
          <w:sz w:val="16"/>
          <w:szCs w:val="16"/>
          <w:b w:val="1"/>
          <w:bCs w:val="1"/>
          <w:color w:val="auto"/>
        </w:rPr>
        <w:t>Initial Exercisability Date</w:t>
      </w:r>
      <w:r>
        <w:rPr>
          <w:rFonts w:ascii="Arial" w:cs="Arial" w:eastAsia="Arial" w:hAnsi="Arial"/>
          <w:sz w:val="16"/>
          <w:szCs w:val="16"/>
          <w:color w:val="auto"/>
        </w:rPr>
        <w:t>”), but not after 11:59 p.m., New York time, on the Expiration Date, (as defined below), ______________</w:t>
      </w:r>
    </w:p>
    <w:p>
      <w:pPr>
        <w:spacing w:after="0" w:line="3"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w:t>
      </w:r>
      <w:hyperlink w:anchor="page28">
        <w:r>
          <w:rPr>
            <w:rFonts w:ascii="Arial" w:cs="Arial" w:eastAsia="Arial" w:hAnsi="Arial"/>
            <w:sz w:val="11"/>
            <w:szCs w:val="11"/>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fully paid non-assessable shares of Common Stock (as defined below),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16. This Warrant is one of the Warrants to purchase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issued pursuant to (i) that certain Underwriting Agreement, dated as of [ ], 2017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between the Company and Oppenheimer &amp; Co. Inc., (ii) the Company's Registration Statement on Form S-3 (File number 333-215671)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w:t>
      </w:r>
    </w:p>
    <w:p>
      <w:pPr>
        <w:spacing w:after="0" w:line="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prospectus supplement dated as of [ ], 2017.</w:t>
      </w:r>
    </w:p>
    <w:p>
      <w:pPr>
        <w:spacing w:after="0" w:line="178" w:lineRule="exact"/>
        <w:rPr>
          <w:rFonts w:ascii="Arial" w:cs="Arial" w:eastAsia="Arial" w:hAnsi="Arial"/>
          <w:sz w:val="18"/>
          <w:szCs w:val="18"/>
          <w:color w:val="auto"/>
        </w:rPr>
      </w:pPr>
    </w:p>
    <w:p>
      <w:pPr>
        <w:ind w:left="1660" w:hanging="355"/>
        <w:spacing w:after="0"/>
        <w:tabs>
          <w:tab w:leader="none" w:pos="16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184" w:lineRule="exact"/>
        <w:rPr>
          <w:rFonts w:ascii="Arial" w:cs="Arial" w:eastAsia="Arial" w:hAnsi="Arial"/>
          <w:sz w:val="18"/>
          <w:szCs w:val="18"/>
          <w:color w:val="auto"/>
        </w:rPr>
      </w:pPr>
    </w:p>
    <w:p>
      <w:pPr>
        <w:ind w:right="40" w:firstLine="1953"/>
        <w:spacing w:after="0" w:line="278" w:lineRule="auto"/>
        <w:tabs>
          <w:tab w:leader="none" w:pos="2356"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Exercisability Date, in whole or in part, by delivery (whether via facsimile, electronic mail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if the provisions of Section 1(d) are applicable, by notifying the Company that this Warrant is being exercised 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Trading Day following the date on which the Company has received the applicable Exercise Notice, the Company shall transmit by facsimile or electronic mail an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w:t>
      </w:r>
    </w:p>
    <w:p>
      <w:pPr>
        <w:spacing w:after="0" w:line="332" w:lineRule="exact"/>
        <w:rPr>
          <w:sz w:val="20"/>
          <w:szCs w:val="20"/>
          <w:color w:val="auto"/>
        </w:rPr>
      </w:pPr>
    </w:p>
    <w:p>
      <w:pPr>
        <w:ind w:right="20" w:firstLine="8"/>
        <w:spacing w:after="0" w:line="212" w:lineRule="auto"/>
        <w:tabs>
          <w:tab w:leader="none" w:pos="116"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138% of the number of shares of Common Stock purchased under the Underwriting Agreement by such Holder less the number of Series A-2 Warrants to be issued to such Holder.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line="284" w:lineRule="auto"/>
        <w:rPr>
          <w:sz w:val="20"/>
          <w:szCs w:val="20"/>
          <w:color w:val="auto"/>
        </w:rPr>
      </w:pPr>
      <w:r>
        <w:rPr>
          <w:rFonts w:ascii="Arial" w:cs="Arial" w:eastAsia="Arial" w:hAnsi="Arial"/>
          <w:sz w:val="16"/>
          <w:szCs w:val="16"/>
          <w:color w:val="auto"/>
        </w:rPr>
        <w:t>Exercise) on or prior to the first (1st) Trading Day following the date on which the Exercise Notice has been delivered to the Company, then on or prior to the first (1st) Trading Day following the date on which the Aggregate Exercise Price (or notice of a Cashless Exercise) is delivered (such earlier date, the “</w:t>
      </w:r>
      <w:r>
        <w:rPr>
          <w:rFonts w:ascii="Arial" w:cs="Arial" w:eastAsia="Arial" w:hAnsi="Arial"/>
          <w:sz w:val="16"/>
          <w:szCs w:val="16"/>
          <w:b w:val="1"/>
          <w:bCs w:val="1"/>
          <w:color w:val="auto"/>
        </w:rPr>
        <w:t>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132" w:lineRule="exact"/>
        <w:rPr>
          <w:sz w:val="20"/>
          <w:szCs w:val="20"/>
          <w:color w:val="auto"/>
        </w:rPr>
      </w:pPr>
    </w:p>
    <w:p>
      <w:pPr>
        <w:ind w:left="2380" w:hanging="427"/>
        <w:spacing w:after="0"/>
        <w:tabs>
          <w:tab w:leader="none" w:pos="238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For purposes of this Warrant, "</w:t>
      </w:r>
      <w:r>
        <w:rPr>
          <w:rFonts w:ascii="Arial" w:cs="Arial" w:eastAsia="Arial" w:hAnsi="Arial"/>
          <w:sz w:val="15"/>
          <w:szCs w:val="15"/>
          <w:b w:val="1"/>
          <w:bCs w:val="1"/>
          <w:color w:val="auto"/>
        </w:rPr>
        <w:t>Exercise Price</w:t>
      </w:r>
      <w:r>
        <w:rPr>
          <w:rFonts w:ascii="Arial" w:cs="Arial" w:eastAsia="Arial" w:hAnsi="Arial"/>
          <w:sz w:val="15"/>
          <w:szCs w:val="15"/>
          <w:color w:val="auto"/>
        </w:rPr>
        <w:t>" means $1.82 per share, subject to adjustment as provided herein.</w:t>
      </w:r>
    </w:p>
    <w:p>
      <w:pPr>
        <w:spacing w:after="0" w:line="225" w:lineRule="exact"/>
        <w:rPr>
          <w:rFonts w:ascii="Arial" w:cs="Arial" w:eastAsia="Arial" w:hAnsi="Arial"/>
          <w:sz w:val="15"/>
          <w:szCs w:val="15"/>
          <w:color w:val="auto"/>
        </w:rPr>
      </w:pPr>
    </w:p>
    <w:p>
      <w:pPr>
        <w:ind w:right="100" w:firstLine="1953"/>
        <w:spacing w:after="0" w:line="286" w:lineRule="auto"/>
        <w:tabs>
          <w:tab w:leader="none" w:pos="235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either (I) the Company shall fail for any reason or for no reason to issue to the Holder on or prior to the applicable Share Delivery Date, if (x) the Transfer Agent is not participating in the DTC Fast Automated Securities Transfer Program, a certificate for the number of shares of Common Stock to which the Holder is entitled and register such Common Stock on the Company's share register or (y) the Transfer Agent is participating in the DTC Fast Automated Securities Transfer Program,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Arial" w:cs="Arial" w:eastAsia="Arial" w:hAnsi="Arial"/>
          <w:sz w:val="16"/>
          <w:szCs w:val="16"/>
          <w:b w:val="1"/>
          <w:bCs w:val="1"/>
          <w:color w:val="auto"/>
        </w:rPr>
        <w:t>Exercise Notice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issuance or resale, as applicable, of such Exercise Notice Warrant Shares and (x) the Company fails to promptly, but in no event</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Arial" w:cs="Arial" w:eastAsia="Arial" w:hAnsi="Arial"/>
          <w:sz w:val="16"/>
          <w:szCs w:val="16"/>
          <w:b w:val="1"/>
          <w:bCs w:val="1"/>
          <w:color w:val="auto"/>
        </w:rPr>
        <w:t>Notice Failure</w:t>
      </w:r>
      <w:r>
        <w:rPr>
          <w:rFonts w:ascii="Arial" w:cs="Arial" w:eastAsia="Arial" w:hAnsi="Arial"/>
          <w:sz w:val="16"/>
          <w:szCs w:val="16"/>
          <w:color w:val="auto"/>
        </w:rPr>
        <w:t>" and together with the event described in clause (I) above, an "</w:t>
      </w:r>
      <w:r>
        <w:rPr>
          <w:rFonts w:ascii="Arial" w:cs="Arial" w:eastAsia="Arial" w:hAnsi="Arial"/>
          <w:sz w:val="16"/>
          <w:szCs w:val="16"/>
          <w:b w:val="1"/>
          <w:bCs w:val="1"/>
          <w:color w:val="auto"/>
        </w:rPr>
        <w:t>Exercise Failure</w:t>
      </w:r>
      <w:r>
        <w:rPr>
          <w:rFonts w:ascii="Arial" w:cs="Arial" w:eastAsia="Arial" w:hAnsi="Arial"/>
          <w:sz w:val="16"/>
          <w:szCs w:val="16"/>
          <w:color w:val="auto"/>
        </w:rPr>
        <w:t>"), then, in addition to all other remedies available to the Holder, if on or prior to the applicable Share Delivery Date either (I) if the Transfer Agent is not participating in the DTC Fast Automated Securities Transfer Program, the Company shall fail to issue and deliver a certificate to the Holder and register such shares of Common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spacing w:after="0" w:line="283" w:lineRule="auto"/>
        <w:rPr>
          <w:sz w:val="20"/>
          <w:szCs w:val="20"/>
          <w:color w:val="auto"/>
        </w:rPr>
      </w:pPr>
      <w:r>
        <w:rPr>
          <w:rFonts w:ascii="Arial" w:cs="Arial" w:eastAsia="Arial" w:hAnsi="Arial"/>
          <w:sz w:val="16"/>
          <w:szCs w:val="16"/>
          <w:color w:val="auto"/>
        </w:rPr>
        <w:t>Stock on the Company's share register or, if the Transfer Agent is participating in the DTC Fast Automated Securities Transfer Program, credit the Holder's balance account with DTC for the number of shares of Common Stock to which the Holder is entitled upon the Holder's exercise hereunder or pursuant to the Company's obligation pursuant to clause (ii) below or (II) a Notice Failure occurs, and if on or after such Trading Day the Holder purchases (in an open market transaction or otherwise) Common Stock to deliver in satisfaction of a sale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any trading price of the Common Stock selected by the Holder in writing as in effect at any time during the period beginning on the applicable Exercise Date and ending on the applicable Share Delivery Date.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Warrant Shares (or to electronically deliver such Warrant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151" w:lineRule="exact"/>
        <w:rPr>
          <w:sz w:val="20"/>
          <w:szCs w:val="20"/>
          <w:color w:val="auto"/>
        </w:rPr>
      </w:pPr>
    </w:p>
    <w:p>
      <w:pPr>
        <w:ind w:right="20" w:firstLine="1953"/>
        <w:spacing w:after="0" w:line="294" w:lineRule="auto"/>
        <w:tabs>
          <w:tab w:leader="none" w:pos="236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a registration statement (which may be the Registration Statement) covering the issuance or resale of the Exercise Notice Warrant Shares is not available for the issuance or resale, as applicable, of such Exercise Notice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left="196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58" w:lineRule="exact"/>
        <w:rPr>
          <w:sz w:val="20"/>
          <w:szCs w:val="20"/>
          <w:color w:val="auto"/>
        </w:rPr>
      </w:pPr>
    </w:p>
    <w:p>
      <w:pPr>
        <w:jc w:val="both"/>
        <w:ind w:left="1620" w:hanging="323"/>
        <w:spacing w:after="0" w:line="283"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Weighted Average Price on the Trading Day immediately preceding the date of the applicable Notice of Exercise or</w:t>
      </w:r>
    </w:p>
    <w:p>
      <w:pPr>
        <w:spacing w:after="0" w:line="2" w:lineRule="exact"/>
        <w:rPr>
          <w:sz w:val="20"/>
          <w:szCs w:val="20"/>
          <w:color w:val="auto"/>
        </w:rPr>
      </w:pPr>
    </w:p>
    <w:p>
      <w:pPr>
        <w:jc w:val="both"/>
        <w:ind w:left="1620" w:firstLine="9"/>
        <w:spacing w:after="0" w:line="253" w:lineRule="auto"/>
        <w:tabs>
          <w:tab w:leader="none" w:pos="18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15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1(d).</w:t>
      </w:r>
    </w:p>
    <w:p>
      <w:pPr>
        <w:spacing w:after="0" w:line="224" w:lineRule="exact"/>
        <w:rPr>
          <w:sz w:val="20"/>
          <w:szCs w:val="20"/>
          <w:color w:val="auto"/>
        </w:rPr>
      </w:pPr>
    </w:p>
    <w:p>
      <w:pPr>
        <w:ind w:right="160" w:firstLine="1953"/>
        <w:spacing w:after="0" w:line="259" w:lineRule="auto"/>
        <w:tabs>
          <w:tab w:leader="none" w:pos="2356"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53" w:lineRule="exact"/>
        <w:rPr>
          <w:rFonts w:ascii="Arial" w:cs="Arial" w:eastAsia="Arial" w:hAnsi="Arial"/>
          <w:sz w:val="18"/>
          <w:szCs w:val="18"/>
          <w:color w:val="auto"/>
        </w:rPr>
      </w:pPr>
    </w:p>
    <w:p>
      <w:pPr>
        <w:ind w:right="20" w:firstLine="1953"/>
        <w:spacing w:after="0" w:line="282" w:lineRule="auto"/>
        <w:tabs>
          <w:tab w:leader="none" w:pos="233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most recent Annual Report 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line="280" w:lineRule="auto"/>
        <w:rPr>
          <w:sz w:val="20"/>
          <w:szCs w:val="20"/>
          <w:color w:val="auto"/>
        </w:rPr>
      </w:pPr>
      <w:r>
        <w:rPr>
          <w:rFonts w:ascii="Arial" w:cs="Arial" w:eastAsia="Arial" w:hAnsi="Arial"/>
          <w:sz w:val="16"/>
          <w:szCs w:val="16"/>
          <w:color w:val="auto"/>
        </w:rPr>
        <w:t>Form 10-K, Quarterly Report on Form 10-Q and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41" w:lineRule="exact"/>
        <w:rPr>
          <w:sz w:val="20"/>
          <w:szCs w:val="20"/>
          <w:color w:val="auto"/>
        </w:rPr>
      </w:pPr>
    </w:p>
    <w:p>
      <w:pPr>
        <w:ind w:firstLine="1953"/>
        <w:spacing w:after="0" w:line="286" w:lineRule="auto"/>
        <w:tabs>
          <w:tab w:leader="none" w:pos="236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firstLine="1953"/>
        <w:spacing w:after="0" w:line="286" w:lineRule="auto"/>
        <w:tabs>
          <w:tab w:leader="none" w:pos="236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Failure</w:t>
      </w:r>
      <w:r>
        <w:rPr>
          <w:rFonts w:ascii="Arial" w:cs="Arial" w:eastAsia="Arial" w:hAnsi="Arial"/>
          <w:sz w:val="16"/>
          <w:szCs w:val="16"/>
          <w:color w:val="auto"/>
        </w:rPr>
        <w:t>"), then the Company shall promptly take all action reasonably necessary to increase the Company's authorized shares of Common Stock to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37" w:lineRule="exact"/>
        <w:rPr>
          <w:rFonts w:ascii="Arial" w:cs="Arial" w:eastAsia="Arial" w:hAnsi="Arial"/>
          <w:sz w:val="16"/>
          <w:szCs w:val="16"/>
          <w:color w:val="auto"/>
        </w:rPr>
      </w:pPr>
    </w:p>
    <w:p>
      <w:pPr>
        <w:ind w:right="460" w:firstLine="1305"/>
        <w:spacing w:after="0" w:line="268" w:lineRule="auto"/>
        <w:tabs>
          <w:tab w:leader="none" w:pos="16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85" w:lineRule="exact"/>
        <w:rPr>
          <w:rFonts w:ascii="Arial" w:cs="Arial" w:eastAsia="Arial" w:hAnsi="Arial"/>
          <w:sz w:val="18"/>
          <w:szCs w:val="18"/>
          <w:color w:val="auto"/>
        </w:rPr>
      </w:pPr>
    </w:p>
    <w:p>
      <w:pPr>
        <w:ind w:right="560" w:firstLine="1953"/>
        <w:spacing w:after="0" w:line="268" w:lineRule="auto"/>
        <w:tabs>
          <w:tab w:leader="none" w:pos="218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 current Exercise Price to any amount and for any period of time deemed appropriate by the Board of Directors of the Company.</w:t>
      </w:r>
    </w:p>
    <w:p>
      <w:pPr>
        <w:spacing w:after="0" w:line="185" w:lineRule="exact"/>
        <w:rPr>
          <w:rFonts w:ascii="Arial" w:cs="Arial" w:eastAsia="Arial" w:hAnsi="Arial"/>
          <w:sz w:val="18"/>
          <w:szCs w:val="18"/>
          <w:color w:val="auto"/>
        </w:rPr>
      </w:pPr>
    </w:p>
    <w:p>
      <w:pPr>
        <w:ind w:right="20" w:firstLine="1953"/>
        <w:spacing w:after="0" w:line="290" w:lineRule="auto"/>
        <w:tabs>
          <w:tab w:leader="none" w:pos="219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Upon Subdivision or Combination of Common Stock.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2(c) shall become effective at the close of business on the date the subdivision or combination becomes effective.</w:t>
      </w:r>
    </w:p>
    <w:p>
      <w:pPr>
        <w:spacing w:after="0" w:line="172" w:lineRule="exact"/>
        <w:rPr>
          <w:rFonts w:ascii="Arial" w:cs="Arial" w:eastAsia="Arial" w:hAnsi="Arial"/>
          <w:sz w:val="16"/>
          <w:szCs w:val="16"/>
          <w:color w:val="auto"/>
        </w:rPr>
      </w:pPr>
    </w:p>
    <w:p>
      <w:pPr>
        <w:ind w:right="120" w:firstLine="1953"/>
        <w:spacing w:after="0" w:line="294" w:lineRule="auto"/>
        <w:tabs>
          <w:tab w:leader="none" w:pos="218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provided that no such adjustment pursuant to this Section 2(d) will increase the Exercise Price or decrease the number of Warrant Shares as otherwise determined pursuant to this Section 2.</w:t>
      </w:r>
    </w:p>
    <w:p>
      <w:pPr>
        <w:spacing w:after="0" w:line="129" w:lineRule="exact"/>
        <w:rPr>
          <w:rFonts w:ascii="Arial" w:cs="Arial" w:eastAsia="Arial" w:hAnsi="Arial"/>
          <w:sz w:val="16"/>
          <w:szCs w:val="16"/>
          <w:color w:val="auto"/>
        </w:rPr>
      </w:pPr>
    </w:p>
    <w:p>
      <w:pPr>
        <w:ind w:right="80" w:firstLine="1305"/>
        <w:spacing w:after="0" w:line="288" w:lineRule="auto"/>
        <w:tabs>
          <w:tab w:leader="none" w:pos="164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jc w:val="both"/>
        <w:ind w:firstLine="1297"/>
        <w:spacing w:after="0" w:line="291" w:lineRule="auto"/>
        <w:rPr>
          <w:sz w:val="20"/>
          <w:szCs w:val="20"/>
          <w:color w:val="auto"/>
        </w:rPr>
      </w:pPr>
      <w:r>
        <w:rPr>
          <w:rFonts w:ascii="Arial" w:cs="Arial" w:eastAsia="Arial" w:hAnsi="Arial"/>
          <w:sz w:val="16"/>
          <w:szCs w:val="16"/>
          <w:color w:val="auto"/>
        </w:rPr>
        <w:t>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34" w:lineRule="exact"/>
        <w:rPr>
          <w:sz w:val="20"/>
          <w:szCs w:val="20"/>
          <w:color w:val="auto"/>
        </w:rPr>
      </w:pPr>
    </w:p>
    <w:p>
      <w:pPr>
        <w:ind w:left="1660" w:hanging="355"/>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40" w:firstLine="1953"/>
        <w:spacing w:after="0" w:line="285" w:lineRule="auto"/>
        <w:tabs>
          <w:tab w:leader="none" w:pos="235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but excluding shares of Common Stock deemed to have been issued or sold by the Company in connection with any Excluded Securities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41" w:lineRule="exact"/>
        <w:rPr>
          <w:rFonts w:ascii="Arial" w:cs="Arial" w:eastAsia="Arial" w:hAnsi="Arial"/>
          <w:sz w:val="16"/>
          <w:szCs w:val="16"/>
          <w:color w:val="auto"/>
        </w:rPr>
      </w:pPr>
    </w:p>
    <w:p>
      <w:pPr>
        <w:ind w:right="40" w:firstLine="1953"/>
        <w:spacing w:after="0" w:line="285" w:lineRule="auto"/>
        <w:tabs>
          <w:tab w:leader="none" w:pos="236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line="284" w:lineRule="auto"/>
        <w:rPr>
          <w:sz w:val="20"/>
          <w:szCs w:val="20"/>
          <w:color w:val="auto"/>
        </w:rPr>
      </w:pPr>
      <w:r>
        <w:rPr>
          <w:rFonts w:ascii="Arial" w:cs="Arial" w:eastAsia="Arial" w:hAnsi="Arial"/>
          <w:sz w:val="16"/>
          <w:szCs w:val="16"/>
          <w:color w:val="auto"/>
        </w:rPr>
        <w:t>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(collectively, the “</w:t>
      </w:r>
      <w:r>
        <w:rPr>
          <w:rFonts w:ascii="Arial" w:cs="Arial" w:eastAsia="Arial" w:hAnsi="Arial"/>
          <w:sz w:val="16"/>
          <w:szCs w:val="16"/>
          <w:b w:val="1"/>
          <w:bCs w:val="1"/>
          <w:color w:val="auto"/>
        </w:rPr>
        <w:t>Corporate Event Consideration</w:t>
      </w:r>
      <w:r>
        <w:rPr>
          <w:rFonts w:ascii="Arial" w:cs="Arial" w:eastAsia="Arial" w:hAnsi="Arial"/>
          <w:sz w:val="16"/>
          <w:szCs w:val="16"/>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the foregoing, in the event of a Change of Control (other than a Change of Control which was not approved by the Board of Directors, as to which this right shall not apply), at the request of the Holder delivered before the 30th day after such Change of Control, the Company (or the Successor Entity) shall purchase this Warrant from the Holder by paying to the Holder, within five Business Days after such request (or, if later, on the effective date of the Change of Control), an amount equal to the Black Scholes Value of the remaining unexercised portion of this Warrant on the effective date of such Change of Control, payable in cash; provided, that if the applicable Change of Control was not approved by the Company's Board of Directors, such amount shall be payable, at the option of the Company in either (x) Common Stock (or corresponding Corporate Event Consideration, as applicable) valued at the value of the consideration received by the shareholders in such Change of Control or (y) cash.</w:t>
      </w:r>
    </w:p>
    <w:p>
      <w:pPr>
        <w:spacing w:after="0" w:line="140" w:lineRule="exact"/>
        <w:rPr>
          <w:sz w:val="20"/>
          <w:szCs w:val="20"/>
          <w:color w:val="auto"/>
        </w:rPr>
      </w:pPr>
    </w:p>
    <w:p>
      <w:pPr>
        <w:ind w:right="60" w:firstLine="1305"/>
        <w:spacing w:after="0" w:line="287" w:lineRule="auto"/>
        <w:tabs>
          <w:tab w:leader="none" w:pos="164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Restated and Amended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ind w:firstLine="1305"/>
        <w:spacing w:after="0" w:line="287" w:lineRule="auto"/>
        <w:tabs>
          <w:tab w:leader="none" w:pos="164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36" w:lineRule="exact"/>
        <w:rPr>
          <w:rFonts w:ascii="Arial" w:cs="Arial" w:eastAsia="Arial" w:hAnsi="Arial"/>
          <w:sz w:val="16"/>
          <w:szCs w:val="16"/>
          <w:color w:val="auto"/>
        </w:rPr>
      </w:pPr>
    </w:p>
    <w:p>
      <w:pPr>
        <w:ind w:left="1660" w:hanging="355"/>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20" w:firstLine="1953"/>
        <w:spacing w:after="0" w:line="255" w:lineRule="auto"/>
        <w:tabs>
          <w:tab w:leader="none" w:pos="235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56" w:lineRule="exact"/>
        <w:rPr>
          <w:rFonts w:ascii="Arial" w:cs="Arial" w:eastAsia="Arial" w:hAnsi="Arial"/>
          <w:sz w:val="18"/>
          <w:szCs w:val="18"/>
          <w:color w:val="auto"/>
        </w:rPr>
      </w:pPr>
    </w:p>
    <w:p>
      <w:pPr>
        <w:ind w:right="340" w:firstLine="1953"/>
        <w:spacing w:after="0" w:line="255" w:lineRule="auto"/>
        <w:tabs>
          <w:tab w:leader="none" w:pos="236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6" w:lineRule="exact"/>
        <w:rPr>
          <w:rFonts w:ascii="Arial" w:cs="Arial" w:eastAsia="Arial" w:hAnsi="Arial"/>
          <w:sz w:val="18"/>
          <w:szCs w:val="18"/>
          <w:color w:val="auto"/>
        </w:rPr>
      </w:pPr>
    </w:p>
    <w:p>
      <w:pPr>
        <w:ind w:right="40" w:firstLine="1953"/>
        <w:spacing w:after="0" w:line="256" w:lineRule="auto"/>
        <w:tabs>
          <w:tab w:leader="none" w:pos="235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56" w:lineRule="exact"/>
        <w:rPr>
          <w:rFonts w:ascii="Arial" w:cs="Arial" w:eastAsia="Arial" w:hAnsi="Arial"/>
          <w:sz w:val="18"/>
          <w:szCs w:val="18"/>
          <w:color w:val="auto"/>
        </w:rPr>
      </w:pPr>
    </w:p>
    <w:p>
      <w:pPr>
        <w:ind w:right="180" w:firstLine="1953"/>
        <w:spacing w:after="0" w:line="291" w:lineRule="auto"/>
        <w:tabs>
          <w:tab w:leader="none" w:pos="236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right="20" w:firstLine="1305"/>
        <w:spacing w:after="0" w:line="283" w:lineRule="auto"/>
        <w:tabs>
          <w:tab w:leader="none" w:pos="1644"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w:t>
      </w:r>
    </w:p>
    <w:p>
      <w:pPr>
        <w:spacing w:after="0" w:line="2" w:lineRule="exact"/>
        <w:rPr>
          <w:rFonts w:ascii="Arial" w:cs="Arial" w:eastAsia="Arial" w:hAnsi="Arial"/>
          <w:sz w:val="16"/>
          <w:szCs w:val="16"/>
          <w:color w:val="auto"/>
        </w:rPr>
      </w:pPr>
    </w:p>
    <w:p>
      <w:pPr>
        <w:ind w:right="60" w:firstLine="8"/>
        <w:spacing w:after="0" w:line="254" w:lineRule="auto"/>
        <w:tabs>
          <w:tab w:leader="none" w:pos="2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the date of transmission, if delivered by electronic mail to each of the email addresses specified in this Section 8 prior to 5:00 p.m. (New York time) on a Trading Day, (E) the next Trading Day after the date of transmission, if delivered by electronic mail to each of the email addresses specified in this Section 8 on a day that is not a Trading Day or later than 5:00 p.m. (New York time) on any Trading Day and (E) if delivered by facsimile, upon electronic confirmation of receipt of such facsimile, and will be delivered and addressed as follows:</w:t>
      </w:r>
    </w:p>
    <w:p>
      <w:pPr>
        <w:spacing w:after="0" w:line="130" w:lineRule="exact"/>
        <w:rPr>
          <w:sz w:val="20"/>
          <w:szCs w:val="20"/>
          <w:color w:val="auto"/>
        </w:rPr>
      </w:pPr>
    </w:p>
    <w:p>
      <w:pPr>
        <w:ind w:left="3340" w:hanging="739"/>
        <w:spacing w:after="0"/>
        <w:tabs>
          <w:tab w:leader="none" w:pos="3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VistaGen Therapeutics, Inc.</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343 Allerton Ave.</w:t>
      </w:r>
    </w:p>
    <w:p>
      <w:pPr>
        <w:spacing w:after="0" w:line="9" w:lineRule="exact"/>
        <w:rPr>
          <w:rFonts w:ascii="Arial" w:cs="Arial" w:eastAsia="Arial" w:hAnsi="Arial"/>
          <w:sz w:val="18"/>
          <w:szCs w:val="18"/>
          <w:color w:val="auto"/>
        </w:rPr>
      </w:pPr>
    </w:p>
    <w:p>
      <w:pPr>
        <w:ind w:left="2600" w:right="6560"/>
        <w:spacing w:after="0" w:line="250" w:lineRule="auto"/>
        <w:rPr>
          <w:rFonts w:ascii="Arial" w:cs="Arial" w:eastAsia="Arial" w:hAnsi="Arial"/>
          <w:sz w:val="18"/>
          <w:szCs w:val="18"/>
          <w:color w:val="auto"/>
        </w:rPr>
      </w:pPr>
      <w:r>
        <w:rPr>
          <w:rFonts w:ascii="Arial" w:cs="Arial" w:eastAsia="Arial" w:hAnsi="Arial"/>
          <w:sz w:val="18"/>
          <w:szCs w:val="18"/>
          <w:color w:val="auto"/>
        </w:rPr>
        <w:t>South San Francisco, CA 94090 Attention: [ ]</w:t>
      </w:r>
    </w:p>
    <w:p>
      <w:pPr>
        <w:ind w:left="2600"/>
        <w:spacing w:after="0"/>
        <w:rPr>
          <w:rFonts w:ascii="Arial" w:cs="Arial" w:eastAsia="Arial" w:hAnsi="Arial"/>
          <w:sz w:val="18"/>
          <w:szCs w:val="18"/>
          <w:color w:val="auto"/>
        </w:rPr>
      </w:pPr>
      <w:r>
        <w:rPr>
          <w:rFonts w:ascii="Arial" w:cs="Arial" w:eastAsia="Arial" w:hAnsi="Arial"/>
          <w:sz w:val="18"/>
          <w:szCs w:val="18"/>
          <w:color w:val="auto"/>
        </w:rPr>
        <w:t>Facsimile: [ ]</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Email: [ ]</w:t>
      </w:r>
    </w:p>
    <w:p>
      <w:pPr>
        <w:spacing w:after="0" w:line="151" w:lineRule="exact"/>
        <w:rPr>
          <w:rFonts w:ascii="Arial" w:cs="Arial" w:eastAsia="Arial" w:hAnsi="Arial"/>
          <w:sz w:val="18"/>
          <w:szCs w:val="18"/>
          <w:color w:val="auto"/>
        </w:rPr>
      </w:pPr>
    </w:p>
    <w:p>
      <w:pPr>
        <w:ind w:left="1300" w:firstLine="1301"/>
        <w:spacing w:after="0" w:line="268" w:lineRule="auto"/>
        <w:tabs>
          <w:tab w:leader="none" w:pos="28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w:t>
      </w:r>
    </w:p>
    <w:p>
      <w:pPr>
        <w:spacing w:after="0" w:line="11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w:t>
      </w:r>
    </w:p>
    <w:p>
      <w:pPr>
        <w:spacing w:after="0" w:line="1" w:lineRule="exact"/>
        <w:rPr>
          <w:sz w:val="20"/>
          <w:szCs w:val="20"/>
          <w:color w:val="auto"/>
        </w:rPr>
      </w:pPr>
    </w:p>
    <w:p>
      <w:pPr>
        <w:jc w:val="both"/>
        <w:ind w:firstLine="8"/>
        <w:spacing w:after="0" w:line="252" w:lineRule="auto"/>
        <w:tabs>
          <w:tab w:leader="none" w:pos="3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61" w:lineRule="exact"/>
        <w:rPr>
          <w:rFonts w:ascii="Arial" w:cs="Arial" w:eastAsia="Arial" w:hAnsi="Arial"/>
          <w:sz w:val="18"/>
          <w:szCs w:val="18"/>
          <w:color w:val="auto"/>
        </w:rPr>
      </w:pPr>
    </w:p>
    <w:p>
      <w:pPr>
        <w:jc w:val="both"/>
        <w:ind w:right="140" w:firstLine="1305"/>
        <w:spacing w:after="0" w:line="259" w:lineRule="auto"/>
        <w:tabs>
          <w:tab w:leader="none" w:pos="164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firstLine="1305"/>
        <w:spacing w:after="0" w:line="282" w:lineRule="auto"/>
        <w:tabs>
          <w:tab w:leader="none" w:pos="17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w:t>
      </w:r>
    </w:p>
    <w:p>
      <w:pPr>
        <w:spacing w:after="0" w:line="5" w:lineRule="exact"/>
        <w:rPr>
          <w:rFonts w:ascii="Arial" w:cs="Arial" w:eastAsia="Arial" w:hAnsi="Arial"/>
          <w:sz w:val="16"/>
          <w:szCs w:val="16"/>
          <w:color w:val="auto"/>
        </w:rPr>
      </w:pPr>
    </w:p>
    <w:p>
      <w:pPr>
        <w:ind w:right="4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57" w:lineRule="exact"/>
        <w:rPr>
          <w:rFonts w:ascii="Arial" w:cs="Arial" w:eastAsia="Arial" w:hAnsi="Arial"/>
          <w:sz w:val="16"/>
          <w:szCs w:val="16"/>
          <w:color w:val="auto"/>
        </w:rPr>
      </w:pPr>
    </w:p>
    <w:p>
      <w:pPr>
        <w:ind w:right="40" w:firstLine="1305"/>
        <w:spacing w:after="0" w:line="286" w:lineRule="auto"/>
        <w:tabs>
          <w:tab w:leader="none" w:pos="172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TRANSACTIONS</w:t>
      </w:r>
      <w:r>
        <w:rPr>
          <w:rFonts w:ascii="Arial" w:cs="Arial" w:eastAsia="Arial" w:hAnsi="Arial"/>
          <w:sz w:val="16"/>
          <w:szCs w:val="16"/>
          <w:color w:val="auto"/>
        </w:rPr>
        <w:t>. Notwithstanding anything to the contrary contained herein, from and after the Subscription Date and on or prior to the Expiration Date, the Company shall be prohibited from effecting or entering into an agreement to effect any issuance by the Company or any of its Subsidiaries of Common Stock, Convertible Securities or Options (or a combination thereof) involving a Variable Rate Transaction. As used herein,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of its Subsidiaries (i) issues or sells any debt or equity security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at-the-market offering, whereby the Company or any of its Subsidiaries may issue securities at a future determined price. For the avoidance of doubt, the issuance of a Common Stock Equivalent with a fixed exercise or conversion price with a standard price only full ratchet or weighted average anti-dilution provision shall not be considered to be a Variable Rate Transaction.</w:t>
      </w:r>
    </w:p>
    <w:p>
      <w:pPr>
        <w:spacing w:after="0" w:line="137" w:lineRule="exact"/>
        <w:rPr>
          <w:rFonts w:ascii="Arial" w:cs="Arial" w:eastAsia="Arial" w:hAnsi="Arial"/>
          <w:sz w:val="16"/>
          <w:szCs w:val="16"/>
          <w:color w:val="auto"/>
        </w:rPr>
      </w:pPr>
    </w:p>
    <w:p>
      <w:pPr>
        <w:ind w:right="40" w:firstLine="1305"/>
        <w:spacing w:after="0" w:line="287" w:lineRule="auto"/>
        <w:tabs>
          <w:tab w:leader="none" w:pos="17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8" w:name="page39"/>
    <w:bookmarkEnd w:id="38"/>
    <w:p>
      <w:pPr>
        <w:ind w:right="20" w:firstLine="1305"/>
        <w:spacing w:after="0" w:line="290" w:lineRule="auto"/>
        <w:tabs>
          <w:tab w:leader="none" w:pos="17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31" w:lineRule="exact"/>
        <w:rPr>
          <w:rFonts w:ascii="Arial" w:cs="Arial" w:eastAsia="Arial" w:hAnsi="Arial"/>
          <w:sz w:val="16"/>
          <w:szCs w:val="16"/>
          <w:color w:val="auto"/>
        </w:rPr>
      </w:pPr>
    </w:p>
    <w:p>
      <w:pPr>
        <w:ind w:left="1740" w:hanging="435"/>
        <w:spacing w:after="0"/>
        <w:tabs>
          <w:tab w:leader="none" w:pos="1740"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Warrant and the Warrant Shares may be offered for sale, sold, transferred, pledged or assigned without the consent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Company.</w:t>
      </w:r>
    </w:p>
    <w:p>
      <w:pPr>
        <w:spacing w:after="0" w:line="178" w:lineRule="exact"/>
        <w:rPr>
          <w:rFonts w:ascii="Arial" w:cs="Arial" w:eastAsia="Arial" w:hAnsi="Arial"/>
          <w:sz w:val="15"/>
          <w:szCs w:val="15"/>
          <w:color w:val="auto"/>
        </w:rPr>
      </w:pPr>
    </w:p>
    <w:p>
      <w:pPr>
        <w:ind w:firstLine="1305"/>
        <w:spacing w:after="0" w:line="287" w:lineRule="auto"/>
        <w:tabs>
          <w:tab w:leader="none" w:pos="17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SEVERABILITY; CONSTRUCTION; HEADINGS</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36" w:lineRule="exact"/>
        <w:rPr>
          <w:rFonts w:ascii="Arial" w:cs="Arial" w:eastAsia="Arial" w:hAnsi="Arial"/>
          <w:sz w:val="16"/>
          <w:szCs w:val="16"/>
          <w:color w:val="auto"/>
        </w:rPr>
      </w:pPr>
    </w:p>
    <w:p>
      <w:pPr>
        <w:ind w:right="40" w:firstLine="1305"/>
        <w:spacing w:after="0" w:line="314" w:lineRule="auto"/>
        <w:tabs>
          <w:tab w:leader="none" w:pos="1732"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18" w:lineRule="exact"/>
        <w:rPr>
          <w:rFonts w:ascii="Arial" w:cs="Arial" w:eastAsia="Arial" w:hAnsi="Arial"/>
          <w:sz w:val="15"/>
          <w:szCs w:val="15"/>
          <w:color w:val="auto"/>
        </w:rPr>
      </w:pPr>
    </w:p>
    <w:p>
      <w:pPr>
        <w:ind w:left="1740" w:hanging="435"/>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78" w:lineRule="exact"/>
        <w:rPr>
          <w:rFonts w:ascii="Arial" w:cs="Arial" w:eastAsia="Arial" w:hAnsi="Arial"/>
          <w:sz w:val="18"/>
          <w:szCs w:val="18"/>
          <w:color w:val="auto"/>
        </w:rPr>
      </w:pPr>
    </w:p>
    <w:p>
      <w:pPr>
        <w:jc w:val="both"/>
        <w:ind w:right="160" w:firstLine="1953"/>
        <w:spacing w:after="0" w:line="258" w:lineRule="auto"/>
        <w:tabs>
          <w:tab w:leader="none" w:pos="23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ind w:left="-60" w:right="240" w:firstLine="1953"/>
        <w:spacing w:after="0" w:line="310" w:lineRule="auto"/>
        <w:tabs>
          <w:tab w:leader="none" w:pos="230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Stock Plan</w:t>
      </w:r>
      <w:r>
        <w:rPr>
          <w:rFonts w:ascii="Arial" w:cs="Arial" w:eastAsia="Arial" w:hAnsi="Arial"/>
          <w:sz w:val="16"/>
          <w:szCs w:val="16"/>
          <w:color w:val="auto"/>
        </w:rPr>
        <w:t>" means the Company’s 2016 Amended and Restated Stock Incentive Plan and any employee benefit plan which has been approved by a majority of the disinterested members of the Board of Directors of the Company, in each case pursuant to which the Company’s securities may be issued to any employee, officer or director for services provided to the Company.</w:t>
      </w:r>
    </w:p>
    <w:p>
      <w:pPr>
        <w:spacing w:after="0" w:line="110" w:lineRule="exact"/>
        <w:rPr>
          <w:rFonts w:ascii="Arial" w:cs="Arial" w:eastAsia="Arial" w:hAnsi="Arial"/>
          <w:sz w:val="16"/>
          <w:szCs w:val="16"/>
          <w:color w:val="auto"/>
        </w:rPr>
      </w:pPr>
    </w:p>
    <w:p>
      <w:pPr>
        <w:ind w:left="-60" w:right="80" w:firstLine="1953"/>
        <w:spacing w:after="0" w:line="293" w:lineRule="auto"/>
        <w:tabs>
          <w:tab w:leader="none" w:pos="22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24" w:lineRule="exact"/>
        <w:rPr>
          <w:rFonts w:ascii="Arial" w:cs="Arial" w:eastAsia="Arial" w:hAnsi="Arial"/>
          <w:sz w:val="16"/>
          <w:szCs w:val="16"/>
          <w:color w:val="auto"/>
        </w:rPr>
      </w:pPr>
    </w:p>
    <w:p>
      <w:pPr>
        <w:ind w:left="-60" w:right="20" w:firstLine="1953"/>
        <w:spacing w:after="0" w:line="287" w:lineRule="auto"/>
        <w:tabs>
          <w:tab w:leader="none" w:pos="23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11. All such determinations shall be appropriately adjusted for any stock dividend, stock split, stock combination or other similar transaction during such period.</w:t>
      </w:r>
    </w:p>
    <w:p>
      <w:pPr>
        <w:spacing w:after="0" w:line="132" w:lineRule="exact"/>
        <w:rPr>
          <w:rFonts w:ascii="Arial" w:cs="Arial" w:eastAsia="Arial" w:hAnsi="Arial"/>
          <w:sz w:val="16"/>
          <w:szCs w:val="16"/>
          <w:color w:val="auto"/>
        </w:rPr>
      </w:pPr>
    </w:p>
    <w:p>
      <w:pPr>
        <w:ind w:left="-60" w:firstLine="1953"/>
        <w:spacing w:after="0" w:line="290" w:lineRule="auto"/>
        <w:tabs>
          <w:tab w:leader="none" w:pos="22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determined as of the day immediately following the first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highest Weighted Average Price during the five (5) Trading Days prior to the closing of the Fundamental Transaction, (iv) a zero cost of borrow and (v) a 360 day annualization factor.</w:t>
      </w:r>
    </w:p>
    <w:p>
      <w:pPr>
        <w:spacing w:after="0" w:line="125" w:lineRule="exact"/>
        <w:rPr>
          <w:rFonts w:ascii="Arial" w:cs="Arial" w:eastAsia="Arial" w:hAnsi="Arial"/>
          <w:sz w:val="16"/>
          <w:szCs w:val="16"/>
          <w:color w:val="auto"/>
        </w:rPr>
      </w:pPr>
    </w:p>
    <w:p>
      <w:pPr>
        <w:ind w:left="2280" w:hanging="387"/>
        <w:spacing w:after="0"/>
        <w:tabs>
          <w:tab w:leader="none" w:pos="2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84" w:lineRule="exact"/>
        <w:rPr>
          <w:rFonts w:ascii="Arial" w:cs="Arial" w:eastAsia="Arial" w:hAnsi="Arial"/>
          <w:sz w:val="18"/>
          <w:szCs w:val="18"/>
          <w:color w:val="auto"/>
        </w:rPr>
      </w:pPr>
    </w:p>
    <w:p>
      <w:pPr>
        <w:ind w:left="-60" w:right="40" w:firstLine="1953"/>
        <w:spacing w:after="0" w:line="275" w:lineRule="auto"/>
        <w:tabs>
          <w:tab w:leader="none" w:pos="23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40" w:name="page41"/>
    <w:bookmarkEnd w:id="40"/>
    <w:p>
      <w:pPr>
        <w:ind w:left="-20" w:right="20" w:firstLine="1953"/>
        <w:spacing w:after="0" w:line="287" w:lineRule="auto"/>
        <w:tabs>
          <w:tab w:leader="none" w:pos="23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32" w:lineRule="exact"/>
        <w:rPr>
          <w:rFonts w:ascii="Arial" w:cs="Arial" w:eastAsia="Arial" w:hAnsi="Arial"/>
          <w:sz w:val="16"/>
          <w:szCs w:val="16"/>
          <w:color w:val="auto"/>
        </w:rPr>
      </w:pPr>
    </w:p>
    <w:p>
      <w:pPr>
        <w:ind w:left="-20" w:firstLine="1953"/>
        <w:spacing w:after="0" w:line="286" w:lineRule="auto"/>
        <w:tabs>
          <w:tab w:leader="none" w:pos="2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134" w:lineRule="exact"/>
        <w:rPr>
          <w:rFonts w:ascii="Arial" w:cs="Arial" w:eastAsia="Arial" w:hAnsi="Arial"/>
          <w:sz w:val="16"/>
          <w:szCs w:val="16"/>
          <w:color w:val="auto"/>
        </w:rPr>
      </w:pPr>
    </w:p>
    <w:p>
      <w:pPr>
        <w:ind w:left="-20" w:right="300" w:firstLine="1953"/>
        <w:spacing w:after="0" w:line="275" w:lineRule="auto"/>
        <w:tabs>
          <w:tab w:leader="none" w:pos="23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33" w:lineRule="exact"/>
        <w:rPr>
          <w:rFonts w:ascii="Arial" w:cs="Arial" w:eastAsia="Arial" w:hAnsi="Arial"/>
          <w:sz w:val="18"/>
          <w:szCs w:val="18"/>
          <w:color w:val="auto"/>
        </w:rPr>
      </w:pPr>
    </w:p>
    <w:p>
      <w:pPr>
        <w:ind w:left="-20" w:firstLine="1953"/>
        <w:spacing w:after="0" w:line="275" w:lineRule="auto"/>
        <w:tabs>
          <w:tab w:leader="none" w:pos="23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33" w:lineRule="exact"/>
        <w:rPr>
          <w:rFonts w:ascii="Arial" w:cs="Arial" w:eastAsia="Arial" w:hAnsi="Arial"/>
          <w:sz w:val="18"/>
          <w:szCs w:val="18"/>
          <w:color w:val="auto"/>
        </w:rPr>
      </w:pPr>
    </w:p>
    <w:p>
      <w:pPr>
        <w:ind w:left="-20" w:right="120" w:firstLine="1953"/>
        <w:spacing w:after="0" w:line="275" w:lineRule="auto"/>
        <w:tabs>
          <w:tab w:leader="none" w:pos="23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1" w:name="page42"/>
    <w:bookmarkEnd w:id="41"/>
    <w:p>
      <w:pPr>
        <w:ind w:right="20" w:firstLine="1953"/>
        <w:spacing w:after="0" w:line="293" w:lineRule="auto"/>
        <w:tabs>
          <w:tab w:leader="none" w:pos="24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shares of Common Stock issued or issuable, or deemed issued or issuable pursuant to Section 2(a): (i) in connection with any Approved Stock Plan, (ii) upon exercise of the Warrants; provided, that the terms of such Warrants are not amended, modified or changed on or after the Subscription Date, (iii) upon conversion, exercise or exchange of any Options or Convertible Securities which are outstanding on the day immediately preceding the Subscription Date</w:t>
      </w:r>
      <w:r>
        <w:rPr>
          <w:rFonts w:ascii="Arial" w:cs="Arial" w:eastAsia="Arial" w:hAnsi="Arial"/>
          <w:sz w:val="16"/>
          <w:szCs w:val="16"/>
          <w:color w:val="auto"/>
          <w:strike w:val="1"/>
        </w:rPr>
        <w:t>.</w:t>
      </w:r>
      <w:r>
        <w:rPr>
          <w:rFonts w:ascii="Arial" w:cs="Arial" w:eastAsia="Arial" w:hAnsi="Arial"/>
          <w:sz w:val="16"/>
          <w:szCs w:val="16"/>
          <w:color w:val="auto"/>
        </w:rPr>
        <w:t>; provided, that the terms of such Options or Convertible Securities are not amended, modified or changed on or after the Subscription Date and (iv) issued as payment of regular dividends pursuant to the terms of the Company’s Series B Preferred Stock; provided, that the terms of the Series B Preferred Stock are not amended, modified or changed on or after the Subscription Date.</w:t>
      </w:r>
    </w:p>
    <w:p>
      <w:pPr>
        <w:spacing w:after="0" w:line="191" w:lineRule="exact"/>
        <w:rPr>
          <w:rFonts w:ascii="Arial" w:cs="Arial" w:eastAsia="Arial" w:hAnsi="Arial"/>
          <w:sz w:val="16"/>
          <w:szCs w:val="16"/>
          <w:color w:val="auto"/>
        </w:rPr>
      </w:pPr>
    </w:p>
    <w:p>
      <w:pPr>
        <w:ind w:right="260" w:firstLine="1953"/>
        <w:spacing w:after="0" w:line="339" w:lineRule="auto"/>
        <w:tabs>
          <w:tab w:leader="none" w:pos="2366"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means the date </w:t>
      </w:r>
      <w:r>
        <w:rPr>
          <w:rFonts w:ascii="Arial" w:cs="Arial" w:eastAsia="Arial" w:hAnsi="Arial"/>
          <w:sz w:val="16"/>
          <w:szCs w:val="16"/>
          <w:color w:val="FF0000"/>
          <w:strike w:val="1"/>
        </w:rPr>
        <w:t>[</w:t>
      </w:r>
      <w:r>
        <w:rPr>
          <w:rFonts w:ascii="Arial" w:cs="Arial" w:eastAsia="Arial" w:hAnsi="Arial"/>
          <w:sz w:val="16"/>
          <w:szCs w:val="16"/>
          <w:color w:val="auto"/>
        </w:rPr>
        <w:t>sixty (60)</w:t>
      </w:r>
      <w:r>
        <w:rPr>
          <w:rFonts w:ascii="Arial" w:cs="Arial" w:eastAsia="Arial" w:hAnsi="Arial"/>
          <w:sz w:val="16"/>
          <w:szCs w:val="16"/>
          <w:color w:val="FF0000"/>
          <w:strike w:val="1"/>
        </w:rPr>
        <w:t>]</w:t>
      </w:r>
      <w:r>
        <w:rPr>
          <w:rFonts w:ascii="Arial" w:cs="Arial" w:eastAsia="Arial" w:hAnsi="Arial"/>
          <w:sz w:val="16"/>
          <w:szCs w:val="16"/>
          <w:color w:val="auto"/>
        </w:rPr>
        <w:t xml:space="preserve"> months after the Initial Exercisability Date or, if such date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w:t>
      </w:r>
    </w:p>
    <w:p>
      <w:pPr>
        <w:spacing w:after="0" w:line="87" w:lineRule="exact"/>
        <w:rPr>
          <w:rFonts w:ascii="Arial" w:cs="Arial" w:eastAsia="Arial" w:hAnsi="Arial"/>
          <w:sz w:val="16"/>
          <w:szCs w:val="16"/>
          <w:color w:val="auto"/>
        </w:rPr>
      </w:pPr>
    </w:p>
    <w:p>
      <w:pPr>
        <w:ind w:firstLine="1953"/>
        <w:spacing w:after="0" w:line="301" w:lineRule="auto"/>
        <w:tabs>
          <w:tab w:leader="none" w:pos="2366" w:val="left"/>
        </w:tabs>
        <w:numPr>
          <w:ilvl w:val="1"/>
          <w:numId w:val="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8" w:lineRule="exact"/>
        <w:rPr>
          <w:rFonts w:ascii="Arial" w:cs="Arial" w:eastAsia="Arial" w:hAnsi="Arial"/>
          <w:sz w:val="15"/>
          <w:szCs w:val="15"/>
          <w:color w:val="auto"/>
        </w:rPr>
      </w:pPr>
    </w:p>
    <w:p>
      <w:pPr>
        <w:ind w:right="40" w:firstLine="8"/>
        <w:spacing w:after="0" w:line="285"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left="2360" w:hanging="427"/>
        <w:spacing w:after="0"/>
        <w:tabs>
          <w:tab w:leader="none" w:pos="23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07" w:lineRule="exact"/>
        <w:rPr>
          <w:rFonts w:ascii="Arial" w:cs="Arial" w:eastAsia="Arial" w:hAnsi="Arial"/>
          <w:sz w:val="16"/>
          <w:szCs w:val="16"/>
          <w:color w:val="auto"/>
        </w:rPr>
      </w:pPr>
    </w:p>
    <w:p>
      <w:pPr>
        <w:ind w:left="-20" w:right="60" w:firstLine="1953"/>
        <w:spacing w:after="0" w:line="288" w:lineRule="auto"/>
        <w:tabs>
          <w:tab w:leader="none" w:pos="23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an Option based on the Black-Scholes Option Pricing model obtained from the "OV" function on Bloomberg determined as of the day of the most recent Closing Sale Price of the Common Stock prior to the public announcement of the pricing of the applicable Option (or, if the pricing is not publicly announced, on the most recent Closing Sale Price of the Common Stock prior to the pricing of the applicable Option)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first public announcement of the pricing of the transaction that includes the applicable Option if such pricing is publicly announced or (B) the Trading Day immediately following the issuance of the applicable Option if the pricing of such transaction is not publicly announced, (iii) an underlying price per share equal to the most recent Closing Sale Price of the Common Stock prior to the public announcement of the pricing of the applicable Option (or, if the pricing is not publicly announced, on the most recent Closing Sale Price of the Common Stock prior to the pricing of the applicable Option), (iv) a zero cost of borrow and (v) a 360-day annualization factor.</w:t>
      </w:r>
    </w:p>
    <w:p>
      <w:pPr>
        <w:spacing w:after="0" w:line="128" w:lineRule="exact"/>
        <w:rPr>
          <w:rFonts w:ascii="Arial" w:cs="Arial" w:eastAsia="Arial" w:hAnsi="Arial"/>
          <w:sz w:val="16"/>
          <w:szCs w:val="16"/>
          <w:color w:val="auto"/>
        </w:rPr>
      </w:pPr>
    </w:p>
    <w:p>
      <w:pPr>
        <w:ind w:left="2320" w:hanging="387"/>
        <w:spacing w:after="0"/>
        <w:tabs>
          <w:tab w:leader="none" w:pos="23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 to subscribe for or purchase shares of Common Stock or Convertible Securities.</w:t>
      </w:r>
    </w:p>
    <w:p>
      <w:pPr>
        <w:spacing w:after="0" w:line="219" w:lineRule="exact"/>
        <w:rPr>
          <w:rFonts w:ascii="Arial" w:cs="Arial" w:eastAsia="Arial" w:hAnsi="Arial"/>
          <w:sz w:val="15"/>
          <w:szCs w:val="15"/>
          <w:color w:val="auto"/>
        </w:rPr>
      </w:pPr>
    </w:p>
    <w:p>
      <w:pPr>
        <w:ind w:left="-20" w:right="340" w:firstLine="1953"/>
        <w:spacing w:after="0" w:line="301" w:lineRule="auto"/>
        <w:tabs>
          <w:tab w:leader="none" w:pos="2326"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16" w:lineRule="exact"/>
        <w:rPr>
          <w:rFonts w:ascii="Arial" w:cs="Arial" w:eastAsia="Arial" w:hAnsi="Arial"/>
          <w:sz w:val="16"/>
          <w:szCs w:val="16"/>
          <w:color w:val="auto"/>
        </w:rPr>
      </w:pPr>
    </w:p>
    <w:p>
      <w:pPr>
        <w:ind w:left="-20" w:right="1100" w:firstLine="1953"/>
        <w:spacing w:after="0" w:line="275" w:lineRule="auto"/>
        <w:tabs>
          <w:tab w:leader="none" w:pos="2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33" w:lineRule="exact"/>
        <w:rPr>
          <w:rFonts w:ascii="Arial" w:cs="Arial" w:eastAsia="Arial" w:hAnsi="Arial"/>
          <w:sz w:val="18"/>
          <w:szCs w:val="18"/>
          <w:color w:val="auto"/>
        </w:rPr>
      </w:pPr>
    </w:p>
    <w:p>
      <w:pPr>
        <w:ind w:left="2360" w:hanging="427"/>
        <w:spacing w:after="0"/>
        <w:tabs>
          <w:tab w:leader="none" w:pos="2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184" w:lineRule="exact"/>
        <w:rPr>
          <w:rFonts w:ascii="Arial" w:cs="Arial" w:eastAsia="Arial" w:hAnsi="Arial"/>
          <w:sz w:val="18"/>
          <w:szCs w:val="18"/>
          <w:color w:val="auto"/>
        </w:rPr>
      </w:pPr>
    </w:p>
    <w:p>
      <w:pPr>
        <w:ind w:left="-20" w:right="660" w:firstLine="1953"/>
        <w:spacing w:after="0" w:line="275" w:lineRule="auto"/>
        <w:tabs>
          <w:tab w:leader="none" w:pos="23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Warrants representing at least a majority of the shares of Common Stock underlying the Warrants then outstanding.</w:t>
      </w:r>
    </w:p>
    <w:p>
      <w:pPr>
        <w:spacing w:after="0" w:line="133" w:lineRule="exact"/>
        <w:rPr>
          <w:rFonts w:ascii="Arial" w:cs="Arial" w:eastAsia="Arial" w:hAnsi="Arial"/>
          <w:sz w:val="18"/>
          <w:szCs w:val="18"/>
          <w:color w:val="auto"/>
        </w:rPr>
      </w:pPr>
    </w:p>
    <w:p>
      <w:pPr>
        <w:ind w:left="-20" w:right="400" w:firstLine="1953"/>
        <w:spacing w:after="0" w:line="262" w:lineRule="auto"/>
        <w:tabs>
          <w:tab w:leader="none" w:pos="238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“Standard Settlement Period” </w:t>
      </w:r>
      <w:r>
        <w:rPr>
          <w:rFonts w:ascii="Arial" w:cs="Arial" w:eastAsia="Arial" w:hAnsi="Arial"/>
          <w:sz w:val="18"/>
          <w:szCs w:val="18"/>
          <w:color w:val="auto"/>
        </w:rPr>
        <w:t>means the standard settlement period, expressed in a number of Trading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primary trading market or quotation system with respect to the Common Stock that is in effect on the date of receipt of an applicable Conversion Notice.</w:t>
      </w:r>
    </w:p>
    <w:p>
      <w:pPr>
        <w:spacing w:after="0" w:line="145" w:lineRule="exact"/>
        <w:rPr>
          <w:rFonts w:ascii="Arial" w:cs="Arial" w:eastAsia="Arial" w:hAnsi="Arial"/>
          <w:sz w:val="18"/>
          <w:szCs w:val="18"/>
          <w:color w:val="auto"/>
        </w:rPr>
      </w:pPr>
    </w:p>
    <w:p>
      <w:pPr>
        <w:ind w:left="2360" w:hanging="427"/>
        <w:spacing w:after="0"/>
        <w:tabs>
          <w:tab w:leader="none" w:pos="23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07" w:lineRule="exact"/>
        <w:rPr>
          <w:rFonts w:ascii="Arial" w:cs="Arial" w:eastAsia="Arial" w:hAnsi="Arial"/>
          <w:sz w:val="16"/>
          <w:szCs w:val="16"/>
          <w:color w:val="auto"/>
        </w:rPr>
      </w:pPr>
    </w:p>
    <w:p>
      <w:pPr>
        <w:ind w:left="-20" w:right="60" w:firstLine="1953"/>
        <w:spacing w:after="0" w:line="262" w:lineRule="auto"/>
        <w:tabs>
          <w:tab w:leader="none" w:pos="23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3" w:name="page44"/>
    <w:bookmarkEnd w:id="43"/>
    <w:p>
      <w:pPr>
        <w:ind w:left="-20" w:right="80" w:firstLine="1953"/>
        <w:spacing w:after="0" w:line="339" w:lineRule="auto"/>
        <w:tabs>
          <w:tab w:leader="none" w:pos="23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88" w:lineRule="exact"/>
        <w:rPr>
          <w:sz w:val="20"/>
          <w:szCs w:val="20"/>
          <w:color w:val="auto"/>
        </w:rPr>
      </w:pPr>
    </w:p>
    <w:p>
      <w:pPr>
        <w:ind w:left="2420" w:hanging="487"/>
        <w:spacing w:after="0"/>
        <w:tabs>
          <w:tab w:leader="none" w:pos="2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any agreement entered into by and between the Company and the Holder, as applicable.</w:t>
      </w:r>
    </w:p>
    <w:p>
      <w:pPr>
        <w:spacing w:after="0" w:line="207" w:lineRule="exact"/>
        <w:rPr>
          <w:rFonts w:ascii="Arial" w:cs="Arial" w:eastAsia="Arial" w:hAnsi="Arial"/>
          <w:sz w:val="16"/>
          <w:szCs w:val="16"/>
          <w:color w:val="auto"/>
        </w:rPr>
      </w:pPr>
    </w:p>
    <w:p>
      <w:pPr>
        <w:ind w:left="-20" w:firstLine="1953"/>
        <w:spacing w:after="0" w:line="286" w:lineRule="auto"/>
        <w:tabs>
          <w:tab w:leader="none" w:pos="2433"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11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By:___________________________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5" w:name="page46"/>
    <w:bookmarkEnd w:id="45"/>
    <w:p>
      <w:pPr>
        <w:ind w:left="1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VistaGen</w:t>
      </w:r>
    </w:p>
    <w:p>
      <w:pPr>
        <w:spacing w:after="0" w:line="3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87"/>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93"/>
              </w:rPr>
              <w:t>a "Cashless Exercise" with respect to _______________ Warrant Shares.</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56"/>
        <w:spacing w:after="0" w:line="259" w:lineRule="auto"/>
        <w:tabs>
          <w:tab w:leader="none" w:pos="8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ind w:firstLine="656"/>
        <w:spacing w:after="0" w:line="229" w:lineRule="exact"/>
        <w:tabs>
          <w:tab w:leader="none" w:pos="8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Variable Price Securities. By checking the box in this Item 4, the holder elects to exercise the Warrant by substituting the Variable Price for the Exercise Price pursuant to Section 2(d) of the Warrant, which Variable Price equals $___________ per share.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00" w:lineRule="exact"/>
        <w:rPr>
          <w:sz w:val="20"/>
          <w:szCs w:val="20"/>
          <w:color w:val="auto"/>
        </w:rPr>
      </w:pPr>
    </w:p>
    <w:p>
      <w:pPr>
        <w:spacing w:after="0" w:line="24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on or prior to the applicable Share Delivery Date.</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By:________________________________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A-2 WARRANT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w:t>
      </w:r>
      <w:r>
        <w:rPr>
          <w:rFonts w:ascii="Arial" w:cs="Arial" w:eastAsia="Arial" w:hAnsi="Arial"/>
          <w:sz w:val="18"/>
          <w:szCs w:val="18"/>
          <w:u w:val="single" w:color="auto"/>
          <w:color w:val="auto"/>
        </w:rPr>
        <w:t>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 2017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14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VistaGen 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[HOLDER],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6"/>
          <w:szCs w:val="16"/>
          <w:b w:val="1"/>
          <w:bCs w:val="1"/>
          <w:color w:val="auto"/>
        </w:rPr>
        <w:t>Initial Exercisability Date</w:t>
      </w:r>
      <w:r>
        <w:rPr>
          <w:rFonts w:ascii="Arial" w:cs="Arial" w:eastAsia="Arial" w:hAnsi="Arial"/>
          <w:sz w:val="16"/>
          <w:szCs w:val="16"/>
          <w:color w:val="auto"/>
        </w:rPr>
        <w:t>”), but not after 11:59 p.m., New York time, on the Expiration Date, (as defined below), ______________</w:t>
      </w:r>
    </w:p>
    <w:p>
      <w:pPr>
        <w:spacing w:after="0" w:line="3"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w:t>
      </w:r>
      <w:hyperlink w:anchor="page28">
        <w:r>
          <w:rPr>
            <w:rFonts w:ascii="Arial" w:cs="Arial" w:eastAsia="Arial" w:hAnsi="Arial"/>
            <w:sz w:val="11"/>
            <w:szCs w:val="11"/>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fully paid non-assessable shares of Common Stock (as defined below),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16. This Warrant is one of the Warrants to purchase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issued pursuant to (i) that certain Underwriting Agreement, dated as of [ ], 2017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between the Company and Oppenheimer &amp; Co. Inc., (ii) the Company's Registration Statement on Form S-3 (File number 333-215671)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w:t>
      </w:r>
    </w:p>
    <w:p>
      <w:pPr>
        <w:spacing w:after="0" w:line="3"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prospectus supplement dated as of [ ], 2017.</w:t>
      </w:r>
    </w:p>
    <w:p>
      <w:pPr>
        <w:spacing w:after="0" w:line="178" w:lineRule="exact"/>
        <w:rPr>
          <w:rFonts w:ascii="Arial" w:cs="Arial" w:eastAsia="Arial" w:hAnsi="Arial"/>
          <w:sz w:val="18"/>
          <w:szCs w:val="18"/>
          <w:color w:val="auto"/>
        </w:rPr>
      </w:pPr>
    </w:p>
    <w:p>
      <w:pPr>
        <w:ind w:left="1660" w:hanging="355"/>
        <w:spacing w:after="0"/>
        <w:tabs>
          <w:tab w:leader="none" w:pos="166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184" w:lineRule="exact"/>
        <w:rPr>
          <w:rFonts w:ascii="Arial" w:cs="Arial" w:eastAsia="Arial" w:hAnsi="Arial"/>
          <w:sz w:val="18"/>
          <w:szCs w:val="18"/>
          <w:color w:val="auto"/>
        </w:rPr>
      </w:pPr>
    </w:p>
    <w:p>
      <w:pPr>
        <w:ind w:right="40" w:firstLine="1953"/>
        <w:spacing w:after="0" w:line="278" w:lineRule="auto"/>
        <w:tabs>
          <w:tab w:leader="none" w:pos="2356" w:val="left"/>
        </w:tabs>
        <w:numPr>
          <w:ilvl w:val="2"/>
          <w:numId w:val="6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Exercisability Date, in whole or in part, by delivery (whether via facsimile, electronic mail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if the provisions of Section 1(d) are applicable, by notifying the Company that this Warrant is being exercised 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On or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Trading Day following the date on which the Company has received the applicable Exercise Notice, the Company shall transmit by facsimile or electronic mail an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w:t>
      </w:r>
    </w:p>
    <w:p>
      <w:pPr>
        <w:spacing w:after="0" w:line="332" w:lineRule="exact"/>
        <w:rPr>
          <w:sz w:val="20"/>
          <w:szCs w:val="20"/>
          <w:color w:val="auto"/>
        </w:rPr>
      </w:pPr>
    </w:p>
    <w:p>
      <w:pPr>
        <w:ind w:left="5620" w:right="2960" w:hanging="5612"/>
        <w:spacing w:after="0" w:line="848" w:lineRule="auto"/>
        <w:tabs>
          <w:tab w:leader="none" w:pos="122"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Insert the number of shares of Common Stock equal the Holder's pro rata portion of 503,641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84" w:lineRule="auto"/>
        <w:rPr>
          <w:sz w:val="20"/>
          <w:szCs w:val="20"/>
          <w:color w:val="auto"/>
        </w:rPr>
      </w:pPr>
      <w:r>
        <w:rPr>
          <w:rFonts w:ascii="Arial" w:cs="Arial" w:eastAsia="Arial" w:hAnsi="Arial"/>
          <w:sz w:val="16"/>
          <w:szCs w:val="16"/>
          <w:color w:val="auto"/>
        </w:rPr>
        <w:t>Exercise) on or prior to the first (1st) Trading Day following the date on which the Exercise Notice has been delivered to the Company, then on or prior to the first (1st) Trading Day following the date on which the Aggregate Exercise Price (or notice of a Cashless Exercise) is delivered (such earlier date, the “</w:t>
      </w:r>
      <w:r>
        <w:rPr>
          <w:rFonts w:ascii="Arial" w:cs="Arial" w:eastAsia="Arial" w:hAnsi="Arial"/>
          <w:sz w:val="16"/>
          <w:szCs w:val="16"/>
          <w:b w:val="1"/>
          <w:bCs w:val="1"/>
          <w:color w:val="auto"/>
        </w:rPr>
        <w:t>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132" w:lineRule="exact"/>
        <w:rPr>
          <w:sz w:val="20"/>
          <w:szCs w:val="20"/>
          <w:color w:val="auto"/>
        </w:rPr>
      </w:pPr>
    </w:p>
    <w:p>
      <w:pPr>
        <w:ind w:left="2380" w:hanging="427"/>
        <w:spacing w:after="0"/>
        <w:tabs>
          <w:tab w:leader="none" w:pos="238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For purposes of this Warrant, "</w:t>
      </w:r>
      <w:r>
        <w:rPr>
          <w:rFonts w:ascii="Arial" w:cs="Arial" w:eastAsia="Arial" w:hAnsi="Arial"/>
          <w:sz w:val="15"/>
          <w:szCs w:val="15"/>
          <w:b w:val="1"/>
          <w:bCs w:val="1"/>
          <w:color w:val="auto"/>
        </w:rPr>
        <w:t>Exercise Price</w:t>
      </w:r>
      <w:r>
        <w:rPr>
          <w:rFonts w:ascii="Arial" w:cs="Arial" w:eastAsia="Arial" w:hAnsi="Arial"/>
          <w:sz w:val="15"/>
          <w:szCs w:val="15"/>
          <w:color w:val="auto"/>
        </w:rPr>
        <w:t>" means $1.82 per share, subject to adjustment as provided herein.</w:t>
      </w:r>
    </w:p>
    <w:p>
      <w:pPr>
        <w:spacing w:after="0" w:line="225" w:lineRule="exact"/>
        <w:rPr>
          <w:rFonts w:ascii="Arial" w:cs="Arial" w:eastAsia="Arial" w:hAnsi="Arial"/>
          <w:sz w:val="15"/>
          <w:szCs w:val="15"/>
          <w:color w:val="auto"/>
        </w:rPr>
      </w:pPr>
    </w:p>
    <w:p>
      <w:pPr>
        <w:ind w:right="100" w:firstLine="1953"/>
        <w:spacing w:after="0" w:line="286" w:lineRule="auto"/>
        <w:tabs>
          <w:tab w:leader="none" w:pos="235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either (I) the Company shall fail for any reason or for no reason to issue to the Holder on or prior to the applicable Share Delivery Date, if (x) the Transfer Agent is not participating in the DTC Fast Automated Securities Transfer Program, a certificate for the number of shares of Common Stock to which the Holder is entitled and register such Common Stock on the Company's share register or (y) the Transfer Agent is participating in the DTC Fast Automated Securities Transfer Program,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Arial" w:cs="Arial" w:eastAsia="Arial" w:hAnsi="Arial"/>
          <w:sz w:val="16"/>
          <w:szCs w:val="16"/>
          <w:b w:val="1"/>
          <w:bCs w:val="1"/>
          <w:color w:val="auto"/>
        </w:rPr>
        <w:t>Exercise Notice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issuance or resale, as applicable, of such Exercise Notice Warrant Shares and (x) the Company fails to promptly, but in no event</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Arial" w:cs="Arial" w:eastAsia="Arial" w:hAnsi="Arial"/>
          <w:sz w:val="16"/>
          <w:szCs w:val="16"/>
          <w:b w:val="1"/>
          <w:bCs w:val="1"/>
          <w:color w:val="auto"/>
        </w:rPr>
        <w:t>Notice Failure</w:t>
      </w:r>
      <w:r>
        <w:rPr>
          <w:rFonts w:ascii="Arial" w:cs="Arial" w:eastAsia="Arial" w:hAnsi="Arial"/>
          <w:sz w:val="16"/>
          <w:szCs w:val="16"/>
          <w:color w:val="auto"/>
        </w:rPr>
        <w:t>" and together with the event described in clause (I) above, an "</w:t>
      </w:r>
      <w:r>
        <w:rPr>
          <w:rFonts w:ascii="Arial" w:cs="Arial" w:eastAsia="Arial" w:hAnsi="Arial"/>
          <w:sz w:val="16"/>
          <w:szCs w:val="16"/>
          <w:b w:val="1"/>
          <w:bCs w:val="1"/>
          <w:color w:val="auto"/>
        </w:rPr>
        <w:t>Exercise Failure</w:t>
      </w:r>
      <w:r>
        <w:rPr>
          <w:rFonts w:ascii="Arial" w:cs="Arial" w:eastAsia="Arial" w:hAnsi="Arial"/>
          <w:sz w:val="16"/>
          <w:szCs w:val="16"/>
          <w:color w:val="auto"/>
        </w:rPr>
        <w:t>"), then, in addition to all other remedies available to the Holder, if on or prior to the applicable Share Delivery Date either (I) if the Transfer Agent is not participating in the DTC Fast Automated Securities Transfer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ind w:right="20"/>
        <w:spacing w:after="0" w:line="303" w:lineRule="auto"/>
        <w:rPr>
          <w:sz w:val="20"/>
          <w:szCs w:val="20"/>
          <w:color w:val="auto"/>
        </w:rPr>
      </w:pPr>
      <w:r>
        <w:rPr>
          <w:rFonts w:ascii="Arial" w:cs="Arial" w:eastAsia="Arial" w:hAnsi="Arial"/>
          <w:sz w:val="15"/>
          <w:szCs w:val="15"/>
          <w:color w:val="auto"/>
        </w:rPr>
        <w:t>Program, the Company shall fail to issue and deliver a certificate to the Holder and register such shares of Common Stock on the Company's share register or, if the Transfer Agent is participating in the DTC Fast Automated Securities Transfer Program, credit the Holder's balance account with DTC for the number of shares of Common Stock to which the Holder is entitled upon the Holder's exercise hereunder or pursuant to the Company's obligation pursuant to clause (ii) below or (II) a Notice Failure occurs, and if on or after such Trading Day the Holder purchases (in an open market transaction or otherwise) Common Stock to deliver in satisfaction of a sale by the Holder of shares of Common Stock issuable upon such exercise that the Holder anticipated receiving from the Company (a "</w:t>
      </w:r>
      <w:r>
        <w:rPr>
          <w:rFonts w:ascii="Arial" w:cs="Arial" w:eastAsia="Arial" w:hAnsi="Arial"/>
          <w:sz w:val="15"/>
          <w:szCs w:val="15"/>
          <w:b w:val="1"/>
          <w:bCs w:val="1"/>
          <w:color w:val="auto"/>
        </w:rPr>
        <w:t>Buy-In</w:t>
      </w:r>
      <w:r>
        <w:rPr>
          <w:rFonts w:ascii="Arial" w:cs="Arial" w:eastAsia="Arial" w:hAnsi="Arial"/>
          <w:sz w:val="15"/>
          <w:szCs w:val="15"/>
          <w:color w:val="auto"/>
        </w:rPr>
        <w:t>"), then the Company shall, within three (3) Trading Days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any trading price of the Common Stock selected by the Holder in writing as in effect at any time during the period beginning on the applicable Exercise Date and ending on the applicable Share Delivery Date.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Warrant Shares (or to electronically deliver such Warrant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346" w:lineRule="exact"/>
        <w:rPr>
          <w:sz w:val="20"/>
          <w:szCs w:val="20"/>
          <w:color w:val="auto"/>
        </w:rPr>
      </w:pPr>
    </w:p>
    <w:p>
      <w:pPr>
        <w:ind w:firstLine="1953"/>
        <w:spacing w:after="0" w:line="294" w:lineRule="auto"/>
        <w:tabs>
          <w:tab w:leader="none" w:pos="236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a registration statement (which may be the Registration Statement) covering the issuance or resale of the Exercise Notice Warrant Shares is not available for the issuance or resale, as applicable, of such Exercise Notice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0" w:name="page51"/>
    <w:bookmarkEnd w:id="50"/>
    <w:p>
      <w:pPr>
        <w:ind w:left="196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58" w:lineRule="exact"/>
        <w:rPr>
          <w:sz w:val="20"/>
          <w:szCs w:val="20"/>
          <w:color w:val="auto"/>
        </w:rPr>
      </w:pPr>
    </w:p>
    <w:p>
      <w:pPr>
        <w:jc w:val="both"/>
        <w:ind w:left="1620" w:hanging="323"/>
        <w:spacing w:after="0" w:line="283"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Weighted Average Price on the Trading Day immediately preceding the date of the applicable Notice of Exercise or</w:t>
      </w:r>
    </w:p>
    <w:p>
      <w:pPr>
        <w:spacing w:after="0" w:line="2" w:lineRule="exact"/>
        <w:rPr>
          <w:sz w:val="20"/>
          <w:szCs w:val="20"/>
          <w:color w:val="auto"/>
        </w:rPr>
      </w:pPr>
    </w:p>
    <w:p>
      <w:pPr>
        <w:jc w:val="both"/>
        <w:ind w:left="1620" w:firstLine="9"/>
        <w:spacing w:after="0" w:line="253" w:lineRule="auto"/>
        <w:tabs>
          <w:tab w:leader="none" w:pos="18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15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1(d).</w:t>
      </w:r>
    </w:p>
    <w:p>
      <w:pPr>
        <w:spacing w:after="0" w:line="224" w:lineRule="exact"/>
        <w:rPr>
          <w:sz w:val="20"/>
          <w:szCs w:val="20"/>
          <w:color w:val="auto"/>
        </w:rPr>
      </w:pPr>
    </w:p>
    <w:p>
      <w:pPr>
        <w:ind w:right="160" w:firstLine="1953"/>
        <w:spacing w:after="0" w:line="259" w:lineRule="auto"/>
        <w:tabs>
          <w:tab w:leader="none" w:pos="235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53" w:lineRule="exact"/>
        <w:rPr>
          <w:rFonts w:ascii="Arial" w:cs="Arial" w:eastAsia="Arial" w:hAnsi="Arial"/>
          <w:sz w:val="18"/>
          <w:szCs w:val="18"/>
          <w:color w:val="auto"/>
        </w:rPr>
      </w:pPr>
    </w:p>
    <w:p>
      <w:pPr>
        <w:ind w:right="20" w:firstLine="1953"/>
        <w:spacing w:after="0" w:line="282" w:lineRule="auto"/>
        <w:tabs>
          <w:tab w:leader="none" w:pos="2336"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most recent Annual Report 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spacing w:after="0" w:line="280" w:lineRule="auto"/>
        <w:rPr>
          <w:sz w:val="20"/>
          <w:szCs w:val="20"/>
          <w:color w:val="auto"/>
        </w:rPr>
      </w:pPr>
      <w:r>
        <w:rPr>
          <w:rFonts w:ascii="Arial" w:cs="Arial" w:eastAsia="Arial" w:hAnsi="Arial"/>
          <w:sz w:val="16"/>
          <w:szCs w:val="16"/>
          <w:color w:val="auto"/>
        </w:rPr>
        <w:t>Form 10-K, Quarterly Report on Form 10-Q and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41" w:lineRule="exact"/>
        <w:rPr>
          <w:sz w:val="20"/>
          <w:szCs w:val="20"/>
          <w:color w:val="auto"/>
        </w:rPr>
      </w:pPr>
    </w:p>
    <w:p>
      <w:pPr>
        <w:ind w:firstLine="1953"/>
        <w:spacing w:after="0" w:line="286" w:lineRule="auto"/>
        <w:tabs>
          <w:tab w:leader="none" w:pos="236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firstLine="1953"/>
        <w:spacing w:after="0" w:line="286" w:lineRule="auto"/>
        <w:tabs>
          <w:tab w:leader="none" w:pos="236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Failure</w:t>
      </w:r>
      <w:r>
        <w:rPr>
          <w:rFonts w:ascii="Arial" w:cs="Arial" w:eastAsia="Arial" w:hAnsi="Arial"/>
          <w:sz w:val="16"/>
          <w:szCs w:val="16"/>
          <w:color w:val="auto"/>
        </w:rPr>
        <w:t>"), then the Company shall promptly take all action reasonably necessary to increase the Company's authorized shares of Common Stock to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37" w:lineRule="exact"/>
        <w:rPr>
          <w:rFonts w:ascii="Arial" w:cs="Arial" w:eastAsia="Arial" w:hAnsi="Arial"/>
          <w:sz w:val="16"/>
          <w:szCs w:val="16"/>
          <w:color w:val="auto"/>
        </w:rPr>
      </w:pPr>
    </w:p>
    <w:p>
      <w:pPr>
        <w:ind w:right="460" w:firstLine="1305"/>
        <w:spacing w:after="0" w:line="268" w:lineRule="auto"/>
        <w:tabs>
          <w:tab w:leader="none" w:pos="16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45" w:lineRule="exact"/>
        <w:rPr>
          <w:rFonts w:ascii="Arial" w:cs="Arial" w:eastAsia="Arial" w:hAnsi="Arial"/>
          <w:sz w:val="18"/>
          <w:szCs w:val="18"/>
          <w:color w:val="auto"/>
        </w:rPr>
      </w:pPr>
    </w:p>
    <w:p>
      <w:pPr>
        <w:ind w:right="100" w:firstLine="1953"/>
        <w:spacing w:after="0" w:line="286" w:lineRule="auto"/>
        <w:tabs>
          <w:tab w:leader="none" w:pos="235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Common Stock</w:t>
      </w:r>
      <w:r>
        <w:rPr>
          <w:rFonts w:ascii="Arial" w:cs="Arial" w:eastAsia="Arial" w:hAnsi="Arial"/>
          <w:sz w:val="16"/>
          <w:szCs w:val="16"/>
          <w:color w:val="auto"/>
        </w:rPr>
        <w:t>. If and whenever on or after the Subscription Date until the Trading Day immediately following the date of consummation of the transaction pursuant to which the Company has raised, through the issuance of Common Stock and/or Common Stock Equivalents from and after the date of issuance of this Warrant, at least $20.0 million in gross proceeds in the aggregate (not including, for the avoidance of doubt, any proceeds raised by the Company pursuant to the issuance or exercise of this Warrant or other warrants issued contemporaneously with this Warrant or the issuance of any shares of Common Stock issued contemporaneously with the issuance of this Warrant), the Company issues or sells, or in accordance with this Section 2 is deemed to have issued or sold, any shares of Common Stock (including the issuance or sale of shares of Common Stock owned or held by or for the account of the Company, but excluding shares of Common Stock deemed to have been issued or sold by the Company, either before or after the Subscription Date, in connection with any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equal to the Exercise Price in effect immediately prior to such issuance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after such Dilutive Issuance, the Exercise Price then in effect shall be reduced to an amount equal to the New Issuance Price. For purposes of determining the adjusted Exercise Price under this Section 2(a), the following shall be applicable:</w:t>
      </w:r>
    </w:p>
    <w:p>
      <w:pPr>
        <w:spacing w:after="0" w:line="114" w:lineRule="exact"/>
        <w:rPr>
          <w:sz w:val="20"/>
          <w:szCs w:val="20"/>
          <w:color w:val="auto"/>
        </w:rPr>
      </w:pPr>
    </w:p>
    <w:p>
      <w:pPr>
        <w:jc w:val="both"/>
        <w:ind w:left="660" w:firstLine="1293"/>
        <w:spacing w:after="0" w:line="306" w:lineRule="auto"/>
        <w:tabs>
          <w:tab w:leader="none" w:pos="2632"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Issuance of Options</w:t>
      </w:r>
      <w:r>
        <w:rPr>
          <w:rFonts w:ascii="Arial" w:cs="Arial" w:eastAsia="Arial" w:hAnsi="Arial"/>
          <w:sz w:val="15"/>
          <w:szCs w:val="15"/>
          <w:color w:val="auto"/>
        </w:rPr>
        <w:t>. If the Company in any manner grants or sells any Options and the lowest price per share for which one share of Common Stock is issuable upon the exercise of any such Options or upon conversion, exercise or exchange of any Convertible Securities issuable upon exercise of any such Options is less than the Applicable Price, then such share of Common Stock shall be deemed to be outstanding and to have been issued and sold by the Company at the time of the granting or sale of such Options for such price per share. For purposes of this Section 2(a) (i), the "lowest price per share for which one share of Common Stock is issuable upon the exercise of any such Options or upon conversion, exercise or exchange of any Convertible Securities issuable upon exercise of any such Options" shall be equal to the sum of the lowest amounts of consideration (if any) received or receivable by the Company with respect to any one share of Common Stock upon the granting or sale of the Options, upon exercise of the Options and upon conversion, exercise or exchange of any Convertible Security issuable upon exercise of such Options less any consideration paid or payable by the Company with respect to such one share of Common Stock upon the granting or sale of such Options, upon exercise of such Options and upon conversion exercise or exchange of any Convertible Security issuable upon exercise of such Options.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jc w:val="both"/>
        <w:ind w:left="-540" w:firstLine="1293"/>
        <w:spacing w:after="0" w:line="286" w:lineRule="auto"/>
        <w:tabs>
          <w:tab w:leader="none" w:pos="150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2(a)(ii), the "lowest price per share for which one share of Common Stock is issuable upon the conversion, exercise or exchange thereof" shall be equal to the sum of the lowest amounts of consideration (if any) received or receivable by the Company with respect to any one share of Common Stock upon the issuance or sale of the Convertible Security and upon conversion, exercise or exchange of such Convertible Security less any consideration paid or payable by the Company with respect to such one share of Common Stock upon the issuance or sale of such Convertible Security and upon conversion, exercise or exchange of such Convertible Security. No further adjustment of the Exercise Price shall be made upon the actual issuance of such shares of Common Stock upon conversion, exercise or exchange of such Convertible Securities, and if any such issuance or sale of such Convertible Securities is made upon exercise of any Options for which adjustment of the Exercise Price has been or is to be made pursuant to other provisions of this Section 2(a), no further adjustment of the Exercise Price shall be made by reason of such issuance or sale.</w:t>
      </w:r>
    </w:p>
    <w:p>
      <w:pPr>
        <w:spacing w:after="0" w:line="110" w:lineRule="exact"/>
        <w:rPr>
          <w:rFonts w:ascii="Arial" w:cs="Arial" w:eastAsia="Arial" w:hAnsi="Arial"/>
          <w:sz w:val="16"/>
          <w:szCs w:val="16"/>
          <w:color w:val="auto"/>
        </w:rPr>
      </w:pPr>
    </w:p>
    <w:p>
      <w:pPr>
        <w:jc w:val="both"/>
        <w:ind w:left="-540" w:firstLine="1293"/>
        <w:spacing w:after="0" w:line="287" w:lineRule="auto"/>
        <w:tabs>
          <w:tab w:leader="none" w:pos="18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xml:space="preserve"> If the purchase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2(a)(iii), if the terms of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2(a) shall be made if such adjustment would result in an increase of the Exercise Price then in effect.</w:t>
      </w:r>
    </w:p>
    <w:p>
      <w:pPr>
        <w:spacing w:after="0" w:line="109" w:lineRule="exact"/>
        <w:rPr>
          <w:rFonts w:ascii="Arial" w:cs="Arial" w:eastAsia="Arial" w:hAnsi="Arial"/>
          <w:sz w:val="16"/>
          <w:szCs w:val="16"/>
          <w:color w:val="auto"/>
        </w:rPr>
      </w:pPr>
    </w:p>
    <w:p>
      <w:pPr>
        <w:jc w:val="both"/>
        <w:ind w:left="-540" w:firstLine="1293"/>
        <w:spacing w:after="0" w:line="284" w:lineRule="auto"/>
        <w:tabs>
          <w:tab w:leader="none" w:pos="170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In case any Option is issued in connection with the issuance or sale of other securities of the Company,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 of such Options; provided, that if the value determined pursuant to clause (y) above would result in a value less than the par value of the Common Stock, then the other securities issued or sold in such integrated transaction shall be deemed to have been issued or sold for the par value of the Common Stock. If any shares of Common Stock, Options or Convertible Securities are issued or sold or deemed to have been issued or sold for cash, the consideration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publicly traded securities on the date of receipt of such publicly traded securities.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Business Days after the tenth (10th) day following the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115" w:lineRule="exact"/>
        <w:rPr>
          <w:rFonts w:ascii="Arial" w:cs="Arial" w:eastAsia="Arial" w:hAnsi="Arial"/>
          <w:sz w:val="16"/>
          <w:szCs w:val="16"/>
          <w:color w:val="auto"/>
        </w:rPr>
      </w:pPr>
    </w:p>
    <w:p>
      <w:pPr>
        <w:jc w:val="both"/>
        <w:ind w:left="-540" w:firstLine="1293"/>
        <w:spacing w:after="0" w:line="255" w:lineRule="auto"/>
        <w:tabs>
          <w:tab w:leader="none" w:pos="14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29" w:lineRule="exact"/>
        <w:rPr>
          <w:rFonts w:ascii="Arial" w:cs="Arial" w:eastAsia="Arial" w:hAnsi="Arial"/>
          <w:sz w:val="18"/>
          <w:szCs w:val="18"/>
          <w:color w:val="auto"/>
        </w:rPr>
      </w:pPr>
    </w:p>
    <w:p>
      <w:pPr>
        <w:jc w:val="both"/>
        <w:ind w:left="-540" w:firstLine="1293"/>
        <w:spacing w:after="0" w:line="306" w:lineRule="auto"/>
        <w:tabs>
          <w:tab w:leader="none" w:pos="158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Readjustments</w:t>
      </w:r>
      <w:r>
        <w:rPr>
          <w:rFonts w:ascii="Arial" w:cs="Arial" w:eastAsia="Arial" w:hAnsi="Arial"/>
          <w:sz w:val="16"/>
          <w:szCs w:val="16"/>
          <w:color w:val="auto"/>
        </w:rPr>
        <w:t>. For the avoidance of doubt, in the event the Exercise Price has been adjusted pursuant to this Section 2(a) and the Dilutive Issuance that triggered such adjustment is unwound or is cancelled after the facts for any reason whatsoever, in no event shall the Exercise Price be readjusted to the Exercise Price that would have been in effect if such Dilutive Issuance had not occurred or been consummated.]</w:t>
      </w:r>
    </w:p>
    <w:p>
      <w:pPr>
        <w:spacing w:after="0" w:line="120" w:lineRule="exact"/>
        <w:rPr>
          <w:sz w:val="20"/>
          <w:szCs w:val="20"/>
          <w:color w:val="auto"/>
        </w:rPr>
      </w:pPr>
    </w:p>
    <w:p>
      <w:pPr>
        <w:ind w:left="-1200" w:right="380" w:firstLine="1953"/>
        <w:spacing w:after="0" w:line="268" w:lineRule="auto"/>
        <w:tabs>
          <w:tab w:leader="none" w:pos="1166"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 current Exercise Price to any amount and for any period of time deemed appropriate by the Board of Directors of the Company.</w:t>
      </w:r>
    </w:p>
    <w:p>
      <w:pPr>
        <w:spacing w:after="0" w:line="145" w:lineRule="exact"/>
        <w:rPr>
          <w:rFonts w:ascii="Arial" w:cs="Arial" w:eastAsia="Arial" w:hAnsi="Arial"/>
          <w:sz w:val="18"/>
          <w:szCs w:val="18"/>
          <w:color w:val="auto"/>
        </w:rPr>
      </w:pPr>
    </w:p>
    <w:p>
      <w:pPr>
        <w:ind w:left="-1200" w:right="20" w:firstLine="1953"/>
        <w:spacing w:after="0" w:line="290" w:lineRule="auto"/>
        <w:tabs>
          <w:tab w:leader="none" w:pos="115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Common Stock</w:t>
      </w:r>
      <w:r>
        <w:rPr>
          <w:rFonts w:ascii="Arial" w:cs="Arial" w:eastAsia="Arial" w:hAnsi="Arial"/>
          <w:sz w:val="16"/>
          <w:szCs w:val="16"/>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2(c) shall become effective at the close of business on the date the subdivision or combination becomes effective.</w:t>
      </w:r>
    </w:p>
    <w:p>
      <w:pPr>
        <w:spacing w:after="0" w:line="131" w:lineRule="exact"/>
        <w:rPr>
          <w:rFonts w:ascii="Arial" w:cs="Arial" w:eastAsia="Arial" w:hAnsi="Arial"/>
          <w:sz w:val="16"/>
          <w:szCs w:val="16"/>
          <w:color w:val="auto"/>
        </w:rPr>
      </w:pPr>
    </w:p>
    <w:p>
      <w:pPr>
        <w:ind w:left="-1200" w:right="80" w:firstLine="1953"/>
        <w:spacing w:after="0" w:line="294" w:lineRule="auto"/>
        <w:tabs>
          <w:tab w:leader="none" w:pos="116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adjustment pursuant to this Section 2(d) will increase the Exercise Price or decrease the number of Warrant Shares as otherwise determined pursuant to this Section 2.]</w:t>
      </w:r>
    </w:p>
    <w:p>
      <w:pPr>
        <w:spacing w:after="0" w:line="129" w:lineRule="exact"/>
        <w:rPr>
          <w:rFonts w:ascii="Arial" w:cs="Arial" w:eastAsia="Arial" w:hAnsi="Arial"/>
          <w:sz w:val="16"/>
          <w:szCs w:val="16"/>
          <w:color w:val="auto"/>
        </w:rPr>
      </w:pPr>
    </w:p>
    <w:p>
      <w:pPr>
        <w:ind w:left="-1200" w:right="200" w:firstLine="1305"/>
        <w:spacing w:after="0" w:line="298" w:lineRule="auto"/>
        <w:tabs>
          <w:tab w:leader="none" w:pos="44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w:t>
      </w:r>
    </w:p>
    <w:p>
      <w:pPr>
        <w:sectPr>
          <w:pgSz w:w="11900" w:h="16838" w:orient="portrait"/>
          <w:cols w:equalWidth="0" w:num="1">
            <w:col w:w="10220"/>
          </w:cols>
          <w:pgMar w:left="1440" w:top="563" w:right="239" w:bottom="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5" w:name="page56"/>
    <w:bookmarkEnd w:id="55"/>
    <w:p>
      <w:pPr>
        <w:spacing w:after="0" w:line="294" w:lineRule="auto"/>
        <w:rPr>
          <w:sz w:val="20"/>
          <w:szCs w:val="20"/>
          <w:color w:val="auto"/>
        </w:rPr>
      </w:pPr>
      <w:r>
        <w:rPr>
          <w:rFonts w:ascii="Arial" w:cs="Arial" w:eastAsia="Arial" w:hAnsi="Arial"/>
          <w:sz w:val="16"/>
          <w:szCs w:val="16"/>
          <w:color w:val="auto"/>
        </w:rPr>
        <w:t>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29" w:lineRule="exact"/>
        <w:rPr>
          <w:sz w:val="20"/>
          <w:szCs w:val="20"/>
          <w:color w:val="auto"/>
        </w:rPr>
      </w:pPr>
    </w:p>
    <w:p>
      <w:pPr>
        <w:ind w:left="1660" w:hanging="355"/>
        <w:spacing w:after="0"/>
        <w:tabs>
          <w:tab w:leader="none" w:pos="16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0" w:firstLine="1953"/>
        <w:spacing w:after="0" w:line="285" w:lineRule="auto"/>
        <w:tabs>
          <w:tab w:leader="none" w:pos="2356"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but excluding shares of Common Stock deemed to have been issued or sold by the Company in connection with any Excluded Securities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41" w:lineRule="exact"/>
        <w:rPr>
          <w:rFonts w:ascii="Arial" w:cs="Arial" w:eastAsia="Arial" w:hAnsi="Arial"/>
          <w:sz w:val="16"/>
          <w:szCs w:val="16"/>
          <w:color w:val="auto"/>
        </w:rPr>
      </w:pPr>
    </w:p>
    <w:p>
      <w:pPr>
        <w:ind w:right="20" w:firstLine="1953"/>
        <w:spacing w:after="0" w:line="285" w:lineRule="auto"/>
        <w:tabs>
          <w:tab w:leader="none" w:pos="2366"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6" w:name="page57"/>
    <w:bookmarkEnd w:id="56"/>
    <w:p>
      <w:pPr>
        <w:jc w:val="both"/>
        <w:ind w:firstLine="1297"/>
        <w:spacing w:after="0" w:line="284" w:lineRule="auto"/>
        <w:rPr>
          <w:sz w:val="20"/>
          <w:szCs w:val="20"/>
          <w:color w:val="auto"/>
        </w:rPr>
      </w:pPr>
      <w:r>
        <w:rPr>
          <w:rFonts w:ascii="Arial" w:cs="Arial" w:eastAsia="Arial" w:hAnsi="Arial"/>
          <w:sz w:val="16"/>
          <w:szCs w:val="16"/>
          <w:color w:val="auto"/>
        </w:rPr>
        <w:t>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(collectively, the “</w:t>
      </w:r>
      <w:r>
        <w:rPr>
          <w:rFonts w:ascii="Arial" w:cs="Arial" w:eastAsia="Arial" w:hAnsi="Arial"/>
          <w:sz w:val="16"/>
          <w:szCs w:val="16"/>
          <w:b w:val="1"/>
          <w:bCs w:val="1"/>
          <w:color w:val="auto"/>
        </w:rPr>
        <w:t>Corporate Event Consideration</w:t>
      </w:r>
      <w:r>
        <w:rPr>
          <w:rFonts w:ascii="Arial" w:cs="Arial" w:eastAsia="Arial" w:hAnsi="Arial"/>
          <w:sz w:val="16"/>
          <w:szCs w:val="16"/>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the foregoing, in the event of a Change of Control (other than a Change of Control which was not approved by the Board of Directors, as to which this right shall not apply), at the request of the Holder delivered before the 30th day after such Change of Control, the Company (or the Successor Entity) shall purchase this Warrant from the Holder by paying to the Holder, within five Business Days after such request (or, if later, on the effective date of the Change of Control), an amount equal to the Black Scholes Value of the remaining unexercised portion of this Warrant on the effective date of such Change of Control, payable in cash; provided, that if the applicable Change of Control was not approved by the Company's Board of Directors, such amount shall be payable, at the option of the Company in either (x) Common Stock (or corresponding Corporate Event Consideration, as applicable) valued at the value of the consideration received by the shareholders in such Change of Control or (y) cash.</w:t>
      </w:r>
    </w:p>
    <w:p>
      <w:pPr>
        <w:spacing w:after="0" w:line="141" w:lineRule="exact"/>
        <w:rPr>
          <w:sz w:val="20"/>
          <w:szCs w:val="20"/>
          <w:color w:val="auto"/>
        </w:rPr>
      </w:pPr>
    </w:p>
    <w:p>
      <w:pPr>
        <w:ind w:right="60" w:firstLine="1305"/>
        <w:spacing w:after="0" w:line="287" w:lineRule="auto"/>
        <w:tabs>
          <w:tab w:leader="none" w:pos="164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Restated and Amended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36" w:lineRule="exact"/>
        <w:rPr>
          <w:rFonts w:ascii="Arial" w:cs="Arial" w:eastAsia="Arial" w:hAnsi="Arial"/>
          <w:sz w:val="16"/>
          <w:szCs w:val="16"/>
          <w:color w:val="auto"/>
        </w:rPr>
      </w:pPr>
    </w:p>
    <w:p>
      <w:pPr>
        <w:ind w:firstLine="1305"/>
        <w:spacing w:after="0" w:line="287" w:lineRule="auto"/>
        <w:tabs>
          <w:tab w:leader="none" w:pos="164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p>
      <w:pPr>
        <w:ind w:left="1652" w:hanging="355"/>
        <w:spacing w:after="0"/>
        <w:tabs>
          <w:tab w:leader="none" w:pos="165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8" w:right="100" w:firstLine="1953"/>
        <w:spacing w:after="0" w:line="255" w:lineRule="auto"/>
        <w:tabs>
          <w:tab w:leader="none" w:pos="2348"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56" w:lineRule="exact"/>
        <w:rPr>
          <w:rFonts w:ascii="Arial" w:cs="Arial" w:eastAsia="Arial" w:hAnsi="Arial"/>
          <w:sz w:val="18"/>
          <w:szCs w:val="18"/>
          <w:color w:val="auto"/>
        </w:rPr>
      </w:pPr>
    </w:p>
    <w:p>
      <w:pPr>
        <w:ind w:left="-8" w:right="320" w:firstLine="1953"/>
        <w:spacing w:after="0" w:line="255" w:lineRule="auto"/>
        <w:tabs>
          <w:tab w:leader="none" w:pos="2358"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6" w:lineRule="exact"/>
        <w:rPr>
          <w:rFonts w:ascii="Arial" w:cs="Arial" w:eastAsia="Arial" w:hAnsi="Arial"/>
          <w:sz w:val="18"/>
          <w:szCs w:val="18"/>
          <w:color w:val="auto"/>
        </w:rPr>
      </w:pPr>
    </w:p>
    <w:p>
      <w:pPr>
        <w:ind w:left="-8" w:right="20" w:firstLine="1953"/>
        <w:spacing w:after="0" w:line="256" w:lineRule="auto"/>
        <w:tabs>
          <w:tab w:leader="none" w:pos="2348"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56" w:lineRule="exact"/>
        <w:rPr>
          <w:rFonts w:ascii="Arial" w:cs="Arial" w:eastAsia="Arial" w:hAnsi="Arial"/>
          <w:sz w:val="18"/>
          <w:szCs w:val="18"/>
          <w:color w:val="auto"/>
        </w:rPr>
      </w:pPr>
    </w:p>
    <w:p>
      <w:pPr>
        <w:ind w:left="-8" w:right="160" w:firstLine="1953"/>
        <w:spacing w:after="0" w:line="291" w:lineRule="auto"/>
        <w:tabs>
          <w:tab w:leader="none" w:pos="2358" w:val="left"/>
        </w:tabs>
        <w:numPr>
          <w:ilvl w:val="2"/>
          <w:numId w:val="76"/>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33" w:lineRule="exact"/>
        <w:rPr>
          <w:rFonts w:ascii="Arial" w:cs="Arial" w:eastAsia="Arial" w:hAnsi="Arial"/>
          <w:sz w:val="16"/>
          <w:szCs w:val="16"/>
          <w:color w:val="auto"/>
        </w:rPr>
      </w:pPr>
    </w:p>
    <w:p>
      <w:pPr>
        <w:ind w:left="-8" w:firstLine="1305"/>
        <w:spacing w:after="0" w:line="283" w:lineRule="auto"/>
        <w:tabs>
          <w:tab w:leader="none" w:pos="1636"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w:t>
      </w:r>
    </w:p>
    <w:p>
      <w:pPr>
        <w:spacing w:after="0" w:line="2" w:lineRule="exact"/>
        <w:rPr>
          <w:rFonts w:ascii="Arial" w:cs="Arial" w:eastAsia="Arial" w:hAnsi="Arial"/>
          <w:sz w:val="16"/>
          <w:szCs w:val="16"/>
          <w:color w:val="auto"/>
        </w:rPr>
      </w:pPr>
    </w:p>
    <w:p>
      <w:pPr>
        <w:ind w:left="-8" w:right="40" w:firstLine="8"/>
        <w:spacing w:after="0" w:line="302" w:lineRule="auto"/>
        <w:tabs>
          <w:tab w:leader="none" w:pos="2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the date of transmission, if delivered by electronic mail to each of the email addresses specified in this Section 8 prior to 5:00 p.m. (New York time) on a Trading Day, (E) the next Trading Day after the date of transmission, if delivered by electronic mail to each of the email addresses specified in this Section 8 on a day that is not a Trading Day or later than 5:00 p.m. (New York time) on any Trading Day and (E) if delivered by facsimile, upon electroni</w:t>
      </w:r>
    </w:p>
    <w:p>
      <w:pPr>
        <w:spacing w:after="0" w:line="3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90" w:right="259" w:bottom="1440" w:gutter="0" w:footer="0" w:header="0"/>
        </w:sectPr>
      </w:pPr>
    </w:p>
    <w:bookmarkStart w:id="58" w:name="page59"/>
    <w:bookmarkEnd w:id="58"/>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confirmation of receipt of such facsimile, and will be delivered and addressed as follows:</w:t>
      </w:r>
    </w:p>
    <w:p>
      <w:pPr>
        <w:spacing w:after="0" w:line="158" w:lineRule="exact"/>
        <w:rPr>
          <w:sz w:val="20"/>
          <w:szCs w:val="20"/>
          <w:color w:val="auto"/>
        </w:rPr>
      </w:pPr>
    </w:p>
    <w:p>
      <w:pPr>
        <w:ind w:left="3340" w:hanging="739"/>
        <w:spacing w:after="0"/>
        <w:tabs>
          <w:tab w:leader="none" w:pos="3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VistaGen Therapeutics, Inc.</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343 Allerton Ave.</w:t>
      </w:r>
    </w:p>
    <w:p>
      <w:pPr>
        <w:spacing w:after="0" w:line="9" w:lineRule="exact"/>
        <w:rPr>
          <w:rFonts w:ascii="Arial" w:cs="Arial" w:eastAsia="Arial" w:hAnsi="Arial"/>
          <w:sz w:val="18"/>
          <w:szCs w:val="18"/>
          <w:color w:val="auto"/>
        </w:rPr>
      </w:pPr>
    </w:p>
    <w:p>
      <w:pPr>
        <w:ind w:left="2600" w:right="6560"/>
        <w:spacing w:after="0" w:line="250" w:lineRule="auto"/>
        <w:rPr>
          <w:rFonts w:ascii="Arial" w:cs="Arial" w:eastAsia="Arial" w:hAnsi="Arial"/>
          <w:sz w:val="18"/>
          <w:szCs w:val="18"/>
          <w:color w:val="auto"/>
        </w:rPr>
      </w:pPr>
      <w:r>
        <w:rPr>
          <w:rFonts w:ascii="Arial" w:cs="Arial" w:eastAsia="Arial" w:hAnsi="Arial"/>
          <w:sz w:val="18"/>
          <w:szCs w:val="18"/>
          <w:color w:val="auto"/>
        </w:rPr>
        <w:t>South San Francisco, CA 94090 Attention: [ ]</w:t>
      </w:r>
    </w:p>
    <w:p>
      <w:pPr>
        <w:ind w:left="2600"/>
        <w:spacing w:after="0"/>
        <w:rPr>
          <w:rFonts w:ascii="Arial" w:cs="Arial" w:eastAsia="Arial" w:hAnsi="Arial"/>
          <w:sz w:val="18"/>
          <w:szCs w:val="18"/>
          <w:color w:val="auto"/>
        </w:rPr>
      </w:pPr>
      <w:r>
        <w:rPr>
          <w:rFonts w:ascii="Arial" w:cs="Arial" w:eastAsia="Arial" w:hAnsi="Arial"/>
          <w:sz w:val="18"/>
          <w:szCs w:val="18"/>
          <w:color w:val="auto"/>
        </w:rPr>
        <w:t>Facsimile: [ ]</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Email: [ ]</w:t>
      </w:r>
    </w:p>
    <w:p>
      <w:pPr>
        <w:spacing w:after="0" w:line="367" w:lineRule="exact"/>
        <w:rPr>
          <w:rFonts w:ascii="Arial" w:cs="Arial" w:eastAsia="Arial" w:hAnsi="Arial"/>
          <w:sz w:val="18"/>
          <w:szCs w:val="18"/>
          <w:color w:val="auto"/>
        </w:rPr>
      </w:pPr>
    </w:p>
    <w:p>
      <w:pPr>
        <w:ind w:left="1300" w:firstLine="1301"/>
        <w:spacing w:after="0" w:line="268" w:lineRule="auto"/>
        <w:tabs>
          <w:tab w:leader="none" w:pos="28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w:t>
      </w:r>
    </w:p>
    <w:p>
      <w:pPr>
        <w:spacing w:after="0" w:line="11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w:t>
      </w:r>
    </w:p>
    <w:p>
      <w:pPr>
        <w:spacing w:after="0" w:line="1" w:lineRule="exact"/>
        <w:rPr>
          <w:sz w:val="20"/>
          <w:szCs w:val="20"/>
          <w:color w:val="auto"/>
        </w:rPr>
      </w:pPr>
    </w:p>
    <w:p>
      <w:pPr>
        <w:jc w:val="both"/>
        <w:ind w:firstLine="8"/>
        <w:spacing w:after="0" w:line="252" w:lineRule="auto"/>
        <w:tabs>
          <w:tab w:leader="none" w:pos="3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61" w:lineRule="exact"/>
        <w:rPr>
          <w:rFonts w:ascii="Arial" w:cs="Arial" w:eastAsia="Arial" w:hAnsi="Arial"/>
          <w:sz w:val="18"/>
          <w:szCs w:val="18"/>
          <w:color w:val="auto"/>
        </w:rPr>
      </w:pPr>
    </w:p>
    <w:p>
      <w:pPr>
        <w:ind w:right="40" w:firstLine="1305"/>
        <w:spacing w:after="0" w:line="259" w:lineRule="auto"/>
        <w:tabs>
          <w:tab w:leader="none" w:pos="173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53" w:lineRule="exact"/>
        <w:rPr>
          <w:rFonts w:ascii="Arial" w:cs="Arial" w:eastAsia="Arial" w:hAnsi="Arial"/>
          <w:sz w:val="18"/>
          <w:szCs w:val="18"/>
          <w:color w:val="auto"/>
        </w:rPr>
      </w:pPr>
    </w:p>
    <w:p>
      <w:pPr>
        <w:ind w:right="20" w:firstLine="1305"/>
        <w:spacing w:after="0" w:line="282" w:lineRule="auto"/>
        <w:tabs>
          <w:tab w:leader="none" w:pos="172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w:t>
      </w:r>
    </w:p>
    <w:p>
      <w:pPr>
        <w:spacing w:after="0" w:line="5" w:lineRule="exact"/>
        <w:rPr>
          <w:rFonts w:ascii="Arial" w:cs="Arial" w:eastAsia="Arial" w:hAnsi="Arial"/>
          <w:sz w:val="16"/>
          <w:szCs w:val="16"/>
          <w:color w:val="auto"/>
        </w:rPr>
      </w:pPr>
    </w:p>
    <w:p>
      <w:pPr>
        <w:ind w:right="4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ind w:firstLine="1305"/>
        <w:spacing w:after="0" w:line="286" w:lineRule="auto"/>
        <w:tabs>
          <w:tab w:leader="none" w:pos="17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TRANSACTIONS</w:t>
      </w:r>
      <w:r>
        <w:rPr>
          <w:rFonts w:ascii="Arial" w:cs="Arial" w:eastAsia="Arial" w:hAnsi="Arial"/>
          <w:sz w:val="16"/>
          <w:szCs w:val="16"/>
          <w:color w:val="auto"/>
        </w:rPr>
        <w:t>. Notwithstanding anything to the contrary contained herein, including without limitation, the provisions set forth in Section 2(d) of this Warrant], from and after the Subscription Date and on or prior to the Expiration Date, the Company shall be prohibited from effecting or entering into an agreement to effect any issuance by the Company or any of its Subsidiaries of Common Stock, Convertible Securities or Options (or a combination thereof) involving a Variable Rate Transaction. As used herein,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of its Subsidiaries (i) issues or sells any debt or equity security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at-the-market offering, whereby the Company or any of its Subsidiaries may issue securities at a future determined price. For the avoidance of doubt, the issuance of a Common Stock Equivalent with a fixed exercise or conversion price with a standard price only full ratchet or weighted average anti-dilution provision shall not be considered to be a Variable Rate Transaction.</w:t>
      </w:r>
    </w:p>
    <w:p>
      <w:pPr>
        <w:spacing w:after="0" w:line="137" w:lineRule="exact"/>
        <w:rPr>
          <w:rFonts w:ascii="Arial" w:cs="Arial" w:eastAsia="Arial" w:hAnsi="Arial"/>
          <w:sz w:val="16"/>
          <w:szCs w:val="16"/>
          <w:color w:val="auto"/>
        </w:rPr>
      </w:pPr>
    </w:p>
    <w:p>
      <w:pPr>
        <w:ind w:right="60" w:firstLine="1305"/>
        <w:spacing w:after="0" w:line="287" w:lineRule="auto"/>
        <w:tabs>
          <w:tab w:leader="none" w:pos="17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36" w:lineRule="exact"/>
        <w:rPr>
          <w:rFonts w:ascii="Arial" w:cs="Arial" w:eastAsia="Arial" w:hAnsi="Arial"/>
          <w:sz w:val="16"/>
          <w:szCs w:val="16"/>
          <w:color w:val="auto"/>
        </w:rPr>
      </w:pPr>
    </w:p>
    <w:p>
      <w:pPr>
        <w:ind w:right="40" w:firstLine="1305"/>
        <w:spacing w:after="0" w:line="290" w:lineRule="auto"/>
        <w:tabs>
          <w:tab w:leader="none" w:pos="17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32" w:lineRule="exact"/>
        <w:rPr>
          <w:sz w:val="20"/>
          <w:szCs w:val="20"/>
          <w:color w:val="auto"/>
        </w:rPr>
      </w:pPr>
    </w:p>
    <w:p>
      <w:pPr>
        <w:ind w:firstLine="1297"/>
        <w:spacing w:after="0" w:line="26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w:t>
      </w:r>
    </w:p>
    <w:p>
      <w:pPr>
        <w:spacing w:after="0" w:line="145" w:lineRule="exact"/>
        <w:rPr>
          <w:sz w:val="20"/>
          <w:szCs w:val="20"/>
          <w:color w:val="auto"/>
        </w:rPr>
      </w:pPr>
    </w:p>
    <w:p>
      <w:pPr>
        <w:ind w:right="40" w:firstLine="1305"/>
        <w:spacing w:after="0" w:line="287" w:lineRule="auto"/>
        <w:tabs>
          <w:tab w:leader="none" w:pos="17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SEVERABILITY; CONSTRUCTION; HEADINGS</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left="-80" w:firstLine="1305"/>
        <w:spacing w:after="0" w:line="314" w:lineRule="auto"/>
        <w:tabs>
          <w:tab w:leader="none" w:pos="1652"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18" w:lineRule="exact"/>
        <w:rPr>
          <w:rFonts w:ascii="Arial" w:cs="Arial" w:eastAsia="Arial" w:hAnsi="Arial"/>
          <w:sz w:val="15"/>
          <w:szCs w:val="15"/>
          <w:color w:val="auto"/>
        </w:rPr>
      </w:pPr>
    </w:p>
    <w:p>
      <w:pPr>
        <w:ind w:left="1660" w:hanging="435"/>
        <w:spacing w:after="0"/>
        <w:tabs>
          <w:tab w:leader="none" w:pos="16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78" w:lineRule="exact"/>
        <w:rPr>
          <w:rFonts w:ascii="Arial" w:cs="Arial" w:eastAsia="Arial" w:hAnsi="Arial"/>
          <w:sz w:val="18"/>
          <w:szCs w:val="18"/>
          <w:color w:val="auto"/>
        </w:rPr>
      </w:pPr>
    </w:p>
    <w:p>
      <w:pPr>
        <w:jc w:val="both"/>
        <w:ind w:left="-80" w:right="120" w:firstLine="1953"/>
        <w:spacing w:after="0" w:line="258" w:lineRule="auto"/>
        <w:tabs>
          <w:tab w:leader="none" w:pos="2276"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49" w:lineRule="exact"/>
        <w:rPr>
          <w:rFonts w:ascii="Arial" w:cs="Arial" w:eastAsia="Arial" w:hAnsi="Arial"/>
          <w:sz w:val="18"/>
          <w:szCs w:val="18"/>
          <w:color w:val="auto"/>
        </w:rPr>
      </w:pPr>
    </w:p>
    <w:p>
      <w:pPr>
        <w:ind w:left="-80" w:right="240" w:firstLine="1953"/>
        <w:spacing w:after="0" w:line="310" w:lineRule="auto"/>
        <w:tabs>
          <w:tab w:leader="none" w:pos="2286"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Stock Plan</w:t>
      </w:r>
      <w:r>
        <w:rPr>
          <w:rFonts w:ascii="Arial" w:cs="Arial" w:eastAsia="Arial" w:hAnsi="Arial"/>
          <w:sz w:val="16"/>
          <w:szCs w:val="16"/>
          <w:color w:val="auto"/>
        </w:rPr>
        <w:t>" means the Company’s 2016 Amended and Restated Stock Incentive Plan and any employee benefit plan which has been approved by a majority of the disinterested members of the Board of Directors of the Company, in each case pursuant to which the Company’s securities may be issued to any employee, officer or director for services provided to the Company.</w:t>
      </w:r>
    </w:p>
    <w:p>
      <w:pPr>
        <w:spacing w:after="0" w:line="110" w:lineRule="exact"/>
        <w:rPr>
          <w:rFonts w:ascii="Arial" w:cs="Arial" w:eastAsia="Arial" w:hAnsi="Arial"/>
          <w:sz w:val="16"/>
          <w:szCs w:val="16"/>
          <w:color w:val="auto"/>
        </w:rPr>
      </w:pPr>
    </w:p>
    <w:p>
      <w:pPr>
        <w:ind w:left="-80" w:right="80" w:firstLine="1953"/>
        <w:spacing w:after="0" w:line="293" w:lineRule="auto"/>
        <w:tabs>
          <w:tab w:leader="none" w:pos="2276"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24" w:lineRule="exact"/>
        <w:rPr>
          <w:rFonts w:ascii="Arial" w:cs="Arial" w:eastAsia="Arial" w:hAnsi="Arial"/>
          <w:sz w:val="16"/>
          <w:szCs w:val="16"/>
          <w:color w:val="auto"/>
        </w:rPr>
      </w:pPr>
    </w:p>
    <w:p>
      <w:pPr>
        <w:ind w:left="-80" w:right="20" w:firstLine="1953"/>
        <w:spacing w:after="0" w:line="287" w:lineRule="auto"/>
        <w:tabs>
          <w:tab w:leader="none" w:pos="2329"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11. All such determinations shall be appropriately adjusted for any stock dividend, stock split, stock combination or other similar transaction during such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590" w:right="299" w:bottom="1440" w:gutter="0" w:footer="0" w:header="0"/>
        </w:sectPr>
      </w:pPr>
    </w:p>
    <w:bookmarkStart w:id="61" w:name="page62"/>
    <w:bookmarkEnd w:id="61"/>
    <w:p>
      <w:pPr>
        <w:ind w:left="-20" w:right="60" w:firstLine="1953"/>
        <w:spacing w:after="0" w:line="290" w:lineRule="auto"/>
        <w:tabs>
          <w:tab w:leader="none" w:pos="23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determined as of the day immediately following the first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highest Weighted Average Price during the five (5) Trading Days prior to the closing of the Fundamental Transaction, (iv) a zero cost of borrow and (v) a 360 day annualization factor.</w:t>
      </w:r>
    </w:p>
    <w:p>
      <w:pPr>
        <w:spacing w:after="0" w:line="125" w:lineRule="exact"/>
        <w:rPr>
          <w:rFonts w:ascii="Arial" w:cs="Arial" w:eastAsia="Arial" w:hAnsi="Arial"/>
          <w:sz w:val="16"/>
          <w:szCs w:val="16"/>
          <w:color w:val="auto"/>
        </w:rPr>
      </w:pPr>
    </w:p>
    <w:p>
      <w:pPr>
        <w:ind w:left="2320" w:hanging="387"/>
        <w:spacing w:after="0"/>
        <w:tabs>
          <w:tab w:leader="none" w:pos="2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84" w:lineRule="exact"/>
        <w:rPr>
          <w:rFonts w:ascii="Arial" w:cs="Arial" w:eastAsia="Arial" w:hAnsi="Arial"/>
          <w:sz w:val="18"/>
          <w:szCs w:val="18"/>
          <w:color w:val="auto"/>
        </w:rPr>
      </w:pPr>
    </w:p>
    <w:p>
      <w:pPr>
        <w:ind w:left="-20" w:right="100" w:firstLine="1953"/>
        <w:spacing w:after="0" w:line="275" w:lineRule="auto"/>
        <w:tabs>
          <w:tab w:leader="none" w:pos="23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33" w:lineRule="exact"/>
        <w:rPr>
          <w:rFonts w:ascii="Arial" w:cs="Arial" w:eastAsia="Arial" w:hAnsi="Arial"/>
          <w:sz w:val="18"/>
          <w:szCs w:val="18"/>
          <w:color w:val="auto"/>
        </w:rPr>
      </w:pPr>
    </w:p>
    <w:p>
      <w:pPr>
        <w:ind w:left="-20" w:right="20" w:firstLine="1953"/>
        <w:spacing w:after="0" w:line="287" w:lineRule="auto"/>
        <w:tabs>
          <w:tab w:leader="none" w:pos="2346"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32" w:lineRule="exact"/>
        <w:rPr>
          <w:rFonts w:ascii="Arial" w:cs="Arial" w:eastAsia="Arial" w:hAnsi="Arial"/>
          <w:sz w:val="16"/>
          <w:szCs w:val="16"/>
          <w:color w:val="auto"/>
        </w:rPr>
      </w:pPr>
    </w:p>
    <w:p>
      <w:pPr>
        <w:ind w:left="-20" w:firstLine="1953"/>
        <w:spacing w:after="0" w:line="286" w:lineRule="auto"/>
        <w:tabs>
          <w:tab w:leader="none" w:pos="23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134" w:lineRule="exact"/>
        <w:rPr>
          <w:rFonts w:ascii="Arial" w:cs="Arial" w:eastAsia="Arial" w:hAnsi="Arial"/>
          <w:sz w:val="16"/>
          <w:szCs w:val="16"/>
          <w:color w:val="auto"/>
        </w:rPr>
      </w:pPr>
    </w:p>
    <w:p>
      <w:pPr>
        <w:ind w:left="-20" w:right="300" w:firstLine="1953"/>
        <w:spacing w:after="0" w:line="275" w:lineRule="auto"/>
        <w:tabs>
          <w:tab w:leader="none" w:pos="2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2" w:name="page63"/>
    <w:bookmarkEnd w:id="62"/>
    <w:p>
      <w:pPr>
        <w:ind w:firstLine="1953"/>
        <w:spacing w:after="0" w:line="275" w:lineRule="auto"/>
        <w:tabs>
          <w:tab w:leader="none" w:pos="2366" w:val="left"/>
        </w:tabs>
        <w:numPr>
          <w:ilvl w:val="1"/>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33" w:lineRule="exact"/>
        <w:rPr>
          <w:rFonts w:ascii="Arial" w:cs="Arial" w:eastAsia="Arial" w:hAnsi="Arial"/>
          <w:sz w:val="18"/>
          <w:szCs w:val="18"/>
          <w:color w:val="auto"/>
        </w:rPr>
      </w:pPr>
    </w:p>
    <w:p>
      <w:pPr>
        <w:ind w:right="120" w:firstLine="1953"/>
        <w:spacing w:after="0" w:line="275" w:lineRule="auto"/>
        <w:tabs>
          <w:tab w:leader="none" w:pos="2327" w:val="left"/>
        </w:tabs>
        <w:numPr>
          <w:ilvl w:val="1"/>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133" w:lineRule="exact"/>
        <w:rPr>
          <w:rFonts w:ascii="Arial" w:cs="Arial" w:eastAsia="Arial" w:hAnsi="Arial"/>
          <w:sz w:val="18"/>
          <w:szCs w:val="18"/>
          <w:color w:val="auto"/>
        </w:rPr>
      </w:pPr>
    </w:p>
    <w:p>
      <w:pPr>
        <w:ind w:right="20" w:firstLine="1953"/>
        <w:spacing w:after="0" w:line="293" w:lineRule="auto"/>
        <w:tabs>
          <w:tab w:leader="none" w:pos="2458"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shares of Common Stock issued or issuable, or deemed issued or issuable pursuant to Section 2(a): (i) in connection with any Approved Stock Plan, (ii) upon exercise of the Warrants; provided, that the terms of such Warrants are not amended, modified or changed on or after the Subscription Date, (iii) upon conversion, exercise or exchange of any Options or Convertible Securities which are outstanding on the day immediately preceding the Subscription Date</w:t>
      </w:r>
      <w:r>
        <w:rPr>
          <w:rFonts w:ascii="Arial" w:cs="Arial" w:eastAsia="Arial" w:hAnsi="Arial"/>
          <w:sz w:val="16"/>
          <w:szCs w:val="16"/>
          <w:color w:val="auto"/>
          <w:strike w:val="1"/>
        </w:rPr>
        <w:t>.</w:t>
      </w:r>
      <w:r>
        <w:rPr>
          <w:rFonts w:ascii="Arial" w:cs="Arial" w:eastAsia="Arial" w:hAnsi="Arial"/>
          <w:sz w:val="16"/>
          <w:szCs w:val="16"/>
          <w:color w:val="auto"/>
        </w:rPr>
        <w:t>; provided, that the terms of such Options or Convertible Securities are not amended, modified or changed on or after the Subscription Date and (iv) issued as payment of regular dividends pursuant to the terms of the Company’s Series B Preferred Stock; provided, that the terms of the Series B Preferred Stock are not amended, modified or changed on or after the Subscription Date.</w:t>
      </w:r>
    </w:p>
    <w:p>
      <w:pPr>
        <w:spacing w:after="0" w:line="191" w:lineRule="exact"/>
        <w:rPr>
          <w:rFonts w:ascii="Arial" w:cs="Arial" w:eastAsia="Arial" w:hAnsi="Arial"/>
          <w:sz w:val="16"/>
          <w:szCs w:val="16"/>
          <w:color w:val="auto"/>
        </w:rPr>
      </w:pPr>
    </w:p>
    <w:p>
      <w:pPr>
        <w:ind w:right="260" w:firstLine="1953"/>
        <w:spacing w:after="0" w:line="339" w:lineRule="auto"/>
        <w:tabs>
          <w:tab w:leader="none" w:pos="23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means the date </w:t>
      </w:r>
      <w:r>
        <w:rPr>
          <w:rFonts w:ascii="Arial" w:cs="Arial" w:eastAsia="Arial" w:hAnsi="Arial"/>
          <w:sz w:val="16"/>
          <w:szCs w:val="16"/>
          <w:color w:val="FF0000"/>
          <w:strike w:val="1"/>
        </w:rPr>
        <w:t>[</w:t>
      </w:r>
      <w:r>
        <w:rPr>
          <w:rFonts w:ascii="Arial" w:cs="Arial" w:eastAsia="Arial" w:hAnsi="Arial"/>
          <w:sz w:val="16"/>
          <w:szCs w:val="16"/>
          <w:color w:val="auto"/>
        </w:rPr>
        <w:t>sixty (60)</w:t>
      </w:r>
      <w:r>
        <w:rPr>
          <w:rFonts w:ascii="Arial" w:cs="Arial" w:eastAsia="Arial" w:hAnsi="Arial"/>
          <w:sz w:val="16"/>
          <w:szCs w:val="16"/>
          <w:color w:val="FF0000"/>
          <w:strike w:val="1"/>
        </w:rPr>
        <w:t>]</w:t>
      </w:r>
      <w:r>
        <w:rPr>
          <w:rFonts w:ascii="Arial" w:cs="Arial" w:eastAsia="Arial" w:hAnsi="Arial"/>
          <w:sz w:val="16"/>
          <w:szCs w:val="16"/>
          <w:color w:val="auto"/>
        </w:rPr>
        <w:t xml:space="preserve"> months after the Initial Exercisability Date or, if such date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w:t>
      </w:r>
    </w:p>
    <w:p>
      <w:pPr>
        <w:spacing w:after="0" w:line="87" w:lineRule="exact"/>
        <w:rPr>
          <w:rFonts w:ascii="Arial" w:cs="Arial" w:eastAsia="Arial" w:hAnsi="Arial"/>
          <w:sz w:val="16"/>
          <w:szCs w:val="16"/>
          <w:color w:val="auto"/>
        </w:rPr>
      </w:pPr>
    </w:p>
    <w:p>
      <w:pPr>
        <w:ind w:firstLine="1953"/>
        <w:spacing w:after="0" w:line="301" w:lineRule="auto"/>
        <w:tabs>
          <w:tab w:leader="none" w:pos="2366" w:val="left"/>
        </w:tabs>
        <w:numPr>
          <w:ilvl w:val="1"/>
          <w:numId w:val="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8" w:lineRule="exact"/>
        <w:rPr>
          <w:rFonts w:ascii="Arial" w:cs="Arial" w:eastAsia="Arial" w:hAnsi="Arial"/>
          <w:sz w:val="15"/>
          <w:szCs w:val="15"/>
          <w:color w:val="auto"/>
        </w:rPr>
      </w:pPr>
    </w:p>
    <w:p>
      <w:pPr>
        <w:ind w:right="40" w:firstLine="8"/>
        <w:spacing w:after="0" w:line="287" w:lineRule="auto"/>
        <w:tabs>
          <w:tab w:leader="none" w:pos="2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right="40"/>
        <w:spacing w:after="0" w:line="294" w:lineRule="auto"/>
        <w:rPr>
          <w:sz w:val="20"/>
          <w:szCs w:val="20"/>
          <w:color w:val="auto"/>
        </w:rPr>
      </w:pPr>
      <w:r>
        <w:rPr>
          <w:rFonts w:ascii="Arial" w:cs="Arial" w:eastAsia="Arial" w:hAnsi="Arial"/>
          <w:sz w:val="16"/>
          <w:szCs w:val="16"/>
          <w:color w:val="auto"/>
        </w:rPr>
        <w:t>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23" w:lineRule="exact"/>
        <w:rPr>
          <w:sz w:val="20"/>
          <w:szCs w:val="20"/>
          <w:color w:val="auto"/>
        </w:rPr>
      </w:pPr>
    </w:p>
    <w:p>
      <w:pPr>
        <w:ind w:left="2380" w:hanging="427"/>
        <w:spacing w:after="0"/>
        <w:tabs>
          <w:tab w:leader="none" w:pos="23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07" w:lineRule="exact"/>
        <w:rPr>
          <w:rFonts w:ascii="Arial" w:cs="Arial" w:eastAsia="Arial" w:hAnsi="Arial"/>
          <w:sz w:val="16"/>
          <w:szCs w:val="16"/>
          <w:color w:val="auto"/>
        </w:rPr>
      </w:pPr>
    </w:p>
    <w:p>
      <w:pPr>
        <w:ind w:right="60" w:firstLine="1953"/>
        <w:spacing w:after="0" w:line="288" w:lineRule="auto"/>
        <w:tabs>
          <w:tab w:leader="none" w:pos="23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an Option based on the Black-Scholes Option Pricing model obtained from the "OV" function on Bloomberg determined as of the day of the most recent Closing Sale Price of the Common Stock prior to the public announcement of the pricing of the applicable Option (or, if the pricing is not publicly announced, on the most recent Closing Sale Price of the Common Stock prior to the pricing of the applicable Option)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first public announcement of the pricing of the transaction that includes the applicable Option if such pricing is publicly announced or (B) the Trading Day immediately following the issuance of the applicable Option if the pricing of such transaction is not publicly announced, (iii) an underlying price per share equal to the most recent Closing Sale Price of the Common Stock prior to the public announcement of the pricing of the applicable Option (or, if the pricing is not publicly announced, on the most recent Closing Sale Price of the Common Stock prior to the pricing of the applicable Option), (iv) a zero cost of borrow and (v) a 360-day annualization factor.</w:t>
      </w:r>
    </w:p>
    <w:p>
      <w:pPr>
        <w:spacing w:after="0" w:line="128" w:lineRule="exact"/>
        <w:rPr>
          <w:rFonts w:ascii="Arial" w:cs="Arial" w:eastAsia="Arial" w:hAnsi="Arial"/>
          <w:sz w:val="16"/>
          <w:szCs w:val="16"/>
          <w:color w:val="auto"/>
        </w:rPr>
      </w:pPr>
    </w:p>
    <w:p>
      <w:pPr>
        <w:ind w:left="2340" w:hanging="387"/>
        <w:spacing w:after="0"/>
        <w:tabs>
          <w:tab w:leader="none" w:pos="23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 to subscribe for or purchase shares of Common Stock or Convertible Securities.</w:t>
      </w:r>
    </w:p>
    <w:p>
      <w:pPr>
        <w:spacing w:after="0" w:line="219" w:lineRule="exact"/>
        <w:rPr>
          <w:rFonts w:ascii="Arial" w:cs="Arial" w:eastAsia="Arial" w:hAnsi="Arial"/>
          <w:sz w:val="15"/>
          <w:szCs w:val="15"/>
          <w:color w:val="auto"/>
        </w:rPr>
      </w:pPr>
    </w:p>
    <w:p>
      <w:pPr>
        <w:ind w:right="340" w:firstLine="1953"/>
        <w:spacing w:after="0" w:line="301" w:lineRule="auto"/>
        <w:tabs>
          <w:tab w:leader="none" w:pos="23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16" w:lineRule="exact"/>
        <w:rPr>
          <w:rFonts w:ascii="Arial" w:cs="Arial" w:eastAsia="Arial" w:hAnsi="Arial"/>
          <w:sz w:val="16"/>
          <w:szCs w:val="16"/>
          <w:color w:val="auto"/>
        </w:rPr>
      </w:pPr>
    </w:p>
    <w:p>
      <w:pPr>
        <w:ind w:right="1100" w:firstLine="1953"/>
        <w:spacing w:after="0" w:line="275" w:lineRule="auto"/>
        <w:tabs>
          <w:tab w:leader="none" w:pos="23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33" w:lineRule="exact"/>
        <w:rPr>
          <w:rFonts w:ascii="Arial" w:cs="Arial" w:eastAsia="Arial" w:hAnsi="Arial"/>
          <w:sz w:val="18"/>
          <w:szCs w:val="18"/>
          <w:color w:val="auto"/>
        </w:rPr>
      </w:pPr>
    </w:p>
    <w:p>
      <w:pPr>
        <w:ind w:left="2380" w:hanging="427"/>
        <w:spacing w:after="0"/>
        <w:tabs>
          <w:tab w:leader="none" w:pos="2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184" w:lineRule="exact"/>
        <w:rPr>
          <w:rFonts w:ascii="Arial" w:cs="Arial" w:eastAsia="Arial" w:hAnsi="Arial"/>
          <w:sz w:val="18"/>
          <w:szCs w:val="18"/>
          <w:color w:val="auto"/>
        </w:rPr>
      </w:pPr>
    </w:p>
    <w:p>
      <w:pPr>
        <w:ind w:right="660" w:firstLine="1953"/>
        <w:spacing w:after="0" w:line="275" w:lineRule="auto"/>
        <w:tabs>
          <w:tab w:leader="none" w:pos="23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Warrants representing at least a majority of the shares of Common Stock underlying the Warrants then outstanding.</w:t>
      </w:r>
    </w:p>
    <w:p>
      <w:pPr>
        <w:spacing w:after="0" w:line="133" w:lineRule="exact"/>
        <w:rPr>
          <w:rFonts w:ascii="Arial" w:cs="Arial" w:eastAsia="Arial" w:hAnsi="Arial"/>
          <w:sz w:val="18"/>
          <w:szCs w:val="18"/>
          <w:color w:val="auto"/>
        </w:rPr>
      </w:pPr>
    </w:p>
    <w:p>
      <w:pPr>
        <w:ind w:right="400" w:firstLine="1953"/>
        <w:spacing w:after="0" w:line="262" w:lineRule="auto"/>
        <w:tabs>
          <w:tab w:leader="none" w:pos="2404"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“Standard Settlement Period” </w:t>
      </w:r>
      <w:r>
        <w:rPr>
          <w:rFonts w:ascii="Arial" w:cs="Arial" w:eastAsia="Arial" w:hAnsi="Arial"/>
          <w:sz w:val="18"/>
          <w:szCs w:val="18"/>
          <w:color w:val="auto"/>
        </w:rPr>
        <w:t>means the standard settlement period, expressed in a number of Trading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primary trading market or quotation system with respect to the Common Stock that is in effect on the date of receipt of an applicable Conversion Notice.</w:t>
      </w:r>
    </w:p>
    <w:p>
      <w:pPr>
        <w:spacing w:after="0" w:line="145" w:lineRule="exact"/>
        <w:rPr>
          <w:rFonts w:ascii="Arial" w:cs="Arial" w:eastAsia="Arial" w:hAnsi="Arial"/>
          <w:sz w:val="18"/>
          <w:szCs w:val="18"/>
          <w:color w:val="auto"/>
        </w:rPr>
      </w:pPr>
    </w:p>
    <w:p>
      <w:pPr>
        <w:ind w:left="2380" w:hanging="427"/>
        <w:spacing w:after="0"/>
        <w:tabs>
          <w:tab w:leader="none" w:pos="23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4" w:name="page65"/>
    <w:bookmarkEnd w:id="64"/>
    <w:p>
      <w:pPr>
        <w:ind w:left="-20" w:right="40" w:firstLine="1953"/>
        <w:spacing w:after="0" w:line="262" w:lineRule="auto"/>
        <w:tabs>
          <w:tab w:leader="none" w:pos="23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45" w:lineRule="exact"/>
        <w:rPr>
          <w:rFonts w:ascii="Arial" w:cs="Arial" w:eastAsia="Arial" w:hAnsi="Arial"/>
          <w:sz w:val="18"/>
          <w:szCs w:val="18"/>
          <w:color w:val="auto"/>
        </w:rPr>
      </w:pPr>
    </w:p>
    <w:p>
      <w:pPr>
        <w:ind w:left="-20" w:right="80" w:firstLine="1953"/>
        <w:spacing w:after="0" w:line="339" w:lineRule="auto"/>
        <w:tabs>
          <w:tab w:leader="none" w:pos="23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88" w:lineRule="exact"/>
        <w:rPr>
          <w:sz w:val="20"/>
          <w:szCs w:val="20"/>
          <w:color w:val="auto"/>
        </w:rPr>
      </w:pPr>
    </w:p>
    <w:p>
      <w:pPr>
        <w:ind w:left="2420" w:hanging="487"/>
        <w:spacing w:after="0"/>
        <w:tabs>
          <w:tab w:leader="none" w:pos="24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any agreement entered into by and between the Company and the Holder, as applicable.</w:t>
      </w:r>
    </w:p>
    <w:p>
      <w:pPr>
        <w:spacing w:after="0" w:line="207" w:lineRule="exact"/>
        <w:rPr>
          <w:rFonts w:ascii="Arial" w:cs="Arial" w:eastAsia="Arial" w:hAnsi="Arial"/>
          <w:sz w:val="16"/>
          <w:szCs w:val="16"/>
          <w:color w:val="auto"/>
        </w:rPr>
      </w:pPr>
    </w:p>
    <w:p>
      <w:pPr>
        <w:ind w:left="-20" w:firstLine="1953"/>
        <w:spacing w:after="0" w:line="286" w:lineRule="auto"/>
        <w:tabs>
          <w:tab w:leader="none" w:pos="2433"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11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65" w:name="page66"/>
    <w:bookmarkEnd w:id="6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By:___________________________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1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VistaGen</w:t>
      </w:r>
    </w:p>
    <w:p>
      <w:pPr>
        <w:spacing w:after="0" w:line="3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Therapeutics, Inc., a company organized under the laws of Nevada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87"/>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1180" w:type="dxa"/>
            <w:vAlign w:val="bottom"/>
          </w:tcPr>
          <w:p>
            <w:pPr>
              <w:jc w:val="right"/>
              <w:ind w:right="32"/>
              <w:spacing w:after="0"/>
              <w:rPr>
                <w:sz w:val="20"/>
                <w:szCs w:val="20"/>
                <w:color w:val="auto"/>
              </w:rPr>
            </w:pPr>
            <w:r>
              <w:rPr>
                <w:rFonts w:ascii="Arial" w:cs="Arial" w:eastAsia="Arial" w:hAnsi="Arial"/>
                <w:sz w:val="18"/>
                <w:szCs w:val="18"/>
                <w:color w:val="auto"/>
                <w:w w:val="86"/>
              </w:rPr>
              <w:t>____________</w:t>
            </w: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w w:val="93"/>
              </w:rPr>
              <w:t>a "Cashless Exercise" with respect to _______________ Warrant Shares.</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56"/>
        <w:spacing w:after="0" w:line="259" w:lineRule="auto"/>
        <w:tabs>
          <w:tab w:leader="none" w:pos="83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ind w:firstLine="656"/>
        <w:spacing w:after="0" w:line="229" w:lineRule="exact"/>
        <w:tabs>
          <w:tab w:leader="none" w:pos="8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Variable Price Securities. By checking the box in this Item 4, the holder elects to exercise the Warrant by substituting the Variable Price for the Exercise Price pursuant to Section 2(d) of the Warrant, which Variable Price equals $___________ per share.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Registered Holder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00" w:lineRule="exact"/>
        <w:rPr>
          <w:sz w:val="20"/>
          <w:szCs w:val="20"/>
          <w:color w:val="auto"/>
        </w:rPr>
      </w:pPr>
    </w:p>
    <w:p>
      <w:pPr>
        <w:spacing w:after="0" w:line="24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on or prior to the applicable Share Delivery Date.</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By:________________________________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August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94090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You have requested our opinion, as counsel to VistaGen Therapeutics,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with respect to certain matters in connection with the offering by the Company of up to (i) 1,371,430 shares of its common stock, par value $0.001 (the “</w:t>
      </w:r>
      <w:r>
        <w:rPr>
          <w:rFonts w:ascii="Arial" w:cs="Arial" w:eastAsia="Arial" w:hAnsi="Arial"/>
          <w:sz w:val="16"/>
          <w:szCs w:val="16"/>
          <w:b w:val="1"/>
          <w:bCs w:val="1"/>
          <w:color w:val="auto"/>
        </w:rPr>
        <w:t>Shares</w:t>
      </w:r>
      <w:r>
        <w:rPr>
          <w:rFonts w:ascii="Arial" w:cs="Arial" w:eastAsia="Arial" w:hAnsi="Arial"/>
          <w:sz w:val="16"/>
          <w:szCs w:val="16"/>
          <w:color w:val="auto"/>
        </w:rPr>
        <w:t>”); (ii) Series A1 warrants (the “</w:t>
      </w:r>
      <w:r>
        <w:rPr>
          <w:rFonts w:ascii="Arial" w:cs="Arial" w:eastAsia="Arial" w:hAnsi="Arial"/>
          <w:sz w:val="16"/>
          <w:szCs w:val="16"/>
          <w:b w:val="1"/>
          <w:bCs w:val="1"/>
          <w:color w:val="auto"/>
        </w:rPr>
        <w:t>Series A1 Warrants</w:t>
      </w:r>
      <w:r>
        <w:rPr>
          <w:rFonts w:ascii="Arial" w:cs="Arial" w:eastAsia="Arial" w:hAnsi="Arial"/>
          <w:sz w:val="16"/>
          <w:szCs w:val="16"/>
          <w:color w:val="auto"/>
        </w:rPr>
        <w:t>”) to purchase up to an aggregate of 1,388,931 Shares (the “</w:t>
      </w:r>
      <w:r>
        <w:rPr>
          <w:rFonts w:ascii="Arial" w:cs="Arial" w:eastAsia="Arial" w:hAnsi="Arial"/>
          <w:sz w:val="16"/>
          <w:szCs w:val="16"/>
          <w:b w:val="1"/>
          <w:bCs w:val="1"/>
          <w:color w:val="auto"/>
        </w:rPr>
        <w:t>Series A1 Warrant Shares</w:t>
      </w:r>
      <w:r>
        <w:rPr>
          <w:rFonts w:ascii="Arial" w:cs="Arial" w:eastAsia="Arial" w:hAnsi="Arial"/>
          <w:sz w:val="16"/>
          <w:szCs w:val="16"/>
          <w:color w:val="auto"/>
        </w:rPr>
        <w:t>”); and (iii) Series A2 warrants (the “</w:t>
      </w:r>
      <w:r>
        <w:rPr>
          <w:rFonts w:ascii="Arial" w:cs="Arial" w:eastAsia="Arial" w:hAnsi="Arial"/>
          <w:sz w:val="16"/>
          <w:szCs w:val="16"/>
          <w:b w:val="1"/>
          <w:bCs w:val="1"/>
          <w:color w:val="auto"/>
        </w:rPr>
        <w:t>Series A2</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and collectively, with the Series A1 Warrants,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an aggregate of 503,641 Shares (the “</w:t>
      </w:r>
      <w:r>
        <w:rPr>
          <w:rFonts w:ascii="Arial" w:cs="Arial" w:eastAsia="Arial" w:hAnsi="Arial"/>
          <w:sz w:val="16"/>
          <w:szCs w:val="16"/>
          <w:b w:val="1"/>
          <w:bCs w:val="1"/>
          <w:color w:val="auto"/>
        </w:rPr>
        <w:t>Series A2 Warrant Shares</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with the Series A1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each pursuant to the Registration Statement on Form S-3 (No. 333-215671)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b w:val="1"/>
          <w:bCs w:val="1"/>
          <w:color w:val="auto"/>
        </w:rPr>
        <w:t>Act</w:t>
      </w:r>
      <w:r>
        <w:rPr>
          <w:rFonts w:ascii="Arial" w:cs="Arial" w:eastAsia="Arial" w:hAnsi="Arial"/>
          <w:sz w:val="16"/>
          <w:szCs w:val="16"/>
          <w:color w:val="auto"/>
        </w:rPr>
        <w:t>”), the prospectus included within the Registration Statement declared effective July 27, 2017 (the “</w:t>
      </w:r>
      <w:r>
        <w:rPr>
          <w:rFonts w:ascii="Arial" w:cs="Arial" w:eastAsia="Arial" w:hAnsi="Arial"/>
          <w:sz w:val="16"/>
          <w:szCs w:val="16"/>
          <w:b w:val="1"/>
          <w:bCs w:val="1"/>
          <w:color w:val="auto"/>
        </w:rPr>
        <w:t>Base Prospectus</w:t>
      </w:r>
      <w:r>
        <w:rPr>
          <w:rFonts w:ascii="Arial" w:cs="Arial" w:eastAsia="Arial" w:hAnsi="Arial"/>
          <w:sz w:val="16"/>
          <w:szCs w:val="16"/>
          <w:color w:val="auto"/>
        </w:rPr>
        <w:t>”), and the prospectus supplement dated August 31, 2017 filed with the Commission pursuant to Rule 424(b) of the Rules and Regulations of the Act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(The Base Prospectus and Prospectus Supplement are collectively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The Shares, the Warrants and the Warrant Shares are to be sold by the Company as described in the Registration Statement and the Prospectus.</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have examined and relied upon the Registration Statement and the Prospectus, the Company’s Certificate of Incorporation and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opinions set forth in this letter are limited to the Nevada Revised Statutes and the law of the State of California, in each case as in effect on the date hereof. We are not rendering any opinion as to compliance with any federal or state antifraud law, rule or regulation relating to securities or to the sale or issuance thereof. With regard to our opinion regarding the Warrant Shares to be sold upon exercise of the Warrants after the date hereof, we express no opinion to the extent that, notwithstanding its current reservation of shares of Common Stock, future issuances by the Company of securities, including the Warrant Shares, and antidilution adjustments to outstanding securities, including the Warrants, may cause the Warrants to be exercisable for more shares of Common Stock than the number of shares of Common Stock which then are authorized but unissued.</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the basis of the foregoing, and in reliance thereon, and subject to the qualifications herein stated, we are of the opinion that (i) the Shares, when issued and sold in accordance with the Registration Statement and the Prospectus, will be validly issued, fully paid and nonassessable, (ii) provided that the Warrants have been duly executed and delivered by the Company and duly delivered to the purchasers thereof against payment therefor, the Warrants, when issued and sold as contemplated in the Registration Statement and Prospectus,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 and (iii) the Warrant Shares, when issued and paid for in accordance with the terms of the Warrants, will be validly issued, fully paid and nonassessable.</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In giving this consent, we do not admit that we are “experts” within the meaning of Section 11 of the Securities Act or within the category of persons whose consent is required by Section 7 of the Securities Act.</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9" w:name="page70"/>
    <w:bookmarkEnd w:id="69"/>
    <w:p>
      <w:pPr>
        <w:ind w:left="10520"/>
        <w:spacing w:after="0"/>
        <w:rPr>
          <w:sz w:val="20"/>
          <w:szCs w:val="20"/>
          <w:color w:val="auto"/>
        </w:rPr>
      </w:pPr>
      <w:r>
        <w:rPr>
          <w:rFonts w:ascii="Arial" w:cs="Arial" w:eastAsia="Arial" w:hAnsi="Arial"/>
          <w:sz w:val="16"/>
          <w:szCs w:val="16"/>
          <w:b w:val="1"/>
          <w:bCs w:val="1"/>
          <w:color w:val="auto"/>
        </w:rPr>
        <w:t>Exhibit 99.1</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VistaGen Announces Pricing of Underwritten Offering of Common Stock and Warrants to Purchase Common Stock</w:t>
      </w:r>
    </w:p>
    <w:p>
      <w:pPr>
        <w:spacing w:after="0" w:line="2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South San Francisco, CA (August 31, 2017)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(“VistaGen” or the “Company”), a clinical-stage</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focused on developing new generation medicines for depression and other central nervous system disorders, today announced the pricing of an underwritten public offering of 1,371,430 shares of its common stock and warrants to purchase up to 1,892,572 shares of common stock at an offering price of $1.75 per share and related warrants. Each share of common stock is being sold together with 1.0128 Series A1 Warrants and 0.3672 of a Series A2 Warrant, with each whole Series A1 Warrant and each whole Series A2 Warrant exercisable to purchase one whole share of common stock. The warrants have an exercise price of $1.82 per full share, and will terminate 5 years from the time each warrant is first exercisable. Series A1 Warrants to purchase up to 1,388,931 shares of common stock are not exercisable until 6 months after issuance. Series A2 Warrants to purchase up to 503,641 shares of common stock are immediately exercisable. The gross proceeds of the offering are expected to be approximately $2.4 million, before deducting the underwriting discount and other estimated offering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 is acting as sole underwriter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September 6, 2017, subject to the satisfaction of customary closing conditions.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VistaGen currently intends to use the net proceeds from the offering for general corporate purposes, including research and development related to preparations for the Company’s AV-101 MDD Phase 2 Adjunctive Treatment Study, and working capital.</w:t>
      </w:r>
    </w:p>
    <w:p>
      <w:pPr>
        <w:spacing w:after="0" w:line="18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The offering is being conducted pursuant to the Company’s shelf registration statement on Form S-3 (File No. 333-215671) previously filed with and subsequently declared effective by the Securities and Exchange Commission (the SEC) on July 27, 2017. A prospectus supplement and accompanying base prospectus relating to the offering will be filed with the SEC and will be available on the SEC's website at http://www.sec.gov.</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of the securities described herein, nor shall there be any sale of these securities in any jurisdiction in which such offer, solicitation or sale would be unlawful prior to registration or qualification under the securities laws of any such jurisdiction. Copies of the prospectus supplement and the accompanying base prospectus, when available, relating to this offering may be obtained from Oppenheimer &amp; Co. Inc., Attention: Syndicate Prospectus Department, 85 Broad Street, 26th Floor, New York, New York, 10004, or by telephone at 212-667-8563, or e-mail at EquityProspectus@opco.com.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central nervous system (CNS) disorders. VistaGen’s lead CNS product candidate, AV-101, is in Phase 2 development, initially as a new generation oral antidepressant drug candidate for major depressive disorder (MDD). AV-101's </w:t>
      </w:r>
      <w:r>
        <w:rPr>
          <w:rFonts w:ascii="Arial" w:cs="Arial" w:eastAsia="Arial" w:hAnsi="Arial"/>
          <w:sz w:val="16"/>
          <w:szCs w:val="16"/>
          <w:u w:val="single" w:color="auto"/>
          <w:color w:val="auto"/>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neuropathic pain, epilepsy, Huntington’s disease, and levodopa-induced dyskinesia associated with Parkinson’s disease and other disorders where modulation of the NMDA receptors, activation of AMPA pathways and/or key active metabolites of AV-101 may achieve therapeutic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closing of the offering and the anticipated use of proceeds, risks related to the successful launch, continuation and results of the NIMH’s Phase 2 (monotherapy) and/or the Company’s planned Phase 2 (adjunctive therapy) clinical studies of AV-101 in MDD, and other CNS diseases and disorders, including neuropathic pain and L-DOPA-induced dyskinesia associated with Parkinson’s disease, the potential for the Company’s stem cell technology to produce NCEs, cellular therapies, regenerative medicine or bone marrow stem cells to treat any medical condition, including autoimmune disorders and cancer, protection of its intellectual property, and the availability of substantial additional capital to support its operations, including the AV-101 clinical development activities described above. The offering is subject to market and other conditions and there can be no assurance as to whether or when the offering may be completed or as to the actual size or terms of the offering.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VistaGen undertakes no obligation to publicly update or revise any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ectPr>
          <w:pgSz w:w="11900" w:h="16838" w:orient="portrait"/>
          <w:cols w:equalWidth="0" w:num="1">
            <w:col w:w="11420"/>
          </w:cols>
          <w:pgMar w:left="240" w:top="152" w:right="239" w:bottom="722"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decimal"/>
      <w:start w:val="1"/>
    </w:lvl>
    <w:lvl w:ilvl="1">
      <w:lvlJc w:val="left"/>
      <w:lvlText w:val="(%2)"/>
      <w:numFmt w:val="lowerLetter"/>
      <w:start w:val="1"/>
    </w:lvl>
  </w:abstractNum>
  <w:abstractNum w:abstractNumId="2">
    <w:nsid w:val="542289EC"/>
    <w:multiLevelType w:val="hybridMultilevel"/>
    <w:lvl w:ilvl="0">
      <w:lvlJc w:val="left"/>
      <w:lvlText w:val="%1."/>
      <w:numFmt w:val="decimal"/>
      <w:start w:val="2"/>
    </w:lvl>
    <w:lvl w:ilvl="1">
      <w:lvlJc w:val="left"/>
      <w:lvlText w:val="(%2)"/>
      <w:numFmt w:val="lowerLetter"/>
      <w:start w:val="1"/>
    </w:lvl>
  </w:abstractNum>
  <w:abstractNum w:abstractNumId="3">
    <w:nsid w:val="6DE91B18"/>
    <w:multiLevelType w:val="hybridMultilevel"/>
    <w:lvl w:ilvl="0">
      <w:lvlJc w:val="left"/>
      <w:lvlText w:val="(%1)"/>
      <w:numFmt w:val="lowerLetter"/>
      <w:start w:val="3"/>
    </w:lvl>
  </w:abstractNum>
  <w:abstractNum w:abstractNumId="4">
    <w:nsid w:val="38437FDB"/>
    <w:multiLevelType w:val="hybridMultilevel"/>
    <w:lvl w:ilvl="0">
      <w:lvlJc w:val="left"/>
      <w:lvlText w:val="(%1)"/>
      <w:numFmt w:val="lowerLetter"/>
      <w:start w:val="6"/>
    </w:lvl>
  </w:abstractNum>
  <w:abstractNum w:abstractNumId="5">
    <w:nsid w:val="7644A45C"/>
    <w:multiLevelType w:val="hybridMultilevel"/>
    <w:lvl w:ilvl="0">
      <w:lvlJc w:val="left"/>
      <w:lvlText w:val="%1"/>
      <w:numFmt w:val="lowerLetter"/>
      <w:start w:val="1"/>
    </w:lvl>
    <w:lvl w:ilvl="1">
      <w:lvlJc w:val="left"/>
      <w:lvlText w:val="(%2)"/>
      <w:numFmt w:val="lowerLetter"/>
      <w:start w:val="9"/>
    </w:lvl>
  </w:abstractNum>
  <w:abstractNum w:abstractNumId="6">
    <w:nsid w:val="32FFF902"/>
    <w:multiLevelType w:val="hybridMultilevel"/>
    <w:lvl w:ilvl="0">
      <w:lvlJc w:val="left"/>
      <w:lvlText w:val="(%1)"/>
      <w:numFmt w:val="lowerLetter"/>
      <w:start w:val="61"/>
    </w:lvl>
    <w:lvl w:ilvl="1">
      <w:lvlJc w:val="left"/>
      <w:lvlText w:val="%2"/>
      <w:numFmt w:val="lowerLetter"/>
      <w:start w:val="1"/>
    </w:lvl>
  </w:abstractNum>
  <w:abstractNum w:abstractNumId="7">
    <w:nsid w:val="684A481A"/>
    <w:multiLevelType w:val="hybridMultilevel"/>
    <w:lvl w:ilvl="0">
      <w:lvlJc w:val="left"/>
      <w:lvlText w:val="%1"/>
      <w:numFmt w:val="lowerLetter"/>
      <w:start w:val="1"/>
    </w:lvl>
    <w:lvl w:ilvl="1">
      <w:lvlJc w:val="left"/>
      <w:lvlText w:val="(%2)"/>
      <w:numFmt w:val="lowerLetter"/>
      <w:start w:val="15"/>
    </w:lvl>
  </w:abstractNum>
  <w:abstractNum w:abstractNumId="8">
    <w:nsid w:val="579478FE"/>
    <w:multiLevelType w:val="hybridMultilevel"/>
    <w:lvl w:ilvl="0">
      <w:lvlJc w:val="left"/>
      <w:lvlText w:val="(%1)"/>
      <w:numFmt w:val="lowerLetter"/>
      <w:start w:val="35"/>
    </w:lvl>
    <w:lvl w:ilvl="1">
      <w:lvlJc w:val="left"/>
      <w:lvlText w:val="(%2)"/>
      <w:numFmt w:val="lowerLetter"/>
      <w:start w:val="18"/>
    </w:lvl>
  </w:abstractNum>
  <w:abstractNum w:abstractNumId="9">
    <w:nsid w:val="749ABB43"/>
    <w:multiLevelType w:val="hybridMultilevel"/>
    <w:lvl w:ilvl="0">
      <w:lvlJc w:val="left"/>
      <w:lvlText w:val="(%1)"/>
      <w:numFmt w:val="lowerLetter"/>
      <w:start w:val="21"/>
    </w:lvl>
  </w:abstractNum>
  <w:abstractNum w:abstractNumId="10">
    <w:nsid w:val="3DC240FB"/>
    <w:multiLevelType w:val="hybridMultilevel"/>
    <w:lvl w:ilvl="0">
      <w:lvlJc w:val="left"/>
      <w:lvlText w:val="(%1)"/>
      <w:numFmt w:val="lowerLetter"/>
      <w:start w:val="27"/>
    </w:lvl>
  </w:abstractNum>
  <w:abstractNum w:abstractNumId="11">
    <w:nsid w:val="1BA026FA"/>
    <w:multiLevelType w:val="hybridMultilevel"/>
    <w:lvl w:ilvl="0">
      <w:lvlJc w:val="left"/>
      <w:lvlText w:val="(%1)"/>
      <w:numFmt w:val="lowerLetter"/>
      <w:start w:val="28"/>
    </w:lvl>
  </w:abstractNum>
  <w:abstractNum w:abstractNumId="12">
    <w:nsid w:val="79A1DEAA"/>
    <w:multiLevelType w:val="hybridMultilevel"/>
    <w:lvl w:ilvl="0">
      <w:lvlJc w:val="left"/>
      <w:lvlText w:val="%1"/>
      <w:numFmt w:val="lowerLetter"/>
      <w:start w:val="1"/>
    </w:lvl>
    <w:lvl w:ilvl="1">
      <w:lvlJc w:val="left"/>
      <w:lvlText w:val="(%2)"/>
      <w:numFmt w:val="lowerLetter"/>
      <w:start w:val="34"/>
    </w:lvl>
  </w:abstractNum>
  <w:abstractNum w:abstractNumId="13">
    <w:nsid w:val="75C6C33A"/>
    <w:multiLevelType w:val="hybridMultilevel"/>
    <w:lvl w:ilvl="0">
      <w:lvlJc w:val="left"/>
      <w:lvlText w:val="(%1)"/>
      <w:numFmt w:val="lowerLetter"/>
      <w:start w:val="35"/>
    </w:lvl>
    <w:lvl w:ilvl="1">
      <w:lvlJc w:val="left"/>
      <w:lvlText w:val="%2"/>
      <w:numFmt w:val="lowerLetter"/>
      <w:start w:val="1"/>
    </w:lvl>
  </w:abstractNum>
  <w:abstractNum w:abstractNumId="14">
    <w:nsid w:val="12E685FB"/>
    <w:multiLevelType w:val="hybridMultilevel"/>
    <w:lvl w:ilvl="0">
      <w:lvlJc w:val="left"/>
      <w:lvlText w:val="%1"/>
      <w:numFmt w:val="lowerLetter"/>
      <w:start w:val="1"/>
    </w:lvl>
    <w:lvl w:ilvl="1">
      <w:lvlJc w:val="left"/>
      <w:lvlText w:val="(%2)"/>
      <w:numFmt w:val="lowerLetter"/>
      <w:start w:val="37"/>
    </w:lvl>
  </w:abstractNum>
  <w:abstractNum w:abstractNumId="15">
    <w:nsid w:val="70C6A529"/>
    <w:multiLevelType w:val="hybridMultilevel"/>
    <w:lvl w:ilvl="0">
      <w:lvlJc w:val="left"/>
      <w:lvlText w:val="(%1)"/>
      <w:numFmt w:val="lowerLetter"/>
      <w:start w:val="61"/>
    </w:lvl>
    <w:lvl w:ilvl="1">
      <w:lvlJc w:val="left"/>
      <w:lvlText w:val="(%2)"/>
      <w:numFmt w:val="lowerLetter"/>
      <w:start w:val="39"/>
    </w:lvl>
  </w:abstractNum>
  <w:abstractNum w:abstractNumId="16">
    <w:nsid w:val="520EEDD1"/>
    <w:multiLevelType w:val="hybridMultilevel"/>
    <w:lvl w:ilvl="0">
      <w:lvlJc w:val="left"/>
      <w:lvlText w:val="(%1)"/>
      <w:numFmt w:val="lowerLetter"/>
      <w:start w:val="44"/>
    </w:lvl>
  </w:abstractNum>
  <w:abstractNum w:abstractNumId="17">
    <w:nsid w:val="374A3FE6"/>
    <w:multiLevelType w:val="hybridMultilevel"/>
    <w:lvl w:ilvl="0">
      <w:lvlJc w:val="left"/>
      <w:lvlText w:val="(%1)"/>
      <w:numFmt w:val="upperLetter"/>
      <w:start w:val="1"/>
    </w:lvl>
  </w:abstractNum>
  <w:abstractNum w:abstractNumId="18">
    <w:nsid w:val="4F4EF005"/>
    <w:multiLevelType w:val="hybridMultilevel"/>
    <w:lvl w:ilvl="0">
      <w:lvlJc w:val="left"/>
      <w:lvlText w:val="%1."/>
      <w:numFmt w:val="decimal"/>
      <w:start w:val="3"/>
    </w:lvl>
    <w:lvl w:ilvl="1">
      <w:lvlJc w:val="left"/>
      <w:lvlText w:val="(%2)"/>
      <w:numFmt w:val="lowerLetter"/>
      <w:start w:val="1"/>
    </w:lvl>
  </w:abstractNum>
  <w:abstractNum w:abstractNumId="19">
    <w:nsid w:val="23F9C13C"/>
    <w:multiLevelType w:val="hybridMultilevel"/>
    <w:lvl w:ilvl="0">
      <w:lvlJc w:val="left"/>
      <w:lvlText w:val="(%1)"/>
      <w:numFmt w:val="lowerLetter"/>
      <w:start w:val="6"/>
    </w:lvl>
  </w:abstractNum>
  <w:abstractNum w:abstractNumId="20">
    <w:nsid w:val="649BB77C"/>
    <w:multiLevelType w:val="hybridMultilevel"/>
    <w:lvl w:ilvl="0">
      <w:lvlJc w:val="left"/>
      <w:lvlText w:val="%1"/>
      <w:numFmt w:val="lowerLetter"/>
      <w:start w:val="1"/>
    </w:lvl>
    <w:lvl w:ilvl="1">
      <w:lvlJc w:val="left"/>
      <w:lvlText w:val="(%2)"/>
      <w:numFmt w:val="lowerLetter"/>
      <w:start w:val="8"/>
    </w:lvl>
  </w:abstractNum>
  <w:abstractNum w:abstractNumId="21">
    <w:nsid w:val="275AC794"/>
    <w:multiLevelType w:val="hybridMultilevel"/>
    <w:lvl w:ilvl="0">
      <w:lvlJc w:val="left"/>
      <w:lvlText w:val="(%1)"/>
      <w:numFmt w:val="lowerLetter"/>
      <w:start w:val="9"/>
    </w:lvl>
    <w:lvl w:ilvl="1">
      <w:lvlJc w:val="left"/>
      <w:lvlText w:val="%2"/>
      <w:numFmt w:val="lowerLetter"/>
      <w:start w:val="1"/>
    </w:lvl>
  </w:abstractNum>
  <w:abstractNum w:abstractNumId="22">
    <w:nsid w:val="39386575"/>
    <w:multiLevelType w:val="hybridMultilevel"/>
    <w:lvl w:ilvl="0">
      <w:lvlJc w:val="left"/>
      <w:lvlText w:val="%1."/>
      <w:numFmt w:val="decimal"/>
      <w:start w:val="4"/>
    </w:lvl>
    <w:lvl w:ilvl="1">
      <w:lvlJc w:val="left"/>
      <w:lvlText w:val="(%2)"/>
      <w:numFmt w:val="lowerLetter"/>
      <w:start w:val="1"/>
    </w:lvl>
  </w:abstractNum>
  <w:abstractNum w:abstractNumId="23">
    <w:nsid w:val="1CF10FD8"/>
    <w:multiLevelType w:val="hybridMultilevel"/>
    <w:lvl w:ilvl="0">
      <w:lvlJc w:val="left"/>
      <w:lvlText w:val="(%1)"/>
      <w:numFmt w:val="lowerRoman"/>
      <w:start w:val="1"/>
    </w:lvl>
  </w:abstractNum>
  <w:abstractNum w:abstractNumId="24">
    <w:nsid w:val="180115BE"/>
    <w:multiLevelType w:val="hybridMultilevel"/>
    <w:lvl w:ilvl="0">
      <w:lvlJc w:val="left"/>
      <w:lvlText w:val="(%1)"/>
      <w:numFmt w:val="lowerRoman"/>
      <w:start w:val="7"/>
    </w:lvl>
  </w:abstractNum>
  <w:abstractNum w:abstractNumId="25">
    <w:nsid w:val="235BA861"/>
    <w:multiLevelType w:val="hybridMultilevel"/>
    <w:lvl w:ilvl="0">
      <w:lvlJc w:val="left"/>
      <w:lvlText w:val="(%1)"/>
      <w:numFmt w:val="lowerLetter"/>
      <w:start w:val="2"/>
    </w:lvl>
  </w:abstractNum>
  <w:abstractNum w:abstractNumId="26">
    <w:nsid w:val="47398C89"/>
    <w:multiLevelType w:val="hybridMultilevel"/>
    <w:lvl w:ilvl="0">
      <w:lvlJc w:val="left"/>
      <w:lvlText w:val="%1"/>
      <w:numFmt w:val="decimal"/>
      <w:start w:val="1"/>
    </w:lvl>
    <w:lvl w:ilvl="1">
      <w:lvlJc w:val="left"/>
      <w:lvlText w:val="(%2)"/>
      <w:numFmt w:val="lowerLetter"/>
      <w:start w:val="3"/>
    </w:lvl>
  </w:abstractNum>
  <w:abstractNum w:abstractNumId="27">
    <w:nsid w:val="354FE9F9"/>
    <w:multiLevelType w:val="hybridMultilevel"/>
    <w:lvl w:ilvl="0">
      <w:lvlJc w:val="left"/>
      <w:lvlText w:val="%1."/>
      <w:numFmt w:val="decimal"/>
      <w:start w:val="5"/>
    </w:lvl>
    <w:lvl w:ilvl="1">
      <w:lvlJc w:val="left"/>
      <w:lvlText w:val="(%2)"/>
      <w:numFmt w:val="lowerLetter"/>
      <w:start w:val="1"/>
    </w:lvl>
  </w:abstractNum>
  <w:abstractNum w:abstractNumId="28">
    <w:nsid w:val="15B5AF5C"/>
    <w:multiLevelType w:val="hybridMultilevel"/>
    <w:lvl w:ilvl="0">
      <w:lvlJc w:val="left"/>
      <w:lvlText w:val="%1"/>
      <w:numFmt w:val="decimal"/>
      <w:start w:val="1"/>
    </w:lvl>
    <w:lvl w:ilvl="1">
      <w:lvlJc w:val="left"/>
      <w:lvlText w:val="(%2)"/>
      <w:numFmt w:val="lowerLetter"/>
      <w:start w:val="3"/>
    </w:lvl>
  </w:abstractNum>
  <w:abstractNum w:abstractNumId="29">
    <w:nsid w:val="741226BB"/>
    <w:multiLevelType w:val="hybridMultilevel"/>
    <w:lvl w:ilvl="0">
      <w:lvlJc w:val="left"/>
      <w:lvlText w:val="%1."/>
      <w:numFmt w:val="decimal"/>
      <w:start w:val="6"/>
    </w:lvl>
    <w:lvl w:ilvl="1">
      <w:lvlJc w:val="left"/>
      <w:lvlText w:val="%2"/>
      <w:numFmt w:val="lowerLetter"/>
      <w:start w:val="1"/>
    </w:lvl>
  </w:abstractNum>
  <w:abstractNum w:abstractNumId="30">
    <w:nsid w:val="D34B6A8"/>
    <w:multiLevelType w:val="hybridMultilevel"/>
    <w:lvl w:ilvl="0">
      <w:lvlJc w:val="left"/>
      <w:lvlText w:val="%1."/>
      <w:numFmt w:val="decimal"/>
      <w:start w:val="7"/>
    </w:lvl>
    <w:lvl w:ilvl="1">
      <w:lvlJc w:val="left"/>
      <w:lvlText w:val="(%2)"/>
      <w:numFmt w:val="lowerLetter"/>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3">
    <w:nsid w:val="61574095"/>
    <w:multiLevelType w:val="hybridMultilevel"/>
    <w:lvl w:ilvl="0">
      <w:lvlJc w:val="left"/>
      <w:lvlText w:val="1"/>
      <w:numFmt w:val="bullet"/>
      <w:start w:val="1"/>
    </w:lvl>
  </w:abstractNum>
  <w:abstractNum w:abstractNumId="34">
    <w:nsid w:val="7E0C57B1"/>
    <w:multiLevelType w:val="hybridMultilevel"/>
    <w:lvl w:ilvl="0">
      <w:lvlJc w:val="left"/>
      <w:lvlText w:val="(%1)"/>
      <w:numFmt w:val="lowerLetter"/>
      <w:start w:val="2"/>
    </w:lvl>
  </w:abstractNum>
  <w:abstractNum w:abstractNumId="35">
    <w:nsid w:val="77AE35EB"/>
    <w:multiLevelType w:val="hybridMultilevel"/>
    <w:lvl w:ilvl="0">
      <w:lvlJc w:val="left"/>
      <w:lvlText w:val="(%1)"/>
      <w:numFmt w:val="lowerLetter"/>
      <w:start w:val="4"/>
    </w:lvl>
  </w:abstractNum>
  <w:abstractNum w:abstractNumId="36">
    <w:nsid w:val="579BE4F1"/>
    <w:multiLevelType w:val="hybridMultilevel"/>
    <w:lvl w:ilvl="0">
      <w:lvlJc w:val="left"/>
      <w:lvlText w:val="(%1)"/>
      <w:numFmt w:val="lowerLetter"/>
      <w:start w:val="26"/>
    </w:lvl>
  </w:abstractNum>
  <w:abstractNum w:abstractNumId="37">
    <w:nsid w:val="310C50B3"/>
    <w:multiLevelType w:val="hybridMultilevel"/>
    <w:lvl w:ilvl="0">
      <w:lvlJc w:val="left"/>
      <w:lvlText w:val="%1"/>
      <w:numFmt w:val="lowerLetter"/>
      <w:start w:val="1"/>
    </w:lvl>
    <w:lvl w:ilvl="1">
      <w:lvlJc w:val="left"/>
      <w:lvlText w:val="(%2)"/>
      <w:numFmt w:val="lowerLetter"/>
      <w:start w:val="5"/>
    </w:lvl>
  </w:abstractNum>
  <w:abstractNum w:abstractNumId="38">
    <w:nsid w:val="5FF87E05"/>
    <w:multiLevelType w:val="hybridMultilevel"/>
    <w:lvl w:ilvl="0">
      <w:lvlJc w:val="left"/>
      <w:lvlText w:val="(%1)"/>
      <w:numFmt w:val="lowerLetter"/>
      <w:start w:val="24"/>
    </w:lvl>
    <w:lvl w:ilvl="1">
      <w:lvlJc w:val="left"/>
      <w:lvlText w:val="%2"/>
      <w:numFmt w:val="lowerLetter"/>
      <w:start w:val="1"/>
    </w:lvl>
  </w:abstractNum>
  <w:abstractNum w:abstractNumId="39">
    <w:nsid w:val="2F305DEF"/>
    <w:multiLevelType w:val="hybridMultilevel"/>
    <w:lvl w:ilvl="0">
      <w:lvlJc w:val="left"/>
      <w:lvlText w:val="(%1)"/>
      <w:numFmt w:val="lowerLetter"/>
      <w:start w:val="7"/>
    </w:lvl>
  </w:abstractNum>
  <w:abstractNum w:abstractNumId="40">
    <w:nsid w:val="25A70BF7"/>
    <w:multiLevelType w:val="hybridMultilevel"/>
    <w:lvl w:ilvl="0">
      <w:lvlJc w:val="left"/>
      <w:lvlText w:val="%1"/>
      <w:numFmt w:val="decimal"/>
      <w:start w:val="1"/>
    </w:lvl>
    <w:lvl w:ilvl="1">
      <w:lvlJc w:val="left"/>
      <w:lvlText w:val="(%2)"/>
      <w:numFmt w:val="lowerLetter"/>
      <w:start w:val="8"/>
    </w:lvl>
  </w:abstractNum>
  <w:abstractNum w:abstractNumId="41">
    <w:nsid w:val="1DBABF00"/>
    <w:multiLevelType w:val="hybridMultilevel"/>
    <w:lvl w:ilvl="0">
      <w:lvlJc w:val="left"/>
      <w:lvlText w:val="%1."/>
      <w:numFmt w:val="decimal"/>
      <w:start w:val="2"/>
    </w:lvl>
    <w:lvl w:ilvl="1">
      <w:lvlJc w:val="left"/>
      <w:lvlText w:val="(%2)"/>
      <w:numFmt w:val="lowerLetter"/>
      <w:start w:val="1"/>
    </w:lvl>
  </w:abstractNum>
  <w:abstractNum w:abstractNumId="42">
    <w:nsid w:val="4AD084E9"/>
    <w:multiLevelType w:val="hybridMultilevel"/>
    <w:lvl w:ilvl="0">
      <w:lvlJc w:val="left"/>
      <w:lvlText w:val="%1."/>
      <w:numFmt w:val="decimal"/>
      <w:start w:val="4"/>
    </w:lvl>
    <w:lvl w:ilvl="1">
      <w:lvlJc w:val="left"/>
      <w:lvlText w:val="(%2)"/>
      <w:numFmt w:val="lowerLetter"/>
      <w:start w:val="1"/>
    </w:lvl>
  </w:abstractNum>
  <w:abstractNum w:abstractNumId="43">
    <w:nsid w:val="1F48EAA1"/>
    <w:multiLevelType w:val="hybridMultilevel"/>
    <w:lvl w:ilvl="0">
      <w:lvlJc w:val="left"/>
      <w:lvlText w:val="%1."/>
      <w:numFmt w:val="decimal"/>
      <w:start w:val="5"/>
    </w:lvl>
  </w:abstractNum>
  <w:abstractNum w:abstractNumId="44">
    <w:nsid w:val="1381823A"/>
    <w:multiLevelType w:val="hybridMultilevel"/>
    <w:lvl w:ilvl="0">
      <w:lvlJc w:val="left"/>
      <w:lvlText w:val="%1."/>
      <w:numFmt w:val="decimal"/>
      <w:start w:val="6"/>
    </w:lvl>
    <w:lvl w:ilvl="1">
      <w:lvlJc w:val="left"/>
      <w:lvlText w:val="(%2)"/>
      <w:numFmt w:val="lowerLetter"/>
      <w:start w:val="1"/>
    </w:lvl>
  </w:abstractNum>
  <w:abstractNum w:abstractNumId="45">
    <w:nsid w:val="5DB70AE5"/>
    <w:multiLevelType w:val="hybridMultilevel"/>
    <w:lvl w:ilvl="0">
      <w:lvlJc w:val="left"/>
      <w:lvlText w:val="%1"/>
      <w:numFmt w:val="upperLetter"/>
      <w:start w:val="1"/>
    </w:lvl>
    <w:lvl w:ilvl="1">
      <w:lvlJc w:val="left"/>
      <w:lvlText w:val="%2."/>
      <w:numFmt w:val="decimal"/>
      <w:start w:val="8"/>
    </w:lvl>
  </w:abstractNum>
  <w:abstractNum w:abstractNumId="46">
    <w:nsid w:val="100F8FCA"/>
    <w:multiLevelType w:val="hybridMultilevel"/>
    <w:lvl w:ilvl="0">
      <w:lvlJc w:val="left"/>
      <w:lvlText w:val="(%1)"/>
      <w:numFmt w:val="upperLetter"/>
      <w:start w:val="4"/>
    </w:lvl>
    <w:lvl w:ilvl="1">
      <w:lvlJc w:val="left"/>
      <w:lvlText w:val="%2"/>
      <w:numFmt w:val="decimal"/>
      <w:start w:val="1"/>
    </w:lvl>
  </w:abstractNum>
  <w:abstractNum w:abstractNumId="47">
    <w:nsid w:val="6590700B"/>
    <w:multiLevelType w:val="hybridMultilevel"/>
    <w:lvl w:ilvl="0">
      <w:lvlJc w:val="left"/>
      <w:lvlText w:val="(%1)"/>
      <w:numFmt w:val="lowerRoman"/>
      <w:start w:val="1"/>
    </w:lvl>
  </w:abstractNum>
  <w:abstractNum w:abstractNumId="48">
    <w:nsid w:val="15014ACB"/>
    <w:multiLevelType w:val="hybridMultilevel"/>
    <w:lvl w:ilvl="0">
      <w:lvlJc w:val="left"/>
      <w:lvlText w:val="(%1)"/>
      <w:numFmt w:val="decimal"/>
      <w:start w:val="15"/>
    </w:lvl>
    <w:lvl w:ilvl="1">
      <w:lvlJc w:val="left"/>
      <w:lvlText w:val="%2."/>
      <w:numFmt w:val="decimal"/>
      <w:start w:val="9"/>
    </w:lvl>
  </w:abstractNum>
  <w:abstractNum w:abstractNumId="49">
    <w:nsid w:val="5F5E7FD0"/>
    <w:multiLevelType w:val="hybridMultilevel"/>
    <w:lvl w:ilvl="0">
      <w:lvlJc w:val="left"/>
      <w:lvlText w:val="%1."/>
      <w:numFmt w:val="decimal"/>
      <w:start w:val="10"/>
    </w:lvl>
  </w:abstractNum>
  <w:abstractNum w:abstractNumId="50">
    <w:nsid w:val="98A3148"/>
    <w:multiLevelType w:val="hybridMultilevel"/>
    <w:lvl w:ilvl="0">
      <w:lvlJc w:val="left"/>
      <w:lvlText w:val="%1."/>
      <w:numFmt w:val="decimal"/>
      <w:start w:val="13"/>
    </w:lvl>
    <w:lvl w:ilvl="1">
      <w:lvlJc w:val="left"/>
      <w:lvlText w:val="(%2)"/>
      <w:numFmt w:val="lowerLetter"/>
      <w:start w:val="1"/>
    </w:lvl>
  </w:abstractNum>
  <w:abstractNum w:abstractNumId="51">
    <w:nsid w:val="799D0247"/>
    <w:multiLevelType w:val="hybridMultilevel"/>
    <w:lvl w:ilvl="0">
      <w:lvlJc w:val="left"/>
      <w:lvlText w:val="(%1)"/>
      <w:numFmt w:val="lowerLetter"/>
      <w:start w:val="2"/>
    </w:lvl>
  </w:abstractNum>
  <w:abstractNum w:abstractNumId="52">
    <w:nsid w:val="6B94764"/>
    <w:multiLevelType w:val="hybridMultilevel"/>
    <w:lvl w:ilvl="0">
      <w:lvlJc w:val="left"/>
      <w:lvlText w:val="(%1)"/>
      <w:numFmt w:val="lowerLetter"/>
      <w:start w:val="8"/>
    </w:lvl>
  </w:abstractNum>
  <w:abstractNum w:abstractNumId="53">
    <w:nsid w:val="42C296BD"/>
    <w:multiLevelType w:val="hybridMultilevel"/>
    <w:lvl w:ilvl="0">
      <w:lvlJc w:val="left"/>
      <w:lvlText w:val="%1"/>
      <w:numFmt w:val="lowerLetter"/>
      <w:start w:val="1"/>
    </w:lvl>
    <w:lvl w:ilvl="1">
      <w:lvlJc w:val="left"/>
      <w:lvlText w:val="(%2)"/>
      <w:numFmt w:val="lowerLetter"/>
      <w:start w:val="13"/>
    </w:lvl>
  </w:abstractNum>
  <w:abstractNum w:abstractNumId="54">
    <w:nsid w:val="168E121F"/>
    <w:multiLevelType w:val="hybridMultilevel"/>
    <w:lvl w:ilvl="0">
      <w:lvlJc w:val="left"/>
      <w:lvlText w:val="(%1)"/>
      <w:numFmt w:val="lowerLetter"/>
      <w:start w:val="22"/>
    </w:lvl>
    <w:lvl w:ilvl="1">
      <w:lvlJc w:val="left"/>
      <w:lvlText w:val="%2"/>
      <w:numFmt w:val="lowerLetter"/>
      <w:start w:val="1"/>
    </w:lvl>
  </w:abstractNum>
  <w:abstractNum w:abstractNumId="55">
    <w:nsid w:val="1EBA5D23"/>
    <w:multiLevelType w:val="hybridMultilevel"/>
    <w:lvl w:ilvl="0">
      <w:lvlJc w:val="left"/>
      <w:lvlText w:val="(%1)"/>
      <w:numFmt w:val="lowerLetter"/>
      <w:start w:val="16"/>
    </w:lvl>
  </w:abstractNum>
  <w:abstractNum w:abstractNumId="56">
    <w:nsid w:val="661E3F1E"/>
    <w:multiLevelType w:val="hybridMultilevel"/>
    <w:lvl w:ilvl="0">
      <w:lvlJc w:val="left"/>
      <w:lvlText w:val="(%1)"/>
      <w:numFmt w:val="lowerLetter"/>
      <w:start w:val="26"/>
    </w:lvl>
  </w:abstractNum>
  <w:abstractNum w:abstractNumId="57">
    <w:nsid w:val="5DC79EA8"/>
    <w:multiLevelType w:val="hybridMultilevel"/>
    <w:lvl w:ilvl="0">
      <w:lvlJc w:val="left"/>
      <w:lvlText w:val="(%1)"/>
      <w:numFmt w:val="lowerLetter"/>
      <w:start w:val="27"/>
    </w:lvl>
  </w:abstractNum>
  <w:abstractNum w:abstractNumId="58">
    <w:nsid w:val="540A471C"/>
    <w:multiLevelType w:val="hybridMultilevel"/>
    <w:lvl w:ilvl="0">
      <w:lvlJc w:val="left"/>
      <w:lvlText w:val="%1."/>
      <w:numFmt w:val="decimal"/>
      <w:start w:val="2"/>
    </w:lvl>
  </w:abstractNum>
  <w:abstractNum w:abstractNumId="59">
    <w:nsid w:val="7BD3EE7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60">
    <w:nsid w:val="51D9C564"/>
    <w:multiLevelType w:val="hybridMultilevel"/>
    <w:lvl w:ilvl="0">
      <w:lvlJc w:val="left"/>
      <w:lvlText w:val="1"/>
      <w:numFmt w:val="bullet"/>
      <w:start w:val="1"/>
    </w:lvl>
  </w:abstractNum>
  <w:abstractNum w:abstractNumId="61">
    <w:nsid w:val="613EFDC5"/>
    <w:multiLevelType w:val="hybridMultilevel"/>
    <w:lvl w:ilvl="0">
      <w:lvlJc w:val="left"/>
      <w:lvlText w:val="(%1)"/>
      <w:numFmt w:val="lowerLetter"/>
      <w:start w:val="2"/>
    </w:lvl>
  </w:abstractNum>
  <w:abstractNum w:abstractNumId="62">
    <w:nsid w:val="BF72B14"/>
    <w:multiLevelType w:val="hybridMultilevel"/>
    <w:lvl w:ilvl="0">
      <w:lvlJc w:val="left"/>
      <w:lvlText w:val="(%1)"/>
      <w:numFmt w:val="lowerLetter"/>
      <w:start w:val="4"/>
    </w:lvl>
  </w:abstractNum>
  <w:abstractNum w:abstractNumId="63">
    <w:nsid w:val="11447B73"/>
    <w:multiLevelType w:val="hybridMultilevel"/>
    <w:lvl w:ilvl="0">
      <w:lvlJc w:val="left"/>
      <w:lvlText w:val="(%1)"/>
      <w:numFmt w:val="lowerLetter"/>
      <w:start w:val="26"/>
    </w:lvl>
  </w:abstractNum>
  <w:abstractNum w:abstractNumId="64">
    <w:nsid w:val="42963E5A"/>
    <w:multiLevelType w:val="hybridMultilevel"/>
    <w:lvl w:ilvl="0">
      <w:lvlJc w:val="left"/>
      <w:lvlText w:val="%1"/>
      <w:numFmt w:val="lowerLetter"/>
      <w:start w:val="1"/>
    </w:lvl>
    <w:lvl w:ilvl="1">
      <w:lvlJc w:val="left"/>
      <w:lvlText w:val="(%2)"/>
      <w:numFmt w:val="lowerLetter"/>
      <w:start w:val="5"/>
    </w:lvl>
  </w:abstractNum>
  <w:abstractNum w:abstractNumId="65">
    <w:nsid w:val="A0382C5"/>
    <w:multiLevelType w:val="hybridMultilevel"/>
    <w:lvl w:ilvl="0">
      <w:lvlJc w:val="left"/>
      <w:lvlText w:val="(%1)"/>
      <w:numFmt w:val="lowerLetter"/>
      <w:start w:val="24"/>
    </w:lvl>
    <w:lvl w:ilvl="1">
      <w:lvlJc w:val="left"/>
      <w:lvlText w:val="%2"/>
      <w:numFmt w:val="lowerLetter"/>
      <w:start w:val="1"/>
    </w:lvl>
  </w:abstractNum>
  <w:abstractNum w:abstractNumId="66">
    <w:nsid w:val="8F2B15E"/>
    <w:multiLevelType w:val="hybridMultilevel"/>
    <w:lvl w:ilvl="0">
      <w:lvlJc w:val="left"/>
      <w:lvlText w:val="(%1)"/>
      <w:numFmt w:val="lowerLetter"/>
      <w:start w:val="7"/>
    </w:lvl>
  </w:abstractNum>
  <w:abstractNum w:abstractNumId="67">
    <w:nsid w:val="1A32234B"/>
    <w:multiLevelType w:val="hybridMultilevel"/>
    <w:lvl w:ilvl="0">
      <w:lvlJc w:val="left"/>
      <w:lvlText w:val="%1"/>
      <w:numFmt w:val="decimal"/>
      <w:start w:val="1"/>
    </w:lvl>
    <w:lvl w:ilvl="1">
      <w:lvlJc w:val="left"/>
      <w:lvlText w:val="(%2)"/>
      <w:numFmt w:val="lowerLetter"/>
      <w:start w:val="8"/>
    </w:lvl>
  </w:abstractNum>
  <w:abstractNum w:abstractNumId="68">
    <w:nsid w:val="3B0FD379"/>
    <w:multiLevelType w:val="hybridMultilevel"/>
    <w:lvl w:ilvl="0">
      <w:lvlJc w:val="left"/>
      <w:lvlText w:val="%1."/>
      <w:numFmt w:val="decimal"/>
      <w:start w:val="2"/>
    </w:lvl>
    <w:lvl w:ilvl="1">
      <w:lvlJc w:val="left"/>
      <w:lvlText w:val="(%2)"/>
      <w:numFmt w:val="lowerLetter"/>
      <w:start w:val="1"/>
    </w:lvl>
  </w:abstractNum>
  <w:abstractNum w:abstractNumId="69">
    <w:nsid w:val="68EB2F63"/>
    <w:multiLevelType w:val="hybridMultilevel"/>
    <w:lvl w:ilvl="0">
      <w:lvlJc w:val="left"/>
      <w:lvlText w:val="(%1)"/>
      <w:numFmt w:val="lowerRoman"/>
      <w:start w:val="1"/>
    </w:lvl>
  </w:abstractNum>
  <w:abstractNum w:abstractNumId="70">
    <w:nsid w:val="4962813B"/>
    <w:multiLevelType w:val="hybridMultilevel"/>
    <w:lvl w:ilvl="0">
      <w:lvlJc w:val="left"/>
      <w:lvlText w:val="(%1)"/>
      <w:numFmt w:val="lowerRoman"/>
      <w:start w:val="2"/>
    </w:lvl>
  </w:abstractNum>
  <w:abstractNum w:abstractNumId="71">
    <w:nsid w:val="60B6DF70"/>
    <w:multiLevelType w:val="hybridMultilevel"/>
    <w:lvl w:ilvl="0">
      <w:lvlJc w:val="left"/>
      <w:lvlText w:val="%1"/>
      <w:numFmt w:val="decimal"/>
      <w:start w:val="1"/>
    </w:lvl>
    <w:lvl w:ilvl="1">
      <w:lvlJc w:val="left"/>
      <w:lvlText w:val="(%2)"/>
      <w:numFmt w:val="lowerLetter"/>
      <w:start w:val="2"/>
    </w:lvl>
  </w:abstractNum>
  <w:abstractNum w:abstractNumId="72">
    <w:nsid w:val="6A5EE64"/>
    <w:multiLevelType w:val="hybridMultilevel"/>
    <w:lvl w:ilvl="0">
      <w:lvlJc w:val="left"/>
      <w:lvlText w:val="%1."/>
      <w:numFmt w:val="decimal"/>
      <w:start w:val="3"/>
    </w:lvl>
    <w:lvl w:ilvl="1">
      <w:lvlJc w:val="left"/>
      <w:lvlText w:val="%2"/>
      <w:numFmt w:val="lowerLetter"/>
      <w:start w:val="1"/>
    </w:lvl>
  </w:abstractNum>
  <w:abstractNum w:abstractNumId="73">
    <w:nsid w:val="14330624"/>
    <w:multiLevelType w:val="hybridMultilevel"/>
    <w:lvl w:ilvl="0">
      <w:lvlJc w:val="left"/>
      <w:lvlText w:val="%1."/>
      <w:numFmt w:val="decimal"/>
      <w:start w:val="4"/>
    </w:lvl>
    <w:lvl w:ilvl="1">
      <w:lvlJc w:val="left"/>
      <w:lvlText w:val="(%2)"/>
      <w:numFmt w:val="lowerLetter"/>
      <w:start w:val="1"/>
    </w:lvl>
  </w:abstractNum>
  <w:abstractNum w:abstractNumId="74">
    <w:nsid w:val="7FFFCA11"/>
    <w:multiLevelType w:val="hybridMultilevel"/>
    <w:lvl w:ilvl="0">
      <w:lvlJc w:val="left"/>
      <w:lvlText w:val="%1."/>
      <w:numFmt w:val="decimal"/>
      <w:start w:val="5"/>
    </w:lvl>
  </w:abstractNum>
  <w:abstractNum w:abstractNumId="75">
    <w:nsid w:val="1A27709E"/>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76">
    <w:nsid w:val="71EA1109"/>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77">
    <w:nsid w:val="100F59DC"/>
    <w:multiLevelType w:val="hybridMultilevel"/>
    <w:lvl w:ilvl="0">
      <w:lvlJc w:val="left"/>
      <w:lvlText w:val="%1."/>
      <w:numFmt w:val="decimal"/>
      <w:start w:val="9"/>
    </w:lvl>
  </w:abstractNum>
  <w:abstractNum w:abstractNumId="78">
    <w:nsid w:val="7FB7E0AA"/>
    <w:multiLevelType w:val="hybridMultilevel"/>
    <w:lvl w:ilvl="0">
      <w:lvlJc w:val="left"/>
      <w:lvlText w:val="(%1)"/>
      <w:numFmt w:val="lowerRoman"/>
      <w:start w:val="1"/>
    </w:lvl>
  </w:abstractNum>
  <w:abstractNum w:abstractNumId="79">
    <w:nsid w:val="6EB5BD4"/>
    <w:multiLevelType w:val="hybridMultilevel"/>
    <w:lvl w:ilvl="0">
      <w:lvlJc w:val="left"/>
      <w:lvlText w:val="(%1)"/>
      <w:numFmt w:val="decimal"/>
      <w:start w:val="15"/>
    </w:lvl>
    <w:lvl w:ilvl="1">
      <w:lvlJc w:val="left"/>
      <w:lvlText w:val="%2."/>
      <w:numFmt w:val="decimal"/>
      <w:start w:val="10"/>
    </w:lvl>
  </w:abstractNum>
  <w:abstractNum w:abstractNumId="80">
    <w:nsid w:val="6F6DD9AC"/>
    <w:multiLevelType w:val="hybridMultilevel"/>
    <w:lvl w:ilvl="0">
      <w:lvlJc w:val="left"/>
      <w:lvlText w:val="%1."/>
      <w:numFmt w:val="decimal"/>
      <w:start w:val="12"/>
    </w:lvl>
  </w:abstractNum>
  <w:abstractNum w:abstractNumId="81">
    <w:nsid w:val="94211F2"/>
    <w:multiLevelType w:val="hybridMultilevel"/>
    <w:lvl w:ilvl="0">
      <w:lvlJc w:val="left"/>
      <w:lvlText w:val="%1."/>
      <w:numFmt w:val="decimal"/>
      <w:start w:val="16"/>
    </w:lvl>
  </w:abstractNum>
  <w:abstractNum w:abstractNumId="82">
    <w:nsid w:val="885E1B"/>
    <w:multiLevelType w:val="hybridMultilevel"/>
    <w:lvl w:ilvl="0">
      <w:lvlJc w:val="left"/>
      <w:lvlText w:val="%1."/>
      <w:numFmt w:val="decimal"/>
      <w:start w:val="17"/>
    </w:lvl>
    <w:lvl w:ilvl="1">
      <w:lvlJc w:val="left"/>
      <w:lvlText w:val="(%2)"/>
      <w:numFmt w:val="lowerLetter"/>
      <w:start w:val="1"/>
    </w:lvl>
  </w:abstractNum>
  <w:abstractNum w:abstractNumId="83">
    <w:nsid w:val="76272110"/>
    <w:multiLevelType w:val="hybridMultilevel"/>
    <w:lvl w:ilvl="0">
      <w:lvlJc w:val="left"/>
      <w:lvlText w:val="(%1)"/>
      <w:numFmt w:val="lowerLetter"/>
      <w:start w:val="5"/>
    </w:lvl>
  </w:abstractNum>
  <w:abstractNum w:abstractNumId="84">
    <w:nsid w:val="4C04A8AF"/>
    <w:multiLevelType w:val="hybridMultilevel"/>
    <w:lvl w:ilvl="0">
      <w:lvlJc w:val="left"/>
      <w:lvlText w:val="%1"/>
      <w:numFmt w:val="lowerLetter"/>
      <w:start w:val="1"/>
    </w:lvl>
    <w:lvl w:ilvl="1">
      <w:lvlJc w:val="left"/>
      <w:lvlText w:val="(%2)"/>
      <w:numFmt w:val="lowerLetter"/>
      <w:start w:val="11"/>
    </w:lvl>
  </w:abstractNum>
  <w:abstractNum w:abstractNumId="85">
    <w:nsid w:val="1716703B"/>
    <w:multiLevelType w:val="hybridMultilevel"/>
    <w:lvl w:ilvl="0">
      <w:lvlJc w:val="left"/>
      <w:lvlText w:val="(%1)"/>
      <w:numFmt w:val="lowerLetter"/>
      <w:start w:val="22"/>
    </w:lvl>
    <w:lvl w:ilvl="1">
      <w:lvlJc w:val="left"/>
      <w:lvlText w:val="%2"/>
      <w:numFmt w:val="lowerLetter"/>
      <w:start w:val="1"/>
    </w:lvl>
  </w:abstractNum>
  <w:abstractNum w:abstractNumId="86">
    <w:nsid w:val="14E17E33"/>
    <w:multiLevelType w:val="hybridMultilevel"/>
    <w:lvl w:ilvl="0">
      <w:lvlJc w:val="left"/>
      <w:lvlText w:val="(%1)"/>
      <w:numFmt w:val="lowerLetter"/>
      <w:start w:val="16"/>
    </w:lvl>
  </w:abstractNum>
  <w:abstractNum w:abstractNumId="87">
    <w:nsid w:val="3222E7CD"/>
    <w:multiLevelType w:val="hybridMultilevel"/>
    <w:lvl w:ilvl="0">
      <w:lvlJc w:val="left"/>
      <w:lvlText w:val="(%1)"/>
      <w:numFmt w:val="lowerLetter"/>
      <w:start w:val="25"/>
    </w:lvl>
  </w:abstractNum>
  <w:abstractNum w:abstractNumId="88">
    <w:nsid w:val="74DE0EE3"/>
    <w:multiLevelType w:val="hybridMultilevel"/>
    <w:lvl w:ilvl="0">
      <w:lvlJc w:val="left"/>
      <w:lvlText w:val="(%1)"/>
      <w:numFmt w:val="lowerLetter"/>
      <w:start w:val="27"/>
    </w:lvl>
  </w:abstractNum>
  <w:abstractNum w:abstractNumId="89">
    <w:nsid w:val="68EBC55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2020-01-18T06:22:00Z</dcterms:created>
  <dcterms:modified xsi:type="dcterms:W3CDTF">2020-01-18T06:22:00Z</dcterms:modified>
</cp:coreProperties>
</file>