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January 30,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895" w:right="239" w:bottom="1440" w:gutter="0" w:footer="0" w:header="0"/>
        </w:sectPr>
      </w:pPr>
    </w:p>
    <w:p>
      <w:pPr>
        <w:spacing w:after="0" w:line="36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6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700" w:space="720"/>
            <w:col w:w="3260"/>
          </w:cols>
          <w:pgMar w:left="240" w:top="895"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895"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8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71" w:lineRule="exact"/>
        <w:rPr>
          <w:rFonts w:ascii="MS PGothic" w:cs="MS PGothic" w:eastAsia="MS PGothic" w:hAnsi="MS PGothic"/>
          <w:sz w:val="18"/>
          <w:szCs w:val="18"/>
          <w:color w:val="auto"/>
        </w:rPr>
      </w:pPr>
    </w:p>
    <w:p>
      <w:pPr>
        <w:ind w:right="3320" w:firstLine="8"/>
        <w:spacing w:after="0" w:line="362" w:lineRule="auto"/>
        <w:tabs>
          <w:tab w:leader="none" w:pos="2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109"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87"/>
              </w:rPr>
              <w:t>Title of each class</w:t>
            </w:r>
          </w:p>
        </w:tc>
        <w:tc>
          <w:tcPr>
            <w:tcW w:w="800" w:type="dxa"/>
            <w:vAlign w:val="bottom"/>
          </w:tcPr>
          <w:p>
            <w:pPr>
              <w:spacing w:after="0"/>
              <w:rPr>
                <w:sz w:val="18"/>
                <w:szCs w:val="18"/>
                <w:color w:val="auto"/>
              </w:rPr>
            </w:pPr>
          </w:p>
        </w:tc>
        <w:tc>
          <w:tcPr>
            <w:tcW w:w="292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Trading Symbol(s)</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3860" w:type="dxa"/>
            <w:vAlign w:val="bottom"/>
            <w:gridSpan w:val="3"/>
          </w:tcPr>
          <w:p>
            <w:pPr>
              <w:jc w:val="center"/>
              <w:ind w:right="820"/>
              <w:spacing w:after="0"/>
              <w:rPr>
                <w:sz w:val="20"/>
                <w:szCs w:val="20"/>
                <w:color w:val="auto"/>
              </w:rPr>
            </w:pPr>
            <w:r>
              <w:rPr>
                <w:rFonts w:ascii="Arial" w:cs="Arial" w:eastAsia="Arial" w:hAnsi="Arial"/>
                <w:sz w:val="18"/>
                <w:szCs w:val="18"/>
                <w:color w:val="auto"/>
                <w:w w:val="87"/>
              </w:rPr>
              <w:t>Common Stock, par value $0.001 per share</w:t>
            </w:r>
          </w:p>
        </w:tc>
        <w:tc>
          <w:tcPr>
            <w:tcW w:w="80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VTGN</w:t>
            </w:r>
          </w:p>
        </w:tc>
        <w:tc>
          <w:tcPr>
            <w:tcW w:w="160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January 31, 2020,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received a letter from the Listing Qualifications Staff of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indicating that, based upon the closing bid price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for the last 30 consecutive business days, the Company is not currently in compliance with the requirement to maintain a minimum bid price of $1.00 per share for continued listing on the Nasdaq Capital Market, as set forth in Nasdaq Listing Rule 5550(a)(2) (the “</w:t>
      </w:r>
      <w:r>
        <w:rPr>
          <w:rFonts w:ascii="Arial" w:cs="Arial" w:eastAsia="Arial" w:hAnsi="Arial"/>
          <w:sz w:val="16"/>
          <w:szCs w:val="16"/>
          <w:i w:val="1"/>
          <w:iCs w:val="1"/>
          <w:color w:val="auto"/>
        </w:rPr>
        <w:t>Notice</w:t>
      </w:r>
      <w:r>
        <w:rPr>
          <w:rFonts w:ascii="Arial" w:cs="Arial" w:eastAsia="Arial" w:hAnsi="Arial"/>
          <w:sz w:val="16"/>
          <w:szCs w:val="16"/>
          <w:color w:val="auto"/>
        </w:rPr>
        <w:t>”).</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Notice has no immediate effect on the continued listing status of the Company's Common Stock on the Nasdaq Capital Market, and, therefore, the Company's listing remains fully effective.</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is provided a compliance period of 180 calendar days from the date of the Notice, or until July 29, 2020, to regain compliance with the minimum closing bid requirement, pursuant to Nasdaq Listing Rule 5810(c)(3)(A). If at any time before July 29, 2020, the closing bid price of the Company’s Common Stock closes at or above $1.00 per share for 10 consecutive business days, Nasdaq will provide written notification that the Company has achieved compliance with the minimum bid price requirement, and the matter would be resolved. If the Company does not regain compliance during the compliance period ending July 29, 2020, then Nasdaq may grant the Company a second 180 calendar day period to regain compliance, provided the Company (i) meets the continued listing requirement for market value of publicly-held shares and all other initial listing standards for the Nasdaq Capital Market, other than the minimum closing bid price requirement and (ii) notifies Nasdaq of its intent to cure the deficiency.</w:t>
      </w:r>
    </w:p>
    <w:p>
      <w:pPr>
        <w:spacing w:after="0" w:line="1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Company's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30, 2019, the Company announced that its Investigational New Drug application for AV-101, the Company’s oral NMDAR (N-methyl-D-aspartate receptor) glycine site antagonist, as a potential treatment of dyskinesia in patients with Parkinson’s disease receiving levodopa-based therapy has been cleared by the U.S. Food and Drug Administration. The Company also announced that it has received a notice of allowance from the U.S. Patent and Trademark Office for a new AV-101 U.S. Patent for treatment of dyskinesia induced by the administration of levodopa. A copy of the press release is attached to this Current Report on Form 8-K as Exhibit 99.1.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Exhibit Number</w:t>
            </w:r>
          </w:p>
        </w:tc>
        <w:tc>
          <w:tcPr>
            <w:tcW w:w="9700" w:type="dxa"/>
            <w:vAlign w:val="bottom"/>
            <w:gridSpan w:val="2"/>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8"/>
        </w:trPr>
        <w:tc>
          <w:tcPr>
            <w:tcW w:w="7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80" w:type="dxa"/>
            <w:vAlign w:val="bottom"/>
            <w:shd w:val="clear" w:color="auto" w:fill="000000"/>
          </w:tcPr>
          <w:p>
            <w:pPr>
              <w:spacing w:after="0"/>
              <w:rPr>
                <w:sz w:val="2"/>
                <w:szCs w:val="2"/>
                <w:color w:val="auto"/>
              </w:rPr>
            </w:pPr>
          </w:p>
        </w:tc>
      </w:tr>
      <w:tr>
        <w:trPr>
          <w:trHeight w:val="196"/>
        </w:trPr>
        <w:tc>
          <w:tcPr>
            <w:tcW w:w="1020" w:type="dxa"/>
            <w:vAlign w:val="bottom"/>
            <w:gridSpan w:val="2"/>
            <w:shd w:val="clear" w:color="auto" w:fill="CCEEFF"/>
          </w:tcPr>
          <w:p>
            <w:pPr>
              <w:jc w:val="cente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700" w:type="dxa"/>
            <w:vAlign w:val="bottom"/>
            <w:shd w:val="clear" w:color="auto" w:fill="CCEEFF"/>
          </w:tcPr>
          <w:p>
            <w:pPr>
              <w:spacing w:after="0"/>
              <w:rPr>
                <w:sz w:val="17"/>
                <w:szCs w:val="17"/>
                <w:color w:val="auto"/>
              </w:rPr>
            </w:pPr>
          </w:p>
        </w:tc>
        <w:tc>
          <w:tcPr>
            <w:tcW w:w="97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Press Release issued by VistaGen Therapeutics, Inc., dated January 30, 2019.</w:t>
            </w:r>
          </w:p>
        </w:tc>
      </w:tr>
      <w:tr>
        <w:trPr>
          <w:trHeight w:val="1317"/>
        </w:trPr>
        <w:tc>
          <w:tcPr>
            <w:tcW w:w="7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3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3400" w:type="dxa"/>
            <w:vAlign w:val="bottom"/>
          </w:tcPr>
          <w:p>
            <w:pPr>
              <w:spacing w:after="0"/>
              <w:rPr>
                <w:sz w:val="19"/>
                <w:szCs w:val="19"/>
                <w:color w:val="auto"/>
              </w:rPr>
            </w:pPr>
          </w:p>
        </w:tc>
        <w:tc>
          <w:tcPr>
            <w:tcW w:w="4260" w:type="dxa"/>
            <w:vAlign w:val="bottom"/>
            <w:gridSpan w:val="2"/>
          </w:tcPr>
          <w:p>
            <w:pPr>
              <w:ind w:left="1780"/>
              <w:spacing w:after="0"/>
              <w:rPr>
                <w:sz w:val="20"/>
                <w:szCs w:val="20"/>
                <w:color w:val="auto"/>
              </w:rPr>
            </w:pPr>
            <w:r>
              <w:rPr>
                <w:rFonts w:ascii="Arial" w:cs="Arial" w:eastAsia="Arial" w:hAnsi="Arial"/>
                <w:sz w:val="18"/>
                <w:szCs w:val="18"/>
                <w:color w:val="auto"/>
              </w:rPr>
              <w:t>VistaGen Therapeutics, Inc.</w:t>
            </w:r>
          </w:p>
        </w:tc>
      </w:tr>
      <w:tr>
        <w:trPr>
          <w:trHeight w:val="394"/>
        </w:trPr>
        <w:tc>
          <w:tcPr>
            <w:tcW w:w="3400" w:type="dxa"/>
            <w:vAlign w:val="bottom"/>
          </w:tcPr>
          <w:p>
            <w:pPr>
              <w:spacing w:after="0"/>
              <w:rPr>
                <w:sz w:val="20"/>
                <w:szCs w:val="20"/>
                <w:color w:val="auto"/>
              </w:rPr>
            </w:pPr>
            <w:r>
              <w:rPr>
                <w:rFonts w:ascii="Arial" w:cs="Arial" w:eastAsia="Arial" w:hAnsi="Arial"/>
                <w:sz w:val="18"/>
                <w:szCs w:val="18"/>
                <w:color w:val="auto"/>
              </w:rPr>
              <w:t>Date: January 31, 2020</w:t>
            </w:r>
          </w:p>
        </w:tc>
        <w:tc>
          <w:tcPr>
            <w:tcW w:w="2580" w:type="dxa"/>
            <w:vAlign w:val="bottom"/>
          </w:tcPr>
          <w:p>
            <w:pPr>
              <w:ind w:left="1780"/>
              <w:spacing w:after="0"/>
              <w:rPr>
                <w:sz w:val="20"/>
                <w:szCs w:val="20"/>
                <w:color w:val="auto"/>
              </w:rPr>
            </w:pPr>
            <w:r>
              <w:rPr>
                <w:rFonts w:ascii="Arial" w:cs="Arial" w:eastAsia="Arial" w:hAnsi="Arial"/>
                <w:sz w:val="18"/>
                <w:szCs w:val="18"/>
                <w:color w:val="auto"/>
              </w:rPr>
              <w:t>By:</w:t>
            </w: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r>
      <w:tr>
        <w:trPr>
          <w:trHeight w:val="228"/>
        </w:trPr>
        <w:tc>
          <w:tcPr>
            <w:tcW w:w="3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0"/>
              </w:rPr>
              <w:t>Chief Executive Officer</w:t>
            </w:r>
          </w:p>
        </w:tc>
      </w:tr>
    </w:tbl>
    <w:p>
      <w:pPr>
        <w:sectPr>
          <w:pgSz w:w="11900" w:h="16838" w:orient="portrait"/>
          <w:cols w:equalWidth="0" w:num="1">
            <w:col w:w="11420"/>
          </w:cols>
          <w:pgMar w:left="240" w:top="77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63345" cy="951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VistaGen Therapeutics Receives FDA Clearance of IND for Phase 2 Clinical Study of AV-101 as a Potential Treatment of Dyskinesia in Parkinson's Disease Patients</w:t>
      </w:r>
    </w:p>
    <w:p>
      <w:pPr>
        <w:spacing w:after="0" w:line="174" w:lineRule="exact"/>
        <w:rPr>
          <w:sz w:val="20"/>
          <w:szCs w:val="20"/>
          <w:color w:val="auto"/>
        </w:rPr>
      </w:pPr>
    </w:p>
    <w:p>
      <w:pPr>
        <w:jc w:val="center"/>
        <w:ind w:left="260" w:right="300"/>
        <w:spacing w:after="0" w:line="275" w:lineRule="auto"/>
        <w:rPr>
          <w:sz w:val="20"/>
          <w:szCs w:val="20"/>
          <w:color w:val="auto"/>
        </w:rPr>
      </w:pPr>
      <w:r>
        <w:rPr>
          <w:rFonts w:ascii="Arial" w:cs="Arial" w:eastAsia="Arial" w:hAnsi="Arial"/>
          <w:sz w:val="18"/>
          <w:szCs w:val="18"/>
          <w:b w:val="1"/>
          <w:bCs w:val="1"/>
          <w:color w:val="auto"/>
        </w:rPr>
        <w:t>Company also Receives a Notice of Allowance from the USPTO for a New AV-101 U.S. Patent for Treatment of Dyskinesia Induced by Levodopa Therapy</w:t>
      </w:r>
    </w:p>
    <w:p>
      <w:pPr>
        <w:spacing w:after="0" w:line="17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 xml:space="preserve">SOUTH SAN FRANCISCO, Calif., January 30, 2020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95DA"/>
        </w:rPr>
        <w:t>VistaGen Therapeutics</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new generation medicines for central nervous system (CNS) diseases and disorders with high unmet medical need, today announced that its Investigational New Drug (IND) application for AV-101, the Company’s oral NMDAR (N-methyl-D-aspartate receptor) glycine site antagonist, as a potential treatment of dyskinesia in patients with Parkinson’s disease receiving levodopa-based therapy has been cleared by the U.S. Food and Drug Administration (FDA). The FDA’s IND clearance permits VistaGen to proceed with Phase 2 clinical development of AV-101 in this indication. The Company also announced that the U.S. Patent and Trademark Office (USPTO) has issued a Notice of Allowance for U.S. Patent Application 16/003,816 related to therapeutic use of AV-101 for treatment of dyskinesia induced by the administration of levodopa. The patent, once issued, will be in effect until at least 2034.</w:t>
      </w:r>
    </w:p>
    <w:p>
      <w:pPr>
        <w:spacing w:after="0" w:line="173"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333333"/>
        </w:rPr>
        <w:t>“Current drug treatment options for levodopa-induced dyskinesia, or LID, may cause serious side effects, including hallucinations and sedation. In all clinical studies to date, AV-101 has not been associated with any psychotomimetic side effects or drug-related serious adverse events. With its exceptional safety profile, recently successful preclinical studies in the leading primate model for LID, and the successful Phase 1b NMDAR target engagement clinical study conducted by Baylor College of Medicine in healthy volunteer U.S. military Veterans, we are excited by AV-101’s potential as a novel therapy for LID,” said</w:t>
      </w:r>
    </w:p>
    <w:p>
      <w:pPr>
        <w:spacing w:after="0" w:line="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u w:val="single" w:color="auto"/>
          <w:color w:val="0563C1"/>
        </w:rPr>
        <w:t>Shawn Singh, Chief Executive Officer of VistaGen</w:t>
      </w:r>
      <w:r>
        <w:rPr>
          <w:rFonts w:ascii="Arial" w:cs="Arial" w:eastAsia="Arial" w:hAnsi="Arial"/>
          <w:sz w:val="18"/>
          <w:szCs w:val="18"/>
          <w:color w:val="333333"/>
        </w:rPr>
        <w:t>. “These are important milestones for our AV-101 program, both a key regulatory advance and expanded</w:t>
      </w:r>
      <w:r>
        <w:rPr>
          <w:rFonts w:ascii="Arial" w:cs="Arial" w:eastAsia="Arial" w:hAnsi="Arial"/>
          <w:sz w:val="18"/>
          <w:szCs w:val="18"/>
          <w:color w:val="0563C1"/>
        </w:rPr>
        <w:t xml:space="preserve"> </w:t>
      </w:r>
      <w:r>
        <w:rPr>
          <w:rFonts w:ascii="Arial" w:cs="Arial" w:eastAsia="Arial" w:hAnsi="Arial"/>
          <w:sz w:val="18"/>
          <w:szCs w:val="18"/>
          <w:color w:val="333333"/>
        </w:rPr>
        <w:t>commercial protection for AV-101 in the U.S.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Preclinical Data in LID</w:t>
      </w:r>
    </w:p>
    <w:p>
      <w:pPr>
        <w:spacing w:after="0" w:line="21"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 xml:space="preserve">In November 2019, at the </w:t>
      </w:r>
      <w:r>
        <w:rPr>
          <w:rFonts w:ascii="Arial" w:cs="Arial" w:eastAsia="Arial" w:hAnsi="Arial"/>
          <w:sz w:val="16"/>
          <w:szCs w:val="16"/>
          <w:i w:val="1"/>
          <w:iCs w:val="1"/>
          <w:color w:val="auto"/>
        </w:rPr>
        <w:t>7</w:t>
      </w:r>
      <w:r>
        <w:rPr>
          <w:rFonts w:ascii="Arial" w:cs="Arial" w:eastAsia="Arial" w:hAnsi="Arial"/>
          <w:sz w:val="22"/>
          <w:szCs w:val="22"/>
          <w:i w:val="1"/>
          <w:iCs w:val="1"/>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i w:val="1"/>
          <w:iCs w:val="1"/>
          <w:color w:val="auto"/>
        </w:rPr>
        <w:t>International Conference on Parkinson’s and Movement Disorders in London</w:t>
      </w:r>
      <w:r>
        <w:rPr>
          <w:rFonts w:ascii="Arial" w:cs="Arial" w:eastAsia="Arial" w:hAnsi="Arial"/>
          <w:sz w:val="16"/>
          <w:szCs w:val="16"/>
          <w:color w:val="auto"/>
        </w:rPr>
        <w:t xml:space="preserve">, </w:t>
      </w:r>
      <w:r>
        <w:rPr>
          <w:rFonts w:ascii="Arial" w:cs="Arial" w:eastAsia="Arial" w:hAnsi="Arial"/>
          <w:sz w:val="16"/>
          <w:szCs w:val="16"/>
          <w:u w:val="single" w:color="auto"/>
          <w:color w:val="0095DA"/>
        </w:rPr>
        <w:t>Dr. Thérèse Di Paolo</w:t>
      </w:r>
      <w:r>
        <w:rPr>
          <w:rFonts w:ascii="Arial" w:cs="Arial" w:eastAsia="Arial" w:hAnsi="Arial"/>
          <w:sz w:val="16"/>
          <w:szCs w:val="16"/>
          <w:color w:val="333333"/>
        </w:rPr>
        <w:t>, Professor in the Faculty of</w:t>
      </w:r>
      <w:r>
        <w:rPr>
          <w:rFonts w:ascii="Arial" w:cs="Arial" w:eastAsia="Arial" w:hAnsi="Arial"/>
          <w:sz w:val="16"/>
          <w:szCs w:val="16"/>
          <w:color w:val="auto"/>
        </w:rPr>
        <w:t xml:space="preserve"> </w:t>
      </w:r>
      <w:r>
        <w:rPr>
          <w:rFonts w:ascii="Arial" w:cs="Arial" w:eastAsia="Arial" w:hAnsi="Arial"/>
          <w:sz w:val="16"/>
          <w:szCs w:val="16"/>
          <w:color w:val="333333"/>
        </w:rPr>
        <w:t>Pharmacy at Laval University and among the world's leading researchers focused on Parkinson's disease and LID, presented preclinical data involving AV-101 in the “gold standard” MPTP non-human primate model for reproducing motor complications of Parkinson's disease, including dyskinesia observed in Parkinson’s disease patients treated with levodopa. In the MPTP primate model, the antidyskinetic activity of AV-101 compared favorably with prior observations with amantadine in parkinsonian monkeys. However, better than amantadine, with its known side effects (in humans with Parkinson's disease and in parkinsonian monkeys), no adverse effects with AV-101 were observed. In the study, AV-101's efficacy against LID was measured through behavioral scores on a dyskinesia scale, and a parkinsonian disability scale was used to measure levodopa antiparkinsonian efficacy. Importantly, this study demonstrated that AV-101 significantly (p = 0.01) reduced LID without affecting the timing, extent, or duration of the therapeutic benefits of levodopa.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Parkinson's Disease and LID</w:t>
      </w:r>
    </w:p>
    <w:p>
      <w:pPr>
        <w:spacing w:after="0" w:line="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Parkinson’s disease is the second most common neurodegenerative disease worldwide, affecting approximately one million people in the U.S. and ten million people worldwide, according to the Parkinson's Foundation. There is no "one-size-fits-all" description of Parkinson’s disease. Rather, it is a complex neurodegenerative disorder that occurs when brain cells that make dopamine, a chemical that coordinates movement, stop working or die, resulting in progressive deterioration of voluntary motor control. Classic motor symptoms of Parkinson’s disease include muscular rigidity, resting tremor, and postural and gait impairment. Typically, patients with Parkinson’s disease present with a combination of motor and non-motor symptoms. Non-motor symptoms may include cognitive impairment, sleep disorders, pain and fatigue. There is currently no medication to slow, delay, stop or cure Parkinson’s disease, and currently available treatments are symptomatic. Treatment of motor symptoms with oral levodopa, introduced about 50 years ago, remains the “gold standard” treatment.</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Dyskinesia in patients with Parkinson’s disease receiving levodopa-based therapy is a disorder that is characterized by unpredictable, involuntary and purposeless movements after continuous long-term use (often longer than five years). Although clinical manifestations of LID are heterogenous, these motor complications tend to become more severe as a patient’s Parkinson’s disease progresses and as the duration of levodopa treatment is extended, until the impact of LID may compromise the advantage of treatment with levodopa. Once LID develops, Parkinson’s disease patients treated with levodopa may be faced with a choice between immobility due to untreated and uncontrolled Parkinson’s disease, or mobility with the associated dyskinesia.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AV-101</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AV-101 (4-Cl-KYN) belongs to a new generation of investigational medicines in neuropsychiatry and neurology known as NMDAR (N-methyl-D-aspartate receptor) modulators. The NMDAR is a pivotal receptor in the brain and abnormal NMDAR function is associated with numerous CNS diseases and disorders. AV-101 is an oral prodrug of </w:t>
      </w:r>
      <w:r>
        <w:rPr>
          <w:rFonts w:ascii="Arial" w:cs="Arial" w:eastAsia="Arial" w:hAnsi="Arial"/>
          <w:sz w:val="16"/>
          <w:szCs w:val="16"/>
          <w:color w:val="333333"/>
        </w:rPr>
        <w:t>7-chloro-kynurenic acid</w:t>
      </w:r>
      <w:r>
        <w:rPr>
          <w:rFonts w:ascii="Arial" w:cs="Arial" w:eastAsia="Arial" w:hAnsi="Arial"/>
          <w:sz w:val="16"/>
          <w:szCs w:val="16"/>
          <w:color w:val="auto"/>
        </w:rPr>
        <w:t xml:space="preserve"> (7-Cl-KYNA), a potent and selective full antagonist of the glycine site of the NMDAR. With its exceptional side effect and safety profile in all studies to date (no psychological side effects or safety concerns similar to those that may be caused by amantadine and ketamine), AV-101 has potential to be a new oral, at-home, non-sedating treatment for multiple large market CNS indications where current treatments are inadequate to meet high unmet patient needs. The FDA has granted Fast Track designation for development of AV-101 as both a potential </w:t>
      </w:r>
      <w:r>
        <w:rPr>
          <w:rFonts w:ascii="Arial" w:cs="Arial" w:eastAsia="Arial" w:hAnsi="Arial"/>
          <w:sz w:val="16"/>
          <w:szCs w:val="16"/>
          <w:u w:val="single" w:color="auto"/>
          <w:color w:val="0095DA"/>
        </w:rPr>
        <w:t>adjunctive treatment for</w:t>
      </w:r>
      <w:r>
        <w:rPr>
          <w:rFonts w:ascii="Arial" w:cs="Arial" w:eastAsia="Arial" w:hAnsi="Arial"/>
          <w:sz w:val="16"/>
          <w:szCs w:val="16"/>
          <w:color w:val="auto"/>
        </w:rPr>
        <w:t xml:space="preserve"> </w:t>
      </w:r>
      <w:r>
        <w:rPr>
          <w:rFonts w:ascii="Arial" w:cs="Arial" w:eastAsia="Arial" w:hAnsi="Arial"/>
          <w:sz w:val="16"/>
          <w:szCs w:val="16"/>
          <w:u w:val="single" w:color="auto"/>
          <w:color w:val="0095DA"/>
        </w:rPr>
        <w:t>MDD</w:t>
      </w:r>
      <w:r>
        <w:rPr>
          <w:rFonts w:ascii="Arial" w:cs="Arial" w:eastAsia="Arial" w:hAnsi="Arial"/>
          <w:sz w:val="16"/>
          <w:szCs w:val="16"/>
          <w:color w:val="0095DA"/>
        </w:rPr>
        <w:t xml:space="preserve"> </w:t>
      </w:r>
      <w:r>
        <w:rPr>
          <w:rFonts w:ascii="Arial" w:cs="Arial" w:eastAsia="Arial" w:hAnsi="Arial"/>
          <w:sz w:val="16"/>
          <w:szCs w:val="16"/>
          <w:color w:val="000000"/>
        </w:rPr>
        <w:t>and as a</w:t>
      </w:r>
      <w:r>
        <w:rPr>
          <w:rFonts w:ascii="Arial" w:cs="Arial" w:eastAsia="Arial" w:hAnsi="Arial"/>
          <w:sz w:val="16"/>
          <w:szCs w:val="16"/>
          <w:color w:val="0095DA"/>
        </w:rPr>
        <w:t xml:space="preserve"> </w:t>
      </w:r>
      <w:r>
        <w:rPr>
          <w:rFonts w:ascii="Arial" w:cs="Arial" w:eastAsia="Arial" w:hAnsi="Arial"/>
          <w:sz w:val="16"/>
          <w:szCs w:val="16"/>
          <w:u w:val="single" w:color="auto"/>
          <w:color w:val="0095DA"/>
        </w:rPr>
        <w:t>non-opioid treatment for neuropathic pain</w:t>
      </w: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-156210</wp:posOffset>
            </wp:positionV>
            <wp:extent cx="4203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0370" cy="12890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CNS diseases and disorders where current treatments are inadequate, resulting in high unmet need. VistaGen's </w:t>
      </w:r>
      <w:r>
        <w:rPr>
          <w:rFonts w:ascii="Arial" w:cs="Arial" w:eastAsia="Arial" w:hAnsi="Arial"/>
          <w:sz w:val="16"/>
          <w:szCs w:val="16"/>
          <w:u w:val="single" w:color="auto"/>
          <w:color w:val="0095DA"/>
        </w:rPr>
        <w:t>pipeline</w:t>
      </w:r>
      <w:r>
        <w:rPr>
          <w:rFonts w:ascii="Arial" w:cs="Arial" w:eastAsia="Arial" w:hAnsi="Arial"/>
          <w:sz w:val="16"/>
          <w:szCs w:val="16"/>
          <w:color w:val="auto"/>
        </w:rPr>
        <w:t xml:space="preserve"> is focused on clinical-stage CNS drug candidates with a differentiated mechanism of action, an exceptional safety profile in all clinical studies to date, and therapeutic potential in multiple large and growing CNS markets. For more information, please visit </w:t>
      </w:r>
      <w:r>
        <w:rPr>
          <w:rFonts w:ascii="Arial" w:cs="Arial" w:eastAsia="Arial" w:hAnsi="Arial"/>
          <w:sz w:val="16"/>
          <w:szCs w:val="16"/>
          <w:u w:val="single" w:color="auto"/>
          <w:color w:val="0095DA"/>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95DA"/>
        </w:rPr>
        <w:t>Facebook</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 xml:space="preserve">This release contains various statements concerning VistaGen's future expectations, plans and prospects, including without limitation, our expectations regarding development and commercialization of AV-101 for various therapeutic purposes, including dyskinesia in patients with Parkinson's disease receiving levodopa-based therapy, epilepsy, major depressive disorder, neuropathic pain and suicidal ideation. In addition, statements concerning the Company’s future expectations may include statements regarding intellectual property and commercial protection of each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future studies, and ongoing or future preclinical and clinical results may not support further development of, or be sufficient to gain regulatory approval to market AV-101;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preclinical and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5"/>
          <w:szCs w:val="15"/>
          <w:u w:val="single" w:color="auto"/>
          <w:color w:val="0095DA"/>
        </w:rPr>
        <w:t>www.sec.gov</w:t>
      </w:r>
      <w:r>
        <w:rPr>
          <w:rFonts w:ascii="Arial" w:cs="Arial" w:eastAsia="Arial" w:hAnsi="Arial"/>
          <w:sz w:val="15"/>
          <w:szCs w:val="15"/>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70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2020-01-31T16:24:46Z</dcterms:created>
  <dcterms:modified xsi:type="dcterms:W3CDTF">2020-01-31T16:24:46Z</dcterms:modified>
</cp:coreProperties>
</file>