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ind w:right="-1200"/>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ind w:left="4640"/>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ind w:left="4540"/>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(Amendment No. 3)</w:t>
      </w:r>
    </w:p>
    <w:p>
      <w:pPr>
        <w:spacing w:after="0" w:line="209" w:lineRule="exact"/>
        <w:rPr>
          <w:sz w:val="24"/>
          <w:szCs w:val="24"/>
          <w:color w:val="auto"/>
        </w:rPr>
      </w:pPr>
    </w:p>
    <w:p>
      <w:pPr>
        <w:jc w:val="center"/>
        <w:ind w:right="-1200"/>
        <w:spacing w:after="0"/>
        <w:rPr>
          <w:sz w:val="20"/>
          <w:szCs w:val="20"/>
          <w:color w:val="auto"/>
        </w:rPr>
      </w:pPr>
      <w:r>
        <w:rPr>
          <w:rFonts w:ascii="Arial" w:cs="Arial" w:eastAsia="Arial" w:hAnsi="Arial"/>
          <w:sz w:val="39"/>
          <w:szCs w:val="39"/>
          <w:b w:val="1"/>
          <w:bCs w:val="1"/>
          <w:u w:val="single" w:color="auto"/>
          <w:color w:val="auto"/>
        </w:rPr>
        <w:t>VistaGen Therapeutics, Inc.</w:t>
      </w:r>
    </w:p>
    <w:p>
      <w:pPr>
        <w:spacing w:after="0" w:line="96"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Common Stock, par value $0.001</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92840H103</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u w:val="single" w:color="auto"/>
          <w:color w:val="auto"/>
        </w:rPr>
        <w:t>December 31, 2013</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right="8879" w:firstLine="8"/>
        <w:spacing w:after="0" w:line="291" w:lineRule="auto"/>
        <w:tabs>
          <w:tab w:leader="none" w:pos="324"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x Rule 13d-1(c)</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2720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41"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92840H103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Names of Reporting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6"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x</w:t>
      </w:r>
    </w:p>
    <w:p>
      <w:pPr>
        <w:spacing w:after="0" w:line="237"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Arial" w:cs="Arial" w:eastAsia="Arial" w:hAnsi="Arial"/>
                <w:sz w:val="18"/>
                <w:szCs w:val="18"/>
                <w:color w:val="auto"/>
              </w:rPr>
              <w:t>Number of</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560" w:type="dxa"/>
            <w:vAlign w:val="bottom"/>
          </w:tcPr>
          <w:p>
            <w:pPr>
              <w:ind w:left="20"/>
              <w:spacing w:after="0"/>
              <w:rPr>
                <w:sz w:val="20"/>
                <w:szCs w:val="20"/>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Shares</w:t>
            </w:r>
          </w:p>
        </w:tc>
        <w:tc>
          <w:tcPr>
            <w:tcW w:w="66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790,000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Each</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w w:val="89"/>
              </w:rPr>
              <w:t xml:space="preserve">Shared Dispositive Power: </w:t>
            </w:r>
            <w:r>
              <w:rPr>
                <w:rFonts w:ascii="Arial" w:cs="Arial" w:eastAsia="Arial" w:hAnsi="Arial"/>
                <w:sz w:val="18"/>
                <w:szCs w:val="18"/>
                <w:b w:val="1"/>
                <w:bCs w:val="1"/>
                <w:color w:val="auto"/>
                <w:w w:val="89"/>
              </w:rPr>
              <w:t>790,000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790,000 shares of Common Stock. See Item 4.</w:t>
      </w:r>
    </w:p>
    <w:p>
      <w:pPr>
        <w:spacing w:after="0" w:line="25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w:t>
      </w:r>
      <w:r>
        <w:rPr>
          <w:rFonts w:ascii="Arial" w:cs="Arial" w:eastAsia="Arial" w:hAnsi="Arial"/>
          <w:sz w:val="16"/>
          <w:szCs w:val="16"/>
          <w:b w:val="1"/>
          <w:bCs w:val="1"/>
          <w:color w:val="auto"/>
        </w:rPr>
        <w:t>X</w:t>
      </w:r>
      <w:r>
        <w:rPr>
          <w:rFonts w:ascii="Arial" w:cs="Arial" w:eastAsia="Arial" w:hAnsi="Arial"/>
          <w:sz w:val="16"/>
          <w:szCs w:val="16"/>
          <w:color w:val="auto"/>
        </w:rPr>
        <w:t xml:space="preserve">] </w:t>
      </w:r>
      <w:r>
        <w:rPr>
          <w:rFonts w:ascii="Arial" w:cs="Arial" w:eastAsia="Arial" w:hAnsi="Arial"/>
          <w:sz w:val="16"/>
          <w:szCs w:val="16"/>
          <w:b w:val="1"/>
          <w:bCs w:val="1"/>
          <w:color w:val="auto"/>
        </w:rPr>
        <w:t>See Item 4.</w:t>
      </w:r>
    </w:p>
    <w:p>
      <w:pPr>
        <w:spacing w:after="0" w:line="279"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 (See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92840H103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Names of Reporting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Management (NY) LLC</w:t>
      </w:r>
    </w:p>
    <w:p>
      <w:pPr>
        <w:spacing w:after="0" w:line="256"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x</w:t>
      </w:r>
    </w:p>
    <w:p>
      <w:pPr>
        <w:spacing w:after="0" w:line="237"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Delaware</w:t>
            </w:r>
          </w:p>
        </w:tc>
        <w:tc>
          <w:tcPr>
            <w:tcW w:w="6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0"/>
                <w:szCs w:val="20"/>
                <w:color w:val="auto"/>
              </w:rPr>
            </w:pPr>
            <w:r>
              <w:rPr>
                <w:rFonts w:ascii="Arial" w:cs="Arial" w:eastAsia="Arial" w:hAnsi="Arial"/>
                <w:sz w:val="18"/>
                <w:szCs w:val="18"/>
                <w:color w:val="auto"/>
              </w:rPr>
              <w:t>Number of</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560" w:type="dxa"/>
            <w:vAlign w:val="bottom"/>
          </w:tcPr>
          <w:p>
            <w:pPr>
              <w:ind w:left="20"/>
              <w:spacing w:after="0"/>
              <w:rPr>
                <w:sz w:val="20"/>
                <w:szCs w:val="20"/>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Shares</w:t>
            </w:r>
          </w:p>
        </w:tc>
        <w:tc>
          <w:tcPr>
            <w:tcW w:w="66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790,000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Beneficially</w:t>
            </w: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Owned by</w:t>
            </w:r>
          </w:p>
        </w:tc>
        <w:tc>
          <w:tcPr>
            <w:tcW w:w="66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Each</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Reporting</w:t>
            </w:r>
          </w:p>
        </w:tc>
        <w:tc>
          <w:tcPr>
            <w:tcW w:w="66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w w:val="89"/>
              </w:rPr>
              <w:t xml:space="preserve">Shared Dispositive Power: </w:t>
            </w:r>
            <w:r>
              <w:rPr>
                <w:rFonts w:ascii="Arial" w:cs="Arial" w:eastAsia="Arial" w:hAnsi="Arial"/>
                <w:sz w:val="18"/>
                <w:szCs w:val="18"/>
                <w:b w:val="1"/>
                <w:bCs w:val="1"/>
                <w:color w:val="auto"/>
                <w:w w:val="89"/>
              </w:rPr>
              <w:t>790,000</w:t>
            </w: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Person With</w:t>
            </w: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790,000 shares of Common Stock. See Item 4.</w:t>
      </w:r>
    </w:p>
    <w:p>
      <w:pPr>
        <w:spacing w:after="0" w:line="252"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x </w:t>
      </w:r>
      <w:r>
        <w:rPr>
          <w:rFonts w:ascii="Arial" w:cs="Arial" w:eastAsia="Arial" w:hAnsi="Arial"/>
          <w:sz w:val="16"/>
          <w:szCs w:val="16"/>
          <w:b w:val="1"/>
          <w:bCs w:val="1"/>
          <w:color w:val="auto"/>
        </w:rPr>
        <w:t>See Item 4.</w:t>
      </w:r>
    </w:p>
    <w:p>
      <w:pPr>
        <w:spacing w:after="0" w:line="279" w:lineRule="exact"/>
        <w:rPr>
          <w:rFonts w:ascii="Arial" w:cs="Arial" w:eastAsia="Arial" w:hAnsi="Arial"/>
          <w:sz w:val="16"/>
          <w:szCs w:val="16"/>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 (See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OO</w:t>
      </w:r>
    </w:p>
    <w:p>
      <w:pPr>
        <w:spacing w:after="0" w:line="200" w:lineRule="exact"/>
        <w:rPr>
          <w:sz w:val="20"/>
          <w:szCs w:val="20"/>
          <w:color w:val="auto"/>
        </w:rPr>
      </w:pP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92840H103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Names of Reporting Persons.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Nordlicht</w:t>
      </w:r>
    </w:p>
    <w:p>
      <w:pPr>
        <w:spacing w:after="0" w:line="256"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x</w:t>
      </w:r>
    </w:p>
    <w:p>
      <w:pPr>
        <w:spacing w:after="0" w:line="237"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United States</w:t>
            </w:r>
          </w:p>
        </w:tc>
        <w:tc>
          <w:tcPr>
            <w:tcW w:w="5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380" w:type="dxa"/>
            <w:vAlign w:val="bottom"/>
          </w:tcPr>
          <w:p>
            <w:pPr>
              <w:spacing w:after="0"/>
              <w:rPr>
                <w:sz w:val="20"/>
                <w:szCs w:val="20"/>
                <w:color w:val="auto"/>
              </w:rPr>
            </w:pPr>
            <w:r>
              <w:rPr>
                <w:rFonts w:ascii="Arial" w:cs="Arial" w:eastAsia="Arial" w:hAnsi="Arial"/>
                <w:sz w:val="18"/>
                <w:szCs w:val="18"/>
                <w:color w:val="auto"/>
              </w:rPr>
              <w:t>Number of</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560" w:type="dxa"/>
            <w:vAlign w:val="bottom"/>
          </w:tcPr>
          <w:p>
            <w:pPr>
              <w:ind w:left="20"/>
              <w:spacing w:after="0"/>
              <w:rPr>
                <w:sz w:val="20"/>
                <w:szCs w:val="20"/>
                <w:color w:val="auto"/>
              </w:rPr>
            </w:pPr>
            <w:r>
              <w:rPr>
                <w:rFonts w:ascii="Arial" w:cs="Arial" w:eastAsia="Arial" w:hAnsi="Arial"/>
                <w:sz w:val="18"/>
                <w:szCs w:val="18"/>
                <w:color w:val="auto"/>
              </w:rPr>
              <w:t xml:space="preserve">Sole Voting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Shares</w:t>
            </w:r>
          </w:p>
        </w:tc>
        <w:tc>
          <w:tcPr>
            <w:tcW w:w="58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rPr>
              <w:t xml:space="preserve">Shared Voting Power: </w:t>
            </w:r>
            <w:r>
              <w:rPr>
                <w:rFonts w:ascii="Arial" w:cs="Arial" w:eastAsia="Arial" w:hAnsi="Arial"/>
                <w:sz w:val="18"/>
                <w:szCs w:val="18"/>
                <w:b w:val="1"/>
                <w:bCs w:val="1"/>
                <w:color w:val="auto"/>
              </w:rPr>
              <w:t>790,000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Beneficially</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Owned by</w:t>
            </w:r>
          </w:p>
        </w:tc>
        <w:tc>
          <w:tcPr>
            <w:tcW w:w="58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rPr>
              <w:t xml:space="preserve">Sole Dispositive Power: </w:t>
            </w: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Each</w:t>
            </w: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2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Reporting</w:t>
            </w:r>
          </w:p>
        </w:tc>
        <w:tc>
          <w:tcPr>
            <w:tcW w:w="580" w:type="dxa"/>
            <w:vAlign w:val="bottom"/>
          </w:tcPr>
          <w:p>
            <w:pPr>
              <w:spacing w:after="0"/>
              <w:rPr>
                <w:sz w:val="18"/>
                <w:szCs w:val="18"/>
                <w:color w:val="auto"/>
              </w:rPr>
            </w:pPr>
          </w:p>
        </w:tc>
        <w:tc>
          <w:tcPr>
            <w:tcW w:w="2560" w:type="dxa"/>
            <w:vAlign w:val="bottom"/>
            <w:vMerge w:val="restart"/>
          </w:tcPr>
          <w:p>
            <w:pPr>
              <w:ind w:left="20"/>
              <w:spacing w:after="0"/>
              <w:rPr>
                <w:sz w:val="20"/>
                <w:szCs w:val="20"/>
                <w:color w:val="auto"/>
              </w:rPr>
            </w:pPr>
            <w:r>
              <w:rPr>
                <w:rFonts w:ascii="Arial" w:cs="Arial" w:eastAsia="Arial" w:hAnsi="Arial"/>
                <w:sz w:val="18"/>
                <w:szCs w:val="18"/>
                <w:color w:val="auto"/>
                <w:w w:val="89"/>
              </w:rPr>
              <w:t xml:space="preserve">Shared Dispositive Power: </w:t>
            </w:r>
            <w:r>
              <w:rPr>
                <w:rFonts w:ascii="Arial" w:cs="Arial" w:eastAsia="Arial" w:hAnsi="Arial"/>
                <w:sz w:val="18"/>
                <w:szCs w:val="18"/>
                <w:b w:val="1"/>
                <w:bCs w:val="1"/>
                <w:color w:val="auto"/>
                <w:w w:val="89"/>
              </w:rPr>
              <w:t>790,000</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Person With</w:t>
            </w: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2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 Aggregate Amount Beneficially Owned by Each Reporting Person.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790,000 shares of Common Stock. See Item 4.</w:t>
      </w:r>
    </w:p>
    <w:p>
      <w:pPr>
        <w:spacing w:after="0" w:line="252"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x </w:t>
      </w:r>
      <w:r>
        <w:rPr>
          <w:rFonts w:ascii="Arial" w:cs="Arial" w:eastAsia="Arial" w:hAnsi="Arial"/>
          <w:sz w:val="16"/>
          <w:szCs w:val="16"/>
          <w:b w:val="1"/>
          <w:bCs w:val="1"/>
          <w:color w:val="auto"/>
        </w:rPr>
        <w:t>See Item 4.</w:t>
      </w:r>
    </w:p>
    <w:p>
      <w:pPr>
        <w:spacing w:after="0" w:line="279"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9.9%</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(12) Type of Reporting Person (See Instructions).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w:t>
      </w:r>
    </w:p>
    <w:p>
      <w:pPr>
        <w:spacing w:after="0" w:line="200" w:lineRule="exact"/>
        <w:rPr>
          <w:sz w:val="20"/>
          <w:szCs w:val="20"/>
          <w:color w:val="auto"/>
        </w:rPr>
      </w:pPr>
    </w:p>
    <w:p>
      <w:pPr>
        <w:spacing w:after="0" w:line="227"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Item 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Name of Issuer.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Therapeutics, Inc.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 Address of Issuer's Principal Executive Offices.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384 Oyster Point Blvd., No. 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San Francisco, CA 94080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Name of Person Filing.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Management (NY)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Nordlicht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 Address or Principal Business Office or, if none, Residence.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152 West 57</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Street, 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rPr>
          <w:sz w:val="20"/>
          <w:szCs w:val="20"/>
          <w:color w:val="auto"/>
        </w:rPr>
      </w:pPr>
      <w:r>
        <w:rPr>
          <w:rFonts w:ascii="Arial" w:cs="Arial" w:eastAsia="Arial" w:hAnsi="Arial"/>
          <w:sz w:val="18"/>
          <w:szCs w:val="18"/>
          <w:b w:val="1"/>
          <w:bCs w:val="1"/>
          <w:color w:val="auto"/>
        </w:rPr>
        <w:t>New York, NY 10019</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 Citizenship or Place of Organization.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 - Delaware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Management (NY) LLC - 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Nordlicht – United States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 Title of Class of Securities.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 CUSIP No.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92840H103</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Item 3. If this statement is filed pursuant to Rules 13d-1(b), or 13d-2(b) or (c), check whether the person filing is a:</w:t>
      </w:r>
    </w:p>
    <w:p>
      <w:pPr>
        <w:spacing w:after="0" w:line="46" w:lineRule="exact"/>
        <w:rPr>
          <w:sz w:val="20"/>
          <w:szCs w:val="20"/>
          <w:color w:val="auto"/>
        </w:rPr>
      </w:pPr>
    </w:p>
    <w:p>
      <w:pPr>
        <w:ind w:left="780" w:hanging="25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w:t>
      </w:r>
    </w:p>
    <w:p>
      <w:pPr>
        <w:spacing w:after="0" w:line="9" w:lineRule="exact"/>
        <w:rPr>
          <w:rFonts w:ascii="Arial" w:cs="Arial" w:eastAsia="Arial" w:hAnsi="Arial"/>
          <w:sz w:val="18"/>
          <w:szCs w:val="18"/>
          <w:color w:val="auto"/>
        </w:rPr>
      </w:pPr>
    </w:p>
    <w:p>
      <w:pPr>
        <w:ind w:left="780" w:hanging="25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Bank as defined in Section 3(a)(6) of the Act.</w:t>
      </w:r>
    </w:p>
    <w:p>
      <w:pPr>
        <w:spacing w:after="0" w:line="9" w:lineRule="exact"/>
        <w:rPr>
          <w:rFonts w:ascii="Arial" w:cs="Arial" w:eastAsia="Arial" w:hAnsi="Arial"/>
          <w:sz w:val="18"/>
          <w:szCs w:val="18"/>
          <w:color w:val="auto"/>
        </w:rPr>
      </w:pPr>
    </w:p>
    <w:p>
      <w:pPr>
        <w:ind w:left="780" w:hanging="25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w:t>
      </w:r>
    </w:p>
    <w:p>
      <w:pPr>
        <w:spacing w:after="0" w:line="9" w:lineRule="exact"/>
        <w:rPr>
          <w:rFonts w:ascii="Arial" w:cs="Arial" w:eastAsia="Arial" w:hAnsi="Arial"/>
          <w:sz w:val="18"/>
          <w:szCs w:val="18"/>
          <w:color w:val="auto"/>
        </w:rPr>
      </w:pPr>
    </w:p>
    <w:p>
      <w:pPr>
        <w:ind w:left="780" w:hanging="25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w:t>
      </w:r>
    </w:p>
    <w:p>
      <w:pPr>
        <w:spacing w:after="0" w:line="9" w:lineRule="exact"/>
        <w:rPr>
          <w:rFonts w:ascii="Arial" w:cs="Arial" w:eastAsia="Arial" w:hAnsi="Arial"/>
          <w:sz w:val="18"/>
          <w:szCs w:val="18"/>
          <w:color w:val="auto"/>
        </w:rPr>
      </w:pPr>
    </w:p>
    <w:p>
      <w:pPr>
        <w:ind w:left="780" w:hanging="253"/>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16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5" w:name="page6"/>
    <w:bookmarkEnd w:id="5"/>
    <w:p>
      <w:pPr>
        <w:ind w:left="800" w:hanging="273"/>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3" w:lineRule="exact"/>
        <w:rPr>
          <w:rFonts w:ascii="Arial" w:cs="Arial" w:eastAsia="Arial" w:hAnsi="Arial"/>
          <w:sz w:val="18"/>
          <w:szCs w:val="18"/>
          <w:color w:val="auto"/>
        </w:rPr>
      </w:pPr>
    </w:p>
    <w:p>
      <w:pPr>
        <w:ind w:left="780" w:hanging="25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9" w:lineRule="exact"/>
        <w:rPr>
          <w:rFonts w:ascii="Arial" w:cs="Arial" w:eastAsia="Arial" w:hAnsi="Arial"/>
          <w:sz w:val="18"/>
          <w:szCs w:val="18"/>
          <w:color w:val="auto"/>
        </w:rPr>
      </w:pPr>
    </w:p>
    <w:p>
      <w:pPr>
        <w:ind w:left="780" w:hanging="25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9" w:lineRule="exact"/>
        <w:rPr>
          <w:rFonts w:ascii="Arial" w:cs="Arial" w:eastAsia="Arial" w:hAnsi="Arial"/>
          <w:sz w:val="18"/>
          <w:szCs w:val="18"/>
          <w:color w:val="auto"/>
        </w:rPr>
      </w:pPr>
    </w:p>
    <w:p>
      <w:pPr>
        <w:ind w:left="780" w:hanging="253"/>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 of 1940;</w:t>
      </w:r>
    </w:p>
    <w:p>
      <w:pPr>
        <w:spacing w:after="0" w:line="32" w:lineRule="exact"/>
        <w:rPr>
          <w:rFonts w:ascii="Arial" w:cs="Arial" w:eastAsia="Arial" w:hAnsi="Arial"/>
          <w:sz w:val="16"/>
          <w:szCs w:val="16"/>
          <w:color w:val="auto"/>
        </w:rPr>
      </w:pPr>
    </w:p>
    <w:p>
      <w:pPr>
        <w:ind w:left="780" w:hanging="253"/>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 Group, in accordance with Rule 13d-1(b)(1)(ii)(J).</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248" w:lineRule="exact"/>
        <w:rPr>
          <w:sz w:val="20"/>
          <w:szCs w:val="20"/>
          <w:color w:val="auto"/>
        </w:rPr>
      </w:pPr>
    </w:p>
    <w:p>
      <w:pPr>
        <w:ind w:left="580" w:hanging="248"/>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Amount Beneficially Owned: </w:t>
      </w:r>
      <w:r>
        <w:rPr>
          <w:rFonts w:ascii="Arial" w:cs="Arial" w:eastAsia="Arial" w:hAnsi="Arial"/>
          <w:sz w:val="18"/>
          <w:szCs w:val="18"/>
          <w:b w:val="1"/>
          <w:bCs w:val="1"/>
          <w:color w:val="auto"/>
        </w:rPr>
        <w:t>790,000 shares of Common Stock.</w:t>
      </w:r>
    </w:p>
    <w:p>
      <w:pPr>
        <w:spacing w:after="0" w:line="252" w:lineRule="exact"/>
        <w:rPr>
          <w:sz w:val="20"/>
          <w:szCs w:val="20"/>
          <w:color w:val="auto"/>
        </w:rPr>
      </w:pPr>
    </w:p>
    <w:p>
      <w:pPr>
        <w:ind w:left="340" w:right="340"/>
        <w:spacing w:after="0" w:line="282" w:lineRule="auto"/>
        <w:rPr>
          <w:sz w:val="20"/>
          <w:szCs w:val="20"/>
          <w:color w:val="auto"/>
        </w:rPr>
      </w:pPr>
      <w:r>
        <w:rPr>
          <w:rFonts w:ascii="Arial" w:cs="Arial" w:eastAsia="Arial" w:hAnsi="Arial"/>
          <w:sz w:val="18"/>
          <w:szCs w:val="18"/>
          <w:b w:val="1"/>
          <w:bCs w:val="1"/>
          <w:color w:val="auto"/>
        </w:rPr>
        <w:t>As of December 31, 2013, the number of shares beneficially owned includes 790,000 shares of common stock owned by Platinum Long Term Growth VII, LLC (“Platinum VII”).</w:t>
      </w:r>
    </w:p>
    <w:p>
      <w:pPr>
        <w:spacing w:after="0" w:line="189" w:lineRule="exact"/>
        <w:rPr>
          <w:sz w:val="20"/>
          <w:szCs w:val="20"/>
          <w:color w:val="auto"/>
        </w:rPr>
      </w:pPr>
    </w:p>
    <w:p>
      <w:pPr>
        <w:ind w:left="340"/>
        <w:spacing w:after="0" w:line="295" w:lineRule="auto"/>
        <w:rPr>
          <w:sz w:val="20"/>
          <w:szCs w:val="20"/>
          <w:color w:val="auto"/>
        </w:rPr>
      </w:pPr>
      <w:r>
        <w:rPr>
          <w:rFonts w:ascii="Arial" w:cs="Arial" w:eastAsia="Arial" w:hAnsi="Arial"/>
          <w:sz w:val="16"/>
          <w:szCs w:val="16"/>
          <w:b w:val="1"/>
          <w:bCs w:val="1"/>
          <w:color w:val="auto"/>
        </w:rPr>
        <w:t>The number of shares beneficially owned excludes 12,750,000 shares of Common Stock that may be acquired by Platinum VII upon exchange of 425,000 shares of Series A Convertible Preferred Stock. Pursuant to that Note Exchange and Purchase Agreement by and between the Issuer and Platinum VII, there is a limitation on exchange such that the number of shares of Common Stock that may be acquired by Platinum VII upon exchange of the Series A Convertible Preferred Stock is limited to the extent necessary to ensure that, following such exchange, the total number of shares of Common Stock then beneficially owned by the holder does not exceed 9.99% of the total number of issued and outstanding shares of Common Stock of the Issuer without providing the Issuer with 61 days’ prior notice thereof.</w:t>
      </w:r>
    </w:p>
    <w:p>
      <w:pPr>
        <w:spacing w:after="0" w:line="183" w:lineRule="exact"/>
        <w:rPr>
          <w:sz w:val="20"/>
          <w:szCs w:val="20"/>
          <w:color w:val="auto"/>
        </w:rPr>
      </w:pPr>
    </w:p>
    <w:p>
      <w:pPr>
        <w:ind w:left="340" w:right="80"/>
        <w:spacing w:after="0" w:line="272" w:lineRule="auto"/>
        <w:rPr>
          <w:sz w:val="20"/>
          <w:szCs w:val="20"/>
          <w:color w:val="auto"/>
        </w:rPr>
      </w:pPr>
      <w:r>
        <w:rPr>
          <w:rFonts w:ascii="Arial" w:cs="Arial" w:eastAsia="Arial" w:hAnsi="Arial"/>
          <w:sz w:val="17"/>
          <w:szCs w:val="17"/>
          <w:b w:val="1"/>
          <w:bCs w:val="1"/>
          <w:color w:val="auto"/>
        </w:rPr>
        <w:t>Further, the number of shares beneficially owned also excludes 8,982,571 shares of Common Stock that may be acquired by Platinum VII upon conversion of various convertible notes or exercise of various common stock purchase warrants issued by the Issuer (before giving effect to accrued but unpaid interest on such convertible notes). Pursuant to the terms of the respective convertible notes and common stock purchase warrant agreements, there is a limitation on conversion of the notes and exercise of the warrants such that the number of shares of Common Stock that may be acquired by the holder upon such conversion or exercise is limited to the extent necessary to ensure that, following such conversion or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6" w:name="page7"/>
    <w:bookmarkEnd w:id="6"/>
    <w:p>
      <w:pPr>
        <w:ind w:left="340"/>
        <w:spacing w:after="0" w:line="292" w:lineRule="auto"/>
        <w:rPr>
          <w:sz w:val="20"/>
          <w:szCs w:val="20"/>
          <w:color w:val="auto"/>
        </w:rPr>
      </w:pPr>
      <w:r>
        <w:rPr>
          <w:rFonts w:ascii="Arial" w:cs="Arial" w:eastAsia="Arial" w:hAnsi="Arial"/>
          <w:sz w:val="16"/>
          <w:szCs w:val="16"/>
          <w:b w:val="1"/>
          <w:bCs w:val="1"/>
          <w:color w:val="auto"/>
        </w:rPr>
        <w:t>Further, the number of shares beneficially owned also excludes Series A Exchange Warrants that may be issued to Platinum VII upon exchange of the Series A Convertible Preferred Stock. Assuming exchange of all 425,000 shares of Series A Convertible Preferred Stock, the Series A Exchange Warrants entitle the holder to acquire up to 6,375,000 shares of Common Stock. Pursuant to the terms of the Series A Exchange Warrant agreement, there is a limitation on exercise of the Series A Exchange Warrants such that the number of shares of Common Stock that may be acquired by the holder upon such exercise is limited to the extent necessary to ensure that, following such exercise, the total number of shares of Common Stock then beneficially owned by the holder does not exceed 4.99% or 9.99% of the total number of issued and outstanding shares of Common Stock of the Issuer without providing the Issuer with 61 days’ prior notice thereof.</w:t>
      </w:r>
    </w:p>
    <w:p>
      <w:pPr>
        <w:spacing w:after="0" w:line="189"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Percent of class: </w:t>
      </w:r>
      <w:r>
        <w:rPr>
          <w:rFonts w:ascii="Arial" w:cs="Arial" w:eastAsia="Arial" w:hAnsi="Arial"/>
          <w:sz w:val="18"/>
          <w:szCs w:val="18"/>
          <w:b w:val="1"/>
          <w:bCs w:val="1"/>
          <w:color w:val="auto"/>
        </w:rPr>
        <w:t>9.9%</w:t>
      </w:r>
    </w:p>
    <w:p>
      <w:pPr>
        <w:spacing w:after="0" w:line="256"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3" w:lineRule="exact"/>
        <w:rPr>
          <w:rFonts w:ascii="Arial" w:cs="Arial" w:eastAsia="Arial" w:hAnsi="Arial"/>
          <w:sz w:val="18"/>
          <w:szCs w:val="18"/>
          <w:color w:val="auto"/>
        </w:rPr>
      </w:pPr>
    </w:p>
    <w:p>
      <w:pPr>
        <w:ind w:left="1340" w:hanging="360"/>
        <w:spacing w:after="0"/>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Sole power to vote or to direct the vote: </w:t>
      </w: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340" w:hanging="360"/>
        <w:spacing w:after="0"/>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Shared power to vote or to direct the vote: </w:t>
      </w:r>
      <w:r>
        <w:rPr>
          <w:rFonts w:ascii="Arial" w:cs="Arial" w:eastAsia="Arial" w:hAnsi="Arial"/>
          <w:sz w:val="18"/>
          <w:szCs w:val="18"/>
          <w:b w:val="1"/>
          <w:bCs w:val="1"/>
          <w:color w:val="auto"/>
        </w:rPr>
        <w:t>790,000</w:t>
      </w:r>
    </w:p>
    <w:p>
      <w:pPr>
        <w:spacing w:after="0" w:line="9" w:lineRule="exact"/>
        <w:rPr>
          <w:rFonts w:ascii="Arial" w:cs="Arial" w:eastAsia="Arial" w:hAnsi="Arial"/>
          <w:sz w:val="18"/>
          <w:szCs w:val="18"/>
          <w:color w:val="auto"/>
        </w:rPr>
      </w:pPr>
    </w:p>
    <w:p>
      <w:pPr>
        <w:ind w:left="1340" w:hanging="360"/>
        <w:spacing w:after="0"/>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Sole power to dispose or to direct the disposition of: </w:t>
      </w:r>
      <w:r>
        <w:rPr>
          <w:rFonts w:ascii="Arial" w:cs="Arial" w:eastAsia="Arial" w:hAnsi="Arial"/>
          <w:sz w:val="18"/>
          <w:szCs w:val="18"/>
          <w:b w:val="1"/>
          <w:bCs w:val="1"/>
          <w:color w:val="auto"/>
        </w:rPr>
        <w:t>0</w:t>
      </w:r>
    </w:p>
    <w:p>
      <w:pPr>
        <w:spacing w:after="0" w:line="9" w:lineRule="exact"/>
        <w:rPr>
          <w:rFonts w:ascii="Arial" w:cs="Arial" w:eastAsia="Arial" w:hAnsi="Arial"/>
          <w:sz w:val="18"/>
          <w:szCs w:val="18"/>
          <w:color w:val="auto"/>
        </w:rPr>
      </w:pPr>
    </w:p>
    <w:p>
      <w:pPr>
        <w:ind w:left="1340" w:hanging="360"/>
        <w:spacing w:after="0"/>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Shared power to dispose or to direct the disposition of: </w:t>
      </w:r>
      <w:r>
        <w:rPr>
          <w:rFonts w:ascii="Arial" w:cs="Arial" w:eastAsia="Arial" w:hAnsi="Arial"/>
          <w:sz w:val="18"/>
          <w:szCs w:val="18"/>
          <w:b w:val="1"/>
          <w:bCs w:val="1"/>
          <w:color w:val="auto"/>
        </w:rPr>
        <w:t>790,000</w:t>
      </w:r>
    </w:p>
    <w:p>
      <w:pPr>
        <w:spacing w:after="0" w:line="234"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The shares of Common Stock (the “Shares”) reported in this Schedule 13G are held directly by Platinum Long Term Growth VII, LLC. Platinum Management (NY) LLC is the investment manager of Platinum Long Term Growth VII, LLC. Mr. Nordlicht is the Chief Investment Officer of Platinum Management (NY) LLC and has voting and investment control of the Shares held by Platinum Long Term Growth VII, LLC. Each of Platinum Management (NY) LLC and Mr. Nordlicht expressly disclaims beneficial ownership of the Shares held by Platinum Long Term Growth VII, LLC.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5 Percent on Behalf of Another Person.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 </w:t>
      </w:r>
      <w:r>
        <w:rPr>
          <w:rFonts w:ascii="Arial" w:cs="Arial" w:eastAsia="Arial" w:hAnsi="Arial"/>
          <w:sz w:val="18"/>
          <w:szCs w:val="18"/>
          <w:b w:val="1"/>
          <w:bCs w:val="1"/>
          <w:color w:val="auto"/>
        </w:rPr>
        <w:t>N/A</w:t>
      </w:r>
    </w:p>
    <w:p>
      <w:pPr>
        <w:spacing w:after="0" w:line="21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 xml:space="preserve">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 </w:t>
      </w:r>
      <w:r>
        <w:rPr>
          <w:rFonts w:ascii="Arial" w:cs="Arial" w:eastAsia="Arial" w:hAnsi="Arial"/>
          <w:sz w:val="18"/>
          <w:szCs w:val="18"/>
          <w:b w:val="1"/>
          <w:bCs w:val="1"/>
          <w:color w:val="auto"/>
        </w:rPr>
        <w:t>N/A</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 </w:t>
      </w:r>
      <w:r>
        <w:rPr>
          <w:rFonts w:ascii="Arial" w:cs="Arial" w:eastAsia="Arial" w:hAnsi="Arial"/>
          <w:sz w:val="18"/>
          <w:szCs w:val="18"/>
          <w:b w:val="1"/>
          <w:bCs w:val="1"/>
          <w:color w:val="auto"/>
        </w:rPr>
        <w:t>See previously filed Joint Filing Agreement</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w:t>
      </w:r>
      <w:r>
        <w:rPr>
          <w:rFonts w:ascii="Arial" w:cs="Arial" w:eastAsia="Arial" w:hAnsi="Arial"/>
          <w:sz w:val="18"/>
          <w:szCs w:val="18"/>
          <w:b w:val="1"/>
          <w:bCs w:val="1"/>
          <w:color w:val="auto"/>
        </w:rPr>
        <w:t>N/A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Certifications</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 w:name="page9"/>
    <w:bookmarkEnd w:id="8"/>
    <w:p>
      <w:pPr>
        <w:jc w:val="center"/>
        <w:ind w:right="-35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Long Term Growth VII,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OLIVER JIMENEZ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Oliver Jimenez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Compliance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Platinum Management (NY) LLC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OLIVER JIMENEZ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Oliver Jimenez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Compliance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MARK NORDLICHT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Nordlicht</w:t>
      </w: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060"/>
      </w:cols>
      <w:pgMar w:left="240" w:top="12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10"/>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10"/>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6"/>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2020-01-26T01:27:26Z</dcterms:created>
  <dcterms:modified xsi:type="dcterms:W3CDTF">2020-01-26T01:27:26Z</dcterms:modified>
</cp:coreProperties>
</file>