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25, 2023</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445"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445"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160" w:type="dxa"/>
            <w:vAlign w:val="bottom"/>
          </w:tcPr>
          <w:p>
            <w:pPr>
              <w:jc w:val="center"/>
              <w:ind w:right="530"/>
              <w:spacing w:after="0"/>
              <w:rPr>
                <w:sz w:val="20"/>
                <w:szCs w:val="20"/>
                <w:color w:val="auto"/>
              </w:rPr>
            </w:pPr>
            <w:r>
              <w:rPr>
                <w:rFonts w:ascii="Arial" w:cs="Arial" w:eastAsia="Arial" w:hAnsi="Arial"/>
                <w:sz w:val="18"/>
                <w:szCs w:val="18"/>
                <w:color w:val="auto"/>
                <w:w w:val="99"/>
              </w:rPr>
              <w:t>VTGN</w:t>
            </w:r>
          </w:p>
        </w:tc>
        <w:tc>
          <w:tcPr>
            <w:tcW w:w="4820" w:type="dxa"/>
            <w:vAlign w:val="bottom"/>
          </w:tcPr>
          <w:p>
            <w:pPr>
              <w:jc w:val="center"/>
              <w:ind w:right="1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25,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held its 2023 Virtual Annual Meeting of Stockholders (the “</w:t>
      </w:r>
      <w:r>
        <w:rPr>
          <w:rFonts w:ascii="Arial" w:cs="Arial" w:eastAsia="Arial" w:hAnsi="Arial"/>
          <w:sz w:val="18"/>
          <w:szCs w:val="18"/>
          <w:i w:val="1"/>
          <w:iCs w:val="1"/>
          <w:color w:val="auto"/>
        </w:rPr>
        <w:t>Annual Meeting</w:t>
      </w:r>
      <w:r>
        <w:rPr>
          <w:rFonts w:ascii="Arial" w:cs="Arial" w:eastAsia="Arial" w:hAnsi="Arial"/>
          <w:sz w:val="18"/>
          <w:szCs w:val="18"/>
          <w:color w:val="auto"/>
        </w:rPr>
        <w:t>”). As set forth below, at the Annual Meeting the Company’s stockholders re-elected each of the seven director nominees to the Company’s Board of Directors, approved, on an advisory basis, the compensation paid to the Company’s named executive officers, approved an amendment to the Company’s Amended and Restated 2019 Omnibus Equity Incentive Plan, and ratified the appointment of WithumSmith+Brown PC as the Company’s independent registered public accounting firm for the Company’s current fiscal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The matters voted upon at the Annual Meeting and the results of the voting are as follows:</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80" w:type="dxa"/>
            <w:vAlign w:val="bottom"/>
            <w:gridSpan w:val="2"/>
          </w:tcPr>
          <w:p>
            <w:pPr>
              <w:ind w:left="500"/>
              <w:spacing w:after="0"/>
              <w:rPr>
                <w:sz w:val="20"/>
                <w:szCs w:val="20"/>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w:t>
            </w:r>
            <w:r>
              <w:rPr>
                <w:rFonts w:ascii="Arial" w:cs="Arial" w:eastAsia="Arial" w:hAnsi="Arial"/>
                <w:sz w:val="18"/>
                <w:szCs w:val="18"/>
                <w:i w:val="1"/>
                <w:iCs w:val="1"/>
                <w:color w:val="auto"/>
              </w:rPr>
              <w:t xml:space="preserve"> Election of Directors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5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For</w:t>
            </w:r>
          </w:p>
        </w:tc>
        <w:tc>
          <w:tcPr>
            <w:tcW w:w="180" w:type="dxa"/>
            <w:vAlign w:val="bottom"/>
          </w:tcPr>
          <w:p>
            <w:pPr>
              <w:spacing w:after="0"/>
              <w:rPr>
                <w:sz w:val="24"/>
                <w:szCs w:val="24"/>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Withheld</w:t>
            </w: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Ann M. Cunningham, MBA</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1,443,789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641,810</w:t>
            </w:r>
          </w:p>
        </w:tc>
      </w:tr>
      <w:tr>
        <w:trPr>
          <w:trHeight w:val="216"/>
        </w:trPr>
        <w:tc>
          <w:tcPr>
            <w:tcW w:w="6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Joanne Curley, Ph.D.</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1,621,743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463,856</w:t>
            </w:r>
          </w:p>
        </w:tc>
      </w:tr>
      <w:tr>
        <w:trPr>
          <w:trHeight w:val="216"/>
        </w:trPr>
        <w:tc>
          <w:tcPr>
            <w:tcW w:w="6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Margaret M. FitzPatrick, M.A.</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1,614,059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471,540</w:t>
            </w:r>
          </w:p>
        </w:tc>
      </w:tr>
      <w:tr>
        <w:trPr>
          <w:trHeight w:val="216"/>
        </w:trPr>
        <w:tc>
          <w:tcPr>
            <w:tcW w:w="6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Jerry B. Gin, Ph.D., MBA</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1,668,774</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416,825</w:t>
            </w:r>
          </w:p>
        </w:tc>
      </w:tr>
      <w:tr>
        <w:trPr>
          <w:trHeight w:val="216"/>
        </w:trPr>
        <w:tc>
          <w:tcPr>
            <w:tcW w:w="6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Mary L. Rotunno, J.D.</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1,613,705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471,894</w:t>
            </w:r>
          </w:p>
        </w:tc>
      </w:tr>
      <w:tr>
        <w:trPr>
          <w:trHeight w:val="216"/>
        </w:trPr>
        <w:tc>
          <w:tcPr>
            <w:tcW w:w="6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Jon S. Saxe, J.D., LL.M.</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1,619,698</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465,872</w:t>
            </w:r>
          </w:p>
        </w:tc>
      </w:tr>
      <w:tr>
        <w:trPr>
          <w:trHeight w:val="216"/>
        </w:trPr>
        <w:tc>
          <w:tcPr>
            <w:tcW w:w="6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1,590,015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495,584</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Members of the Company’s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are elected by a plurality of the votes cast. Accordingly, each of the director nominees named above was elected to serve on the Board until the Company’s 2024 Annual Meeting of Stockholders, or until her or his successor is elected and qualified.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w:t>
      </w:r>
      <w:r>
        <w:rPr>
          <w:rFonts w:ascii="Arial" w:cs="Arial" w:eastAsia="Arial" w:hAnsi="Arial"/>
          <w:sz w:val="18"/>
          <w:szCs w:val="18"/>
          <w:i w:val="1"/>
          <w:iCs w:val="1"/>
          <w:color w:val="auto"/>
        </w:rPr>
        <w:t xml:space="preserve"> Advisory Vote to Approve Executive Compensation (Say-on-Pay Proposal)</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For</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Against</w:t>
            </w:r>
          </w:p>
        </w:tc>
        <w:tc>
          <w:tcPr>
            <w:tcW w:w="180" w:type="dxa"/>
            <w:vAlign w:val="bottom"/>
          </w:tcPr>
          <w:p>
            <w:pPr>
              <w:spacing w:after="0"/>
              <w:rPr>
                <w:sz w:val="20"/>
                <w:szCs w:val="20"/>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Abstain</w:t>
            </w:r>
          </w:p>
        </w:tc>
        <w:tc>
          <w:tcPr>
            <w:tcW w:w="100" w:type="dxa"/>
            <w:vAlign w:val="bottom"/>
          </w:tcPr>
          <w:p>
            <w:pPr>
              <w:spacing w:after="0"/>
              <w:rPr>
                <w:sz w:val="20"/>
                <w:szCs w:val="20"/>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Votes</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1,382,535</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607,263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95,801</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vote required to approve this non-binding advisory vote was the affirmative vote of a majority of the votes cast on the proposal. Accordingly, the Company’s stockholders approved, on an advisory basis, the compensation paid to the Company’s named executive officers, as reported in the Company’s definitive proxy statement that was filed with the U.S.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on July 28, 2023.</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w:t>
      </w:r>
      <w:r>
        <w:rPr>
          <w:rFonts w:ascii="Arial" w:cs="Arial" w:eastAsia="Arial" w:hAnsi="Arial"/>
          <w:sz w:val="18"/>
          <w:szCs w:val="18"/>
          <w:i w:val="1"/>
          <w:iCs w:val="1"/>
          <w:color w:val="auto"/>
        </w:rPr>
        <w:t>Amendment to the Vistagen Therapeutics, Inc. Amended and Restated 2019 Omnibus Equity Incentive Plan</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For</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Against</w:t>
            </w:r>
          </w:p>
        </w:tc>
        <w:tc>
          <w:tcPr>
            <w:tcW w:w="180" w:type="dxa"/>
            <w:vAlign w:val="bottom"/>
          </w:tcPr>
          <w:p>
            <w:pPr>
              <w:spacing w:after="0"/>
              <w:rPr>
                <w:sz w:val="20"/>
                <w:szCs w:val="20"/>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Abstain</w:t>
            </w:r>
          </w:p>
        </w:tc>
        <w:tc>
          <w:tcPr>
            <w:tcW w:w="100" w:type="dxa"/>
            <w:vAlign w:val="bottom"/>
          </w:tcPr>
          <w:p>
            <w:pPr>
              <w:spacing w:after="0"/>
              <w:rPr>
                <w:sz w:val="20"/>
                <w:szCs w:val="20"/>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Votes</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1,389,517</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667,326</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vote required to approve this amendment to the Company’s Amended and Restated 2019 Omnibus Equity Incentive Plan (the “</w:t>
      </w:r>
      <w:r>
        <w:rPr>
          <w:rFonts w:ascii="Arial" w:cs="Arial" w:eastAsia="Arial" w:hAnsi="Arial"/>
          <w:sz w:val="18"/>
          <w:szCs w:val="18"/>
          <w:i w:val="1"/>
          <w:iCs w:val="1"/>
          <w:color w:val="auto"/>
        </w:rPr>
        <w:t>Amendment</w:t>
      </w:r>
      <w:r>
        <w:rPr>
          <w:rFonts w:ascii="Arial" w:cs="Arial" w:eastAsia="Arial" w:hAnsi="Arial"/>
          <w:sz w:val="18"/>
          <w:szCs w:val="18"/>
          <w:color w:val="auto"/>
        </w:rPr>
        <w:t>”), which Amendment increases the number of shares of the Company’s common stock, par value $0.001 per share, authorized for issuance thereunder from 600,000 shares to 1,000,000 shares, was the affirmative vote of a majority of the votes cast on the proposal. Accordingly, the Company’s stockholders approved the Amendment.</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w:t>
            </w:r>
            <w:r>
              <w:rPr>
                <w:rFonts w:ascii="Arial" w:cs="Arial" w:eastAsia="Arial" w:hAnsi="Arial"/>
                <w:sz w:val="18"/>
                <w:szCs w:val="18"/>
                <w:i w:val="1"/>
                <w:iCs w:val="1"/>
                <w:color w:val="auto"/>
              </w:rPr>
              <w:t xml:space="preserve"> Ratification of Appointment of Auditors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For</w:t>
            </w:r>
          </w:p>
        </w:tc>
        <w:tc>
          <w:tcPr>
            <w:tcW w:w="180" w:type="dxa"/>
            <w:vAlign w:val="bottom"/>
          </w:tcPr>
          <w:p>
            <w:pPr>
              <w:spacing w:after="0"/>
              <w:rPr>
                <w:sz w:val="24"/>
                <w:szCs w:val="24"/>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Against</w:t>
            </w:r>
          </w:p>
        </w:tc>
        <w:tc>
          <w:tcPr>
            <w:tcW w:w="180" w:type="dxa"/>
            <w:vAlign w:val="bottom"/>
          </w:tcPr>
          <w:p>
            <w:pPr>
              <w:spacing w:after="0"/>
              <w:rPr>
                <w:sz w:val="24"/>
                <w:szCs w:val="24"/>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Abstain</w:t>
            </w:r>
          </w:p>
        </w:tc>
        <w:tc>
          <w:tcPr>
            <w:tcW w:w="10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Votes</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3,933,402</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334,951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42,733</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vote required to ratify the appointment of WithumSmith+Brown, PC as the Company’s independent registered public accounting firm for the fiscal year ending March 31, 2024 was the affirmative vote of a majority of the votes cast on the proposal. Accordingly, the Company’s stockholders ratified the appointment of WithumSmith+Brown, PC as the Company’s independent auditors for the fiscal year ending March 31,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about the foregoing proposals, please review the Company’s definitive proxy statement, filed with the SEC on July 28,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4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820"/>
              <w:spacing w:after="0"/>
              <w:rPr>
                <w:sz w:val="20"/>
                <w:szCs w:val="20"/>
                <w:color w:val="auto"/>
              </w:rPr>
            </w:pPr>
            <w:r>
              <w:rPr>
                <w:rFonts w:ascii="Arial" w:cs="Arial" w:eastAsia="Arial" w:hAnsi="Arial"/>
                <w:sz w:val="18"/>
                <w:szCs w:val="18"/>
                <w:color w:val="auto"/>
              </w:rPr>
              <w:t>Vistagen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September 29, 2023</w:t>
            </w:r>
          </w:p>
        </w:tc>
        <w:tc>
          <w:tcPr>
            <w:tcW w:w="7520" w:type="dxa"/>
            <w:vAlign w:val="bottom"/>
            <w:gridSpan w:val="2"/>
          </w:tcPr>
          <w:p>
            <w:pPr>
              <w:ind w:left="18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Shawn K. Singh</w:t>
            </w:r>
          </w:p>
        </w:tc>
      </w:tr>
      <w:tr>
        <w:trPr>
          <w:trHeight w:val="195"/>
        </w:trPr>
        <w:tc>
          <w:tcPr>
            <w:tcW w:w="3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2023-09-29T15:49:18Z</dcterms:created>
  <dcterms:modified xsi:type="dcterms:W3CDTF">2023-09-29T15:49:18Z</dcterms:modified>
</cp:coreProperties>
</file>