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Cote Elissa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Vistagen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VTGN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VISTAGEN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343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63"/>
        <w:spacing w:after="0"/>
        <w:rPr>
          <w:sz w:val="20"/>
          <w:szCs w:val="20"/>
          <w:color w:val="auto"/>
        </w:rPr>
      </w:pPr>
      <w:r>
        <w:rPr>
          <w:rFonts w:ascii="Times New Roman" w:cs="Times New Roman" w:eastAsia="Times New Roman" w:hAnsi="Times New Roman"/>
          <w:sz w:val="20"/>
          <w:szCs w:val="20"/>
          <w:color w:val="0000FF"/>
        </w:rPr>
        <w:t>Chief Corp Development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Elissa S. Cote</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06/25/2025</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4"/>
          <w:szCs w:val="24"/>
          <w:color w:val="auto"/>
        </w:rPr>
        <w:t>The undersigned hereby makes, constitutes and appoints Shawn K. Singh and Cynthia Anderson, or either of them acting singly, and with full power of substitution, re-substitution and delegation, the undersigned’s true and lawful attorneyinfact (each of such persons and their substitutes and delegees being referred to herein as the "</w:t>
      </w:r>
      <w:r>
        <w:rPr>
          <w:rFonts w:ascii="Times New Roman" w:cs="Times New Roman" w:eastAsia="Times New Roman" w:hAnsi="Times New Roman"/>
          <w:sz w:val="24"/>
          <w:szCs w:val="24"/>
          <w:i w:val="1"/>
          <w:iCs w:val="1"/>
          <w:color w:val="auto"/>
        </w:rPr>
        <w:t>Attorney-in-Fact</w:t>
      </w:r>
      <w:r>
        <w:rPr>
          <w:rFonts w:ascii="Times New Roman" w:cs="Times New Roman" w:eastAsia="Times New Roman" w:hAnsi="Times New Roman"/>
          <w:sz w:val="24"/>
          <w:szCs w:val="24"/>
          <w:color w:val="auto"/>
        </w:rPr>
        <w:t>"), with full power to act for the undersigned and in the undersigned's name, place and stead, in the undersigned’s capacity as an officer, director or stockholder of Vistagen Therapeutics, Inc. (the “</w:t>
      </w:r>
      <w:r>
        <w:rPr>
          <w:rFonts w:ascii="Times New Roman" w:cs="Times New Roman" w:eastAsia="Times New Roman" w:hAnsi="Times New Roman"/>
          <w:sz w:val="24"/>
          <w:szCs w:val="24"/>
          <w:i w:val="1"/>
          <w:iCs w:val="1"/>
          <w:color w:val="auto"/>
        </w:rPr>
        <w:t>Company</w:t>
      </w:r>
      <w:r>
        <w:rPr>
          <w:rFonts w:ascii="Times New Roman" w:cs="Times New Roman" w:eastAsia="Times New Roman" w:hAnsi="Times New Roman"/>
          <w:sz w:val="24"/>
          <w:szCs w:val="24"/>
          <w:color w:val="auto"/>
        </w:rPr>
        <w:t>”), to:</w:t>
      </w:r>
    </w:p>
    <w:p>
      <w:pPr>
        <w:spacing w:after="0" w:line="228" w:lineRule="exact"/>
        <w:rPr>
          <w:sz w:val="20"/>
          <w:szCs w:val="20"/>
          <w:color w:val="auto"/>
        </w:rPr>
      </w:pPr>
    </w:p>
    <w:p>
      <w:pPr>
        <w:jc w:val="both"/>
        <w:ind w:left="1440" w:hanging="359"/>
        <w:spacing w:after="0"/>
        <w:tabs>
          <w:tab w:leader="none" w:pos="141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Take such actions as may be necessary or appropriate to enable the undersigned to submit and file forms, schedules and other documents with the U.S. Securities and Exchange Commission (“</w:t>
      </w:r>
      <w:r>
        <w:rPr>
          <w:rFonts w:ascii="Times New Roman" w:cs="Times New Roman" w:eastAsia="Times New Roman" w:hAnsi="Times New Roman"/>
          <w:sz w:val="24"/>
          <w:szCs w:val="24"/>
          <w:i w:val="1"/>
          <w:iCs w:val="1"/>
          <w:color w:val="auto"/>
        </w:rPr>
        <w:t>SEC</w:t>
      </w:r>
      <w:r>
        <w:rPr>
          <w:rFonts w:ascii="Times New Roman" w:cs="Times New Roman" w:eastAsia="Times New Roman" w:hAnsi="Times New Roman"/>
          <w:sz w:val="24"/>
          <w:szCs w:val="24"/>
          <w:color w:val="auto"/>
        </w:rPr>
        <w:t>”) utilizing the SEC’s Electronic Data Gathering and Retrieval (“</w:t>
      </w:r>
      <w:r>
        <w:rPr>
          <w:rFonts w:ascii="Times New Roman" w:cs="Times New Roman" w:eastAsia="Times New Roman" w:hAnsi="Times New Roman"/>
          <w:sz w:val="24"/>
          <w:szCs w:val="24"/>
          <w:i w:val="1"/>
          <w:iCs w:val="1"/>
          <w:color w:val="auto"/>
        </w:rPr>
        <w:t>EDGAR</w:t>
      </w:r>
      <w:r>
        <w:rPr>
          <w:rFonts w:ascii="Times New Roman" w:cs="Times New Roman" w:eastAsia="Times New Roman" w:hAnsi="Times New Roman"/>
          <w:sz w:val="24"/>
          <w:szCs w:val="24"/>
          <w:color w:val="auto"/>
        </w:rPr>
        <w:t>”)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29" w:lineRule="exact"/>
        <w:rPr>
          <w:rFonts w:ascii="Arial" w:cs="Arial" w:eastAsia="Arial" w:hAnsi="Arial"/>
          <w:sz w:val="21"/>
          <w:szCs w:val="21"/>
          <w:color w:val="auto"/>
        </w:rPr>
      </w:pPr>
    </w:p>
    <w:p>
      <w:pPr>
        <w:jc w:val="both"/>
        <w:ind w:left="1440" w:hanging="359"/>
        <w:spacing w:after="0"/>
        <w:tabs>
          <w:tab w:leader="none" w:pos="141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w:t>
      </w:r>
      <w:r>
        <w:rPr>
          <w:rFonts w:ascii="Times New Roman" w:cs="Times New Roman" w:eastAsia="Times New Roman" w:hAnsi="Times New Roman"/>
          <w:sz w:val="24"/>
          <w:szCs w:val="24"/>
          <w:i w:val="1"/>
          <w:iCs w:val="1"/>
          <w:color w:val="auto"/>
        </w:rPr>
        <w:t>Rule 144</w:t>
      </w:r>
      <w:r>
        <w:rPr>
          <w:rFonts w:ascii="Times New Roman" w:cs="Times New Roman" w:eastAsia="Times New Roman" w:hAnsi="Times New Roman"/>
          <w:sz w:val="24"/>
          <w:szCs w:val="24"/>
          <w:color w:val="auto"/>
        </w:rPr>
        <w:t>”), including Forms 3, 4 and 5, Schedules 13D and 13G, and Forms 144 (all such forms, schedules and other documents being referred to herein as “</w:t>
      </w:r>
      <w:r>
        <w:rPr>
          <w:rFonts w:ascii="Times New Roman" w:cs="Times New Roman" w:eastAsia="Times New Roman" w:hAnsi="Times New Roman"/>
          <w:sz w:val="24"/>
          <w:szCs w:val="24"/>
          <w:i w:val="1"/>
          <w:iCs w:val="1"/>
          <w:color w:val="auto"/>
        </w:rPr>
        <w:t>SEC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Filings</w:t>
      </w:r>
      <w:r>
        <w:rPr>
          <w:rFonts w:ascii="Times New Roman" w:cs="Times New Roman" w:eastAsia="Times New Roman" w:hAnsi="Times New Roman"/>
          <w:sz w:val="24"/>
          <w:szCs w:val="24"/>
          <w:color w:val="auto"/>
        </w:rPr>
        <w:t>”);</w:t>
      </w:r>
    </w:p>
    <w:p>
      <w:pPr>
        <w:spacing w:after="0" w:line="229" w:lineRule="exact"/>
        <w:rPr>
          <w:rFonts w:ascii="Arial" w:cs="Arial" w:eastAsia="Arial" w:hAnsi="Arial"/>
          <w:sz w:val="21"/>
          <w:szCs w:val="21"/>
          <w:color w:val="auto"/>
        </w:rPr>
      </w:pPr>
    </w:p>
    <w:p>
      <w:pPr>
        <w:ind w:left="1440" w:hanging="359"/>
        <w:spacing w:after="0" w:line="266" w:lineRule="auto"/>
        <w:tabs>
          <w:tab w:leader="none" w:pos="141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Submit and file SEC Filings with the SEC utilizing the EDGAR system or cause them to be submitted and filed by a person appointed under Section 5 below;</w:t>
      </w:r>
    </w:p>
    <w:p>
      <w:pPr>
        <w:spacing w:after="0" w:line="198" w:lineRule="exact"/>
        <w:rPr>
          <w:rFonts w:ascii="Arial" w:cs="Arial" w:eastAsia="Arial" w:hAnsi="Arial"/>
          <w:sz w:val="21"/>
          <w:szCs w:val="21"/>
          <w:color w:val="auto"/>
        </w:rPr>
      </w:pPr>
    </w:p>
    <w:p>
      <w:pPr>
        <w:ind w:left="1440" w:hanging="359"/>
        <w:spacing w:after="0" w:line="266" w:lineRule="auto"/>
        <w:tabs>
          <w:tab w:leader="none" w:pos="141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File, submit or otherwise deliver SEC Filings to any securities exchange on which the Company’s securities may be listed or traded;</w:t>
      </w:r>
    </w:p>
    <w:p>
      <w:pPr>
        <w:spacing w:after="0" w:line="198" w:lineRule="exact"/>
        <w:rPr>
          <w:rFonts w:ascii="Arial" w:cs="Arial" w:eastAsia="Arial" w:hAnsi="Arial"/>
          <w:sz w:val="21"/>
          <w:szCs w:val="21"/>
          <w:color w:val="auto"/>
        </w:rPr>
      </w:pPr>
    </w:p>
    <w:p>
      <w:pPr>
        <w:jc w:val="both"/>
        <w:ind w:left="1440" w:hanging="359"/>
        <w:spacing w:after="0" w:line="245" w:lineRule="auto"/>
        <w:tabs>
          <w:tab w:leader="none" w:pos="141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223" w:lineRule="exact"/>
        <w:rPr>
          <w:rFonts w:ascii="Arial" w:cs="Arial" w:eastAsia="Arial" w:hAnsi="Arial"/>
          <w:sz w:val="21"/>
          <w:szCs w:val="21"/>
          <w:color w:val="auto"/>
        </w:rPr>
      </w:pPr>
    </w:p>
    <w:p>
      <w:pPr>
        <w:jc w:val="both"/>
        <w:ind w:left="1440" w:hanging="359"/>
        <w:spacing w:after="0" w:line="250" w:lineRule="auto"/>
        <w:tabs>
          <w:tab w:leader="none" w:pos="141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218" w:lineRule="exact"/>
        <w:rPr>
          <w:rFonts w:ascii="Arial" w:cs="Arial" w:eastAsia="Arial" w:hAnsi="Arial"/>
          <w:sz w:val="21"/>
          <w:szCs w:val="21"/>
          <w:color w:val="auto"/>
        </w:rPr>
      </w:pPr>
    </w:p>
    <w:p>
      <w:pPr>
        <w:jc w:val="both"/>
        <w:ind w:left="1440" w:hanging="359"/>
        <w:spacing w:after="0" w:line="245" w:lineRule="auto"/>
        <w:tabs>
          <w:tab w:leader="none" w:pos="141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The undersigned acknowledges that:</w:t>
      </w:r>
    </w:p>
    <w:p>
      <w:pPr>
        <w:spacing w:after="0" w:line="264" w:lineRule="exact"/>
        <w:rPr>
          <w:sz w:val="20"/>
          <w:szCs w:val="20"/>
          <w:color w:val="auto"/>
        </w:rPr>
      </w:pPr>
    </w:p>
    <w:p>
      <w:pPr>
        <w:jc w:val="both"/>
        <w:ind w:left="1440" w:hanging="359"/>
        <w:spacing w:after="0" w:line="250" w:lineRule="auto"/>
        <w:tabs>
          <w:tab w:leader="none" w:pos="1410" w:val="left"/>
        </w:tabs>
        <w:numPr>
          <w:ilvl w:val="0"/>
          <w:numId w:val="5"/>
        </w:numPr>
        <w:rPr>
          <w:rFonts w:ascii="Arial" w:cs="Arial" w:eastAsia="Arial" w:hAnsi="Arial"/>
          <w:sz w:val="21"/>
          <w:szCs w:val="21"/>
          <w:color w:val="auto"/>
        </w:rPr>
      </w:pPr>
      <w:r>
        <w:rPr>
          <w:rFonts w:ascii="Times New Roman" w:cs="Times New Roman" w:eastAsia="Times New Roman" w:hAnsi="Times New Roman"/>
          <w:sz w:val="24"/>
          <w:szCs w:val="24"/>
          <w:color w:val="auto"/>
        </w:rPr>
        <w:t>This Power of Attorney authorizes, but does not require, the Attorney-in-Fact to act in his or her discretion on information provided to such Attorney-in-Fact without independent verification of such information;</w:t>
      </w:r>
    </w:p>
    <w:p>
      <w:pPr>
        <w:spacing w:after="0" w:line="233"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427990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jc w:val="both"/>
        <w:ind w:left="1440" w:hanging="359"/>
        <w:spacing w:after="0" w:line="250" w:lineRule="auto"/>
        <w:rPr>
          <w:sz w:val="20"/>
          <w:szCs w:val="20"/>
          <w:color w:val="auto"/>
        </w:rPr>
      </w:pPr>
      <w:r>
        <w:rPr>
          <w:rFonts w:ascii="Times New Roman" w:cs="Times New Roman" w:eastAsia="Times New Roman" w:hAnsi="Times New Roman"/>
          <w:sz w:val="24"/>
          <w:szCs w:val="24"/>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18" w:lineRule="exact"/>
        <w:rPr>
          <w:sz w:val="20"/>
          <w:szCs w:val="20"/>
          <w:color w:val="auto"/>
        </w:rPr>
      </w:pPr>
    </w:p>
    <w:p>
      <w:pPr>
        <w:jc w:val="both"/>
        <w:ind w:left="1440" w:hanging="359"/>
        <w:spacing w:after="0" w:line="242" w:lineRule="auto"/>
        <w:tabs>
          <w:tab w:leader="none" w:pos="1410" w:val="left"/>
        </w:tabs>
        <w:numPr>
          <w:ilvl w:val="0"/>
          <w:numId w:val="6"/>
        </w:numPr>
        <w:rPr>
          <w:rFonts w:ascii="Arial" w:cs="Arial" w:eastAsia="Arial" w:hAnsi="Arial"/>
          <w:sz w:val="21"/>
          <w:szCs w:val="21"/>
          <w:color w:val="auto"/>
        </w:rPr>
      </w:pPr>
      <w:r>
        <w:rPr>
          <w:rFonts w:ascii="Times New Roman" w:cs="Times New Roman" w:eastAsia="Times New Roman" w:hAnsi="Times New Roman"/>
          <w:sz w:val="24"/>
          <w:szCs w:val="24"/>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29" w:lineRule="exact"/>
        <w:rPr>
          <w:rFonts w:ascii="Arial" w:cs="Arial" w:eastAsia="Arial" w:hAnsi="Arial"/>
          <w:sz w:val="21"/>
          <w:szCs w:val="21"/>
          <w:color w:val="auto"/>
        </w:rPr>
      </w:pPr>
    </w:p>
    <w:p>
      <w:pPr>
        <w:jc w:val="both"/>
        <w:ind w:left="1440" w:hanging="359"/>
        <w:spacing w:after="0" w:line="245" w:lineRule="auto"/>
        <w:tabs>
          <w:tab w:leader="none" w:pos="1410" w:val="left"/>
        </w:tabs>
        <w:numPr>
          <w:ilvl w:val="0"/>
          <w:numId w:val="6"/>
        </w:numPr>
        <w:rPr>
          <w:rFonts w:ascii="Arial" w:cs="Arial" w:eastAsia="Arial" w:hAnsi="Arial"/>
          <w:sz w:val="21"/>
          <w:szCs w:val="21"/>
          <w:color w:val="auto"/>
        </w:rPr>
      </w:pPr>
      <w:r>
        <w:rPr>
          <w:rFonts w:ascii="Times New Roman" w:cs="Times New Roman" w:eastAsia="Times New Roman" w:hAnsi="Times New Roman"/>
          <w:sz w:val="24"/>
          <w:szCs w:val="24"/>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24"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29"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executed this Power of Attorney as of June 23, 2025.</w:t>
      </w:r>
    </w:p>
    <w:p>
      <w:pPr>
        <w:spacing w:after="0" w:line="200" w:lineRule="exact"/>
        <w:rPr>
          <w:sz w:val="20"/>
          <w:szCs w:val="20"/>
          <w:color w:val="auto"/>
        </w:rPr>
      </w:pPr>
    </w:p>
    <w:p>
      <w:pPr>
        <w:spacing w:after="0" w:line="34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u w:val="single" w:color="auto"/>
          <w:color w:val="auto"/>
        </w:rPr>
        <w:t>/s/ Elissa S. Cote</w:t>
      </w:r>
    </w:p>
    <w:p>
      <w:pPr>
        <w:spacing w:after="0" w:line="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color w:val="auto"/>
        </w:rPr>
        <w:t>Elissa S. Cote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9951"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2025-06-25T16:21:15Z</dcterms:created>
  <dcterms:modified xsi:type="dcterms:W3CDTF">2025-06-25T16:21:15Z</dcterms:modified>
</cp:coreProperties>
</file>