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4940" w:val="left"/>
          <w:tab w:leader="none" w:pos="82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12</w:t>
      </w:r>
    </w:p>
    <w:p>
      <w:pPr>
        <w:spacing w:after="0" w:line="200" w:lineRule="exact"/>
        <w:rPr>
          <w:sz w:val="24"/>
          <w:szCs w:val="24"/>
          <w:color w:val="auto"/>
        </w:rPr>
      </w:pPr>
    </w:p>
    <w:p>
      <w:pPr>
        <w:spacing w:after="0" w:line="312" w:lineRule="exact"/>
        <w:rPr>
          <w:sz w:val="24"/>
          <w:szCs w:val="24"/>
          <w:color w:val="auto"/>
        </w:rPr>
      </w:pPr>
    </w:p>
    <w:p>
      <w:pPr>
        <w:jc w:val="center"/>
        <w:ind w:right="1039"/>
        <w:spacing w:after="0"/>
        <w:rPr>
          <w:sz w:val="20"/>
          <w:szCs w:val="20"/>
          <w:color w:val="auto"/>
        </w:rPr>
      </w:pPr>
      <w:r>
        <w:rPr>
          <w:rFonts w:ascii="Courier New" w:cs="Courier New" w:eastAsia="Courier New" w:hAnsi="Courier New"/>
          <w:sz w:val="18"/>
          <w:szCs w:val="18"/>
          <w:color w:val="auto"/>
        </w:rPr>
        <w:t>UNITED STATES</w:t>
      </w:r>
    </w:p>
    <w:p>
      <w:pPr>
        <w:spacing w:after="0" w:line="58" w:lineRule="exact"/>
        <w:rPr>
          <w:sz w:val="24"/>
          <w:szCs w:val="24"/>
          <w:color w:val="auto"/>
        </w:rPr>
      </w:pPr>
    </w:p>
    <w:p>
      <w:pPr>
        <w:jc w:val="center"/>
        <w:ind w:right="9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999"/>
        <w:spacing w:after="0"/>
        <w:rPr>
          <w:sz w:val="20"/>
          <w:szCs w:val="20"/>
          <w:color w:val="auto"/>
        </w:rPr>
      </w:pPr>
      <w:r>
        <w:rPr>
          <w:rFonts w:ascii="Courier New" w:cs="Courier New" w:eastAsia="Courier New" w:hAnsi="Courier New"/>
          <w:sz w:val="18"/>
          <w:szCs w:val="18"/>
          <w:color w:val="auto"/>
        </w:rPr>
        <w:t>Washington, D.C. 20549</w:t>
      </w:r>
    </w:p>
    <w:p>
      <w:pPr>
        <w:spacing w:after="0" w:line="237"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69"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(Amendment No.1)*</w:t>
      </w:r>
    </w:p>
    <w:p>
      <w:pPr>
        <w:spacing w:after="0" w:line="223"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VISTAGEN THERAPEUTICS, INC.</w:t>
      </w:r>
    </w:p>
    <w:p>
      <w:pPr>
        <w:spacing w:after="0" w:line="4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(Name of Issuer)</w:t>
      </w:r>
    </w:p>
    <w:p>
      <w:pPr>
        <w:spacing w:after="0" w:line="250" w:lineRule="exact"/>
        <w:rPr>
          <w:sz w:val="24"/>
          <w:szCs w:val="24"/>
          <w:color w:val="auto"/>
        </w:rPr>
      </w:pPr>
    </w:p>
    <w:p>
      <w:pPr>
        <w:jc w:val="center"/>
        <w:ind w:right="1119"/>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44" w:lineRule="exact"/>
        <w:rPr>
          <w:sz w:val="24"/>
          <w:szCs w:val="24"/>
          <w:color w:val="auto"/>
        </w:rPr>
      </w:pPr>
    </w:p>
    <w:p>
      <w:pPr>
        <w:jc w:val="center"/>
        <w:ind w:right="1179"/>
        <w:spacing w:after="0"/>
        <w:rPr>
          <w:sz w:val="20"/>
          <w:szCs w:val="20"/>
          <w:color w:val="auto"/>
        </w:rPr>
      </w:pPr>
      <w:r>
        <w:rPr>
          <w:rFonts w:ascii="Courier New" w:cs="Courier New" w:eastAsia="Courier New" w:hAnsi="Courier New"/>
          <w:sz w:val="18"/>
          <w:szCs w:val="18"/>
          <w:color w:val="auto"/>
        </w:rPr>
        <w:t>(Title of Class of Securities)</w:t>
      </w:r>
    </w:p>
    <w:p>
      <w:pPr>
        <w:spacing w:after="0" w:line="250"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92840H202</w:t>
      </w:r>
    </w:p>
    <w:p>
      <w:pPr>
        <w:spacing w:after="0" w:line="58"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(CUSIP Number)</w:t>
      </w:r>
    </w:p>
    <w:p>
      <w:pPr>
        <w:spacing w:after="0" w:line="264"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8"/>
          <w:szCs w:val="18"/>
          <w:color w:val="auto"/>
        </w:rPr>
        <w:t>December 31, 2022</w:t>
      </w:r>
    </w:p>
    <w:p>
      <w:pPr>
        <w:spacing w:after="0" w:line="242"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1" w:lineRule="exact"/>
        <w:rPr>
          <w:sz w:val="24"/>
          <w:szCs w:val="24"/>
          <w:color w:val="auto"/>
        </w:rPr>
      </w:pPr>
    </w:p>
    <w:p>
      <w:pPr>
        <w:jc w:val="both"/>
        <w:ind w:right="8179" w:firstLine="8"/>
        <w:spacing w:after="0" w:line="263" w:lineRule="exact"/>
        <w:tabs>
          <w:tab w:leader="none" w:pos="4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170" w:lineRule="exact"/>
        <w:rPr>
          <w:sz w:val="24"/>
          <w:szCs w:val="24"/>
          <w:color w:val="auto"/>
        </w:rPr>
      </w:pPr>
    </w:p>
    <w:p>
      <w:pPr>
        <w:ind w:right="23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1" w:lineRule="exact"/>
        <w:rPr>
          <w:sz w:val="24"/>
          <w:szCs w:val="24"/>
          <w:color w:val="auto"/>
        </w:rPr>
      </w:pPr>
    </w:p>
    <w:p>
      <w:pPr>
        <w:ind w:right="33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304165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939"/>
          </w:cols>
          <w:pgMar w:left="520" w:top="471" w:right="1440" w:bottom="1440" w:gutter="0" w:footer="0" w:header="0"/>
        </w:sectPr>
      </w:pPr>
    </w:p>
    <w:bookmarkStart w:id="1" w:name="page2"/>
    <w:bookmarkEnd w:id="1"/>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63"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Franklin Resources, Inc.</w:t>
      </w:r>
    </w:p>
    <w:p>
      <w:pPr>
        <w:ind w:left="840" w:hanging="632"/>
        <w:spacing w:after="0"/>
        <w:tabs>
          <w:tab w:leader="none" w:pos="8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40" w:lineRule="auto"/>
        <w:tabs>
          <w:tab w:leader="none" w:pos="832"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88"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spacing w:after="0" w:line="1" w:lineRule="exact"/>
        <w:rPr>
          <w:rFonts w:ascii="Courier New" w:cs="Courier New" w:eastAsia="Courier New" w:hAnsi="Courier New"/>
          <w:sz w:val="17"/>
          <w:szCs w:val="17"/>
          <w:color w:val="auto"/>
        </w:rPr>
      </w:pPr>
    </w:p>
    <w:p>
      <w:pPr>
        <w:ind w:left="800" w:right="699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56"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32" w:lineRule="auto"/>
        <w:tabs>
          <w:tab w:leader="none" w:pos="8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2" w:name="page3"/>
    <w:bookmarkEnd w:id="2"/>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Charles B. Johnson</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3" w:name="page4"/>
    <w:bookmarkEnd w:id="3"/>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800" w:right="6159" w:hanging="592"/>
        <w:spacing w:after="0" w:line="588" w:lineRule="auto"/>
        <w:tabs>
          <w:tab w:leader="none" w:pos="8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Rupert H. Johnson, Jr.</w:t>
      </w:r>
    </w:p>
    <w:p>
      <w:pPr>
        <w:spacing w:after="0" w:line="1" w:lineRule="exact"/>
        <w:rPr>
          <w:rFonts w:ascii="Courier New" w:cs="Courier New" w:eastAsia="Courier New" w:hAnsi="Courier New"/>
          <w:sz w:val="17"/>
          <w:szCs w:val="17"/>
          <w:color w:val="auto"/>
        </w:rPr>
      </w:pPr>
    </w:p>
    <w:p>
      <w:pPr>
        <w:ind w:left="840" w:hanging="632"/>
        <w:spacing w:after="0"/>
        <w:tabs>
          <w:tab w:leader="none" w:pos="8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220" w:hanging="412"/>
        <w:spacing w:after="0"/>
        <w:tabs>
          <w:tab w:leader="none" w:pos="12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36"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68" w:lineRule="exact"/>
        <w:rPr>
          <w:rFonts w:ascii="Courier New" w:cs="Courier New" w:eastAsia="Courier New" w:hAnsi="Courier New"/>
          <w:sz w:val="18"/>
          <w:szCs w:val="18"/>
          <w:color w:val="auto"/>
        </w:rPr>
      </w:pPr>
    </w:p>
    <w:p>
      <w:pPr>
        <w:ind w:left="800" w:right="5199" w:hanging="592"/>
        <w:spacing w:after="0" w:line="556" w:lineRule="auto"/>
        <w:tabs>
          <w:tab w:leader="none" w:pos="8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ind w:left="200"/>
        <w:spacing w:after="0"/>
        <w:rPr>
          <w:sz w:val="20"/>
          <w:szCs w:val="20"/>
          <w:color w:val="auto"/>
        </w:rPr>
      </w:pPr>
      <w:r>
        <w:rPr>
          <w:rFonts w:ascii="Courier New" w:cs="Courier New" w:eastAsia="Courier New" w:hAnsi="Courier New"/>
          <w:sz w:val="17"/>
          <w:szCs w:val="17"/>
          <w:color w:val="auto"/>
        </w:rPr>
        <w:t>NUMBER OF SHARES BENEFICIALLY OWNED BY EACH REPORTING PERSON WITH:</w:t>
      </w:r>
    </w:p>
    <w:p>
      <w:pPr>
        <w:spacing w:after="0" w:line="280" w:lineRule="exact"/>
        <w:rPr>
          <w:sz w:val="20"/>
          <w:szCs w:val="20"/>
          <w:color w:val="auto"/>
        </w:rPr>
      </w:pPr>
    </w:p>
    <w:p>
      <w:pPr>
        <w:ind w:left="800" w:right="7199" w:hanging="592"/>
        <w:spacing w:after="0" w:line="563" w:lineRule="auto"/>
        <w:tabs>
          <w:tab w:leader="none" w:pos="832"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800" w:right="699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800" w:right="66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800" w:right="6479" w:hanging="592"/>
        <w:spacing w:after="0" w:line="532"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ind w:left="800" w:right="2679" w:hanging="592"/>
        <w:spacing w:after="0" w:line="540" w:lineRule="auto"/>
        <w:tabs>
          <w:tab w:leader="none" w:pos="83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w:t>
      </w:r>
    </w:p>
    <w:p>
      <w:pPr>
        <w:ind w:left="840" w:hanging="632"/>
        <w:spacing w:after="0"/>
        <w:tabs>
          <w:tab w:leader="none" w:pos="8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58"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237" w:lineRule="exact"/>
        <w:rPr>
          <w:sz w:val="20"/>
          <w:szCs w:val="20"/>
          <w:color w:val="auto"/>
        </w:rPr>
      </w:pPr>
    </w:p>
    <w:p>
      <w:pPr>
        <w:ind w:left="800" w:right="3839" w:hanging="592"/>
        <w:spacing w:after="0" w:line="532" w:lineRule="auto"/>
        <w:tabs>
          <w:tab w:leader="none" w:pos="8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ind w:left="840" w:hanging="632"/>
        <w:spacing w:after="0"/>
        <w:tabs>
          <w:tab w:leader="none" w:pos="8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4" w:name="page5"/>
    <w:bookmarkEnd w:id="4"/>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12</w:t>
      </w:r>
    </w:p>
    <w:p>
      <w:pPr>
        <w:sectPr>
          <w:pgSz w:w="11900" w:h="16838" w:orient="portrait"/>
          <w:cols w:equalWidth="0" w:num="1">
            <w:col w:w="9839"/>
          </w:cols>
          <w:pgMar w:left="620" w:top="606" w:right="1440" w:bottom="1440" w:gutter="0" w:footer="0" w:header="0"/>
        </w:sect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269" w:lineRule="exact"/>
        <w:rPr>
          <w:sz w:val="20"/>
          <w:szCs w:val="20"/>
          <w:color w:val="auto"/>
        </w:rPr>
      </w:pPr>
    </w:p>
    <w:p>
      <w:pPr>
        <w:ind w:left="840" w:hanging="632"/>
        <w:spacing w:after="0"/>
        <w:tabs>
          <w:tab w:leader="none" w:pos="8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VISTAGEN THERAPEUTICS, INC.</w:t>
      </w:r>
    </w:p>
    <w:p>
      <w:pPr>
        <w:spacing w:after="0" w:line="242" w:lineRule="exact"/>
        <w:rPr>
          <w:sz w:val="20"/>
          <w:szCs w:val="20"/>
          <w:color w:val="auto"/>
        </w:rPr>
      </w:pPr>
    </w:p>
    <w:p>
      <w:pPr>
        <w:ind w:left="840" w:hanging="632"/>
        <w:spacing w:after="0"/>
        <w:tabs>
          <w:tab w:leader="none" w:pos="8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343 Allerton Avenue</w:t>
      </w:r>
    </w:p>
    <w:p>
      <w:pPr>
        <w:spacing w:after="0" w:line="4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South San Francisco, CA 94080</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269" w:lineRule="exact"/>
        <w:rPr>
          <w:sz w:val="20"/>
          <w:szCs w:val="20"/>
          <w:color w:val="auto"/>
        </w:rPr>
      </w:pPr>
    </w:p>
    <w:p>
      <w:pPr>
        <w:ind w:left="840" w:hanging="632"/>
        <w:spacing w:after="0"/>
        <w:tabs>
          <w:tab w:leader="none" w:pos="8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85"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77" w:lineRule="exact"/>
        <w:rPr>
          <w:sz w:val="20"/>
          <w:szCs w:val="20"/>
          <w:color w:val="auto"/>
        </w:rPr>
      </w:pPr>
    </w:p>
    <w:p>
      <w:pPr>
        <w:ind w:left="800"/>
        <w:spacing w:after="0"/>
        <w:tabs>
          <w:tab w:leader="none" w:pos="152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269"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200" w:lineRule="exact"/>
        <w:rPr>
          <w:sz w:val="20"/>
          <w:szCs w:val="20"/>
          <w:color w:val="auto"/>
        </w:rPr>
      </w:pPr>
    </w:p>
    <w:p>
      <w:pPr>
        <w:spacing w:after="0" w:line="339" w:lineRule="exact"/>
        <w:rPr>
          <w:sz w:val="20"/>
          <w:szCs w:val="20"/>
          <w:color w:val="auto"/>
        </w:rPr>
      </w:pPr>
    </w:p>
    <w:p>
      <w:pPr>
        <w:ind w:left="840" w:hanging="632"/>
        <w:spacing w:after="0"/>
        <w:tabs>
          <w:tab w:leader="none" w:pos="8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2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44"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12"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PGothic" w:cs="MS PGothic" w:eastAsia="MS PGothic" w:hAnsi="MS PGothic"/>
          <w:sz w:val="18"/>
          <w:szCs w:val="18"/>
          <w:color w:val="auto"/>
        </w:rPr>
        <w:t>‑</w:t>
      </w:r>
      <w:r>
        <w:rPr>
          <w:rFonts w:ascii="Courier New" w:cs="Courier New" w:eastAsia="Courier New" w:hAnsi="Courier New"/>
          <w:sz w:val="18"/>
          <w:szCs w:val="18"/>
          <w:color w:val="auto"/>
        </w:rPr>
        <w:t>1906</w:t>
      </w:r>
    </w:p>
    <w:p>
      <w:pPr>
        <w:spacing w:after="0" w:line="286" w:lineRule="exact"/>
        <w:rPr>
          <w:sz w:val="20"/>
          <w:szCs w:val="20"/>
          <w:color w:val="auto"/>
        </w:rPr>
      </w:pPr>
    </w:p>
    <w:p>
      <w:pPr>
        <w:ind w:left="840" w:hanging="632"/>
        <w:spacing w:after="0"/>
        <w:tabs>
          <w:tab w:leader="none" w:pos="8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9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269" w:lineRule="exact"/>
        <w:rPr>
          <w:sz w:val="20"/>
          <w:szCs w:val="20"/>
          <w:color w:val="auto"/>
        </w:rPr>
      </w:pPr>
    </w:p>
    <w:p>
      <w:pPr>
        <w:ind w:left="1340" w:hanging="532"/>
        <w:spacing w:after="0"/>
        <w:tabs>
          <w:tab w:leader="none" w:pos="13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54" w:lineRule="exact"/>
        <w:rPr>
          <w:rFonts w:ascii="Courier New" w:cs="Courier New" w:eastAsia="Courier New" w:hAnsi="Courier New"/>
          <w:sz w:val="18"/>
          <w:szCs w:val="18"/>
          <w:color w:val="auto"/>
        </w:rPr>
      </w:pPr>
    </w:p>
    <w:p>
      <w:pPr>
        <w:ind w:left="840" w:hanging="632"/>
        <w:spacing w:after="0"/>
        <w:tabs>
          <w:tab w:leader="none" w:pos="8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Common Stock, par value $0.001 per share</w:t>
      </w:r>
    </w:p>
    <w:p>
      <w:pPr>
        <w:spacing w:after="0" w:line="242" w:lineRule="exact"/>
        <w:rPr>
          <w:sz w:val="20"/>
          <w:szCs w:val="20"/>
          <w:color w:val="auto"/>
        </w:rPr>
      </w:pPr>
    </w:p>
    <w:p>
      <w:pPr>
        <w:ind w:left="800" w:right="7739" w:hanging="592"/>
        <w:spacing w:after="0" w:line="710" w:lineRule="auto"/>
        <w:tabs>
          <w:tab w:leader="none" w:pos="83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CUSIP Number 92840H202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92710</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5" w:name="page6"/>
    <w:bookmarkEnd w:id="5"/>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12</w:t>
      </w:r>
    </w:p>
    <w:p>
      <w:pPr>
        <w:spacing w:after="0" w:line="200" w:lineRule="exact"/>
        <w:rPr>
          <w:sz w:val="20"/>
          <w:szCs w:val="20"/>
          <w:color w:val="auto"/>
        </w:rPr>
      </w:pPr>
    </w:p>
    <w:p>
      <w:pPr>
        <w:spacing w:after="0" w:line="284" w:lineRule="exact"/>
        <w:rPr>
          <w:sz w:val="20"/>
          <w:szCs w:val="20"/>
          <w:color w:val="auto"/>
        </w:rPr>
      </w:pPr>
    </w:p>
    <w:p>
      <w:pPr>
        <w:ind w:left="900" w:right="859" w:hanging="799"/>
        <w:spacing w:after="0" w:line="25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220" w:hanging="412"/>
        <w:spacing w:after="0"/>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36"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68" w:lineRule="exact"/>
        <w:rPr>
          <w:rFonts w:ascii="Courier New" w:cs="Courier New" w:eastAsia="Courier New" w:hAnsi="Courier New"/>
          <w:sz w:val="18"/>
          <w:szCs w:val="18"/>
          <w:color w:val="auto"/>
        </w:rPr>
      </w:pPr>
    </w:p>
    <w:p>
      <w:pPr>
        <w:ind w:left="1600" w:right="819" w:hanging="792"/>
        <w:spacing w:after="0" w:line="387" w:lineRule="auto"/>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44" w:lineRule="exact"/>
        <w:rPr>
          <w:rFonts w:ascii="Courier New" w:cs="Courier New" w:eastAsia="Courier New" w:hAnsi="Courier New"/>
          <w:sz w:val="18"/>
          <w:szCs w:val="18"/>
          <w:color w:val="auto"/>
        </w:rPr>
      </w:pPr>
    </w:p>
    <w:p>
      <w:pPr>
        <w:ind w:left="1600" w:right="699" w:hanging="792"/>
        <w:spacing w:after="0" w:line="267" w:lineRule="exact"/>
        <w:tabs>
          <w:tab w:leader="none" w:pos="12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spacing w:after="0" w:line="141"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0"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249" w:lineRule="exact"/>
        <w:rPr>
          <w:sz w:val="20"/>
          <w:szCs w:val="20"/>
          <w:color w:val="auto"/>
        </w:rPr>
      </w:pPr>
    </w:p>
    <w:p>
      <w:pPr>
        <w:ind w:left="1600" w:right="1759" w:hanging="792"/>
        <w:spacing w:after="0" w:line="267" w:lineRule="exact"/>
        <w:tabs>
          <w:tab w:leader="none" w:pos="12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168" w:lineRule="exact"/>
        <w:rPr>
          <w:rFonts w:ascii="Courier New" w:cs="Courier New" w:eastAsia="Courier New" w:hAnsi="Courier New"/>
          <w:sz w:val="18"/>
          <w:szCs w:val="18"/>
          <w:color w:val="auto"/>
        </w:rPr>
      </w:pPr>
    </w:p>
    <w:p>
      <w:pPr>
        <w:ind w:left="1600" w:right="599" w:hanging="792"/>
        <w:spacing w:after="0" w:line="387" w:lineRule="auto"/>
        <w:tabs>
          <w:tab w:leader="none" w:pos="12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44" w:lineRule="exact"/>
        <w:rPr>
          <w:rFonts w:ascii="Courier New" w:cs="Courier New" w:eastAsia="Courier New" w:hAnsi="Courier New"/>
          <w:sz w:val="18"/>
          <w:szCs w:val="18"/>
          <w:color w:val="auto"/>
        </w:rPr>
      </w:pPr>
    </w:p>
    <w:p>
      <w:pPr>
        <w:ind w:left="1600" w:right="639" w:hanging="792"/>
        <w:spacing w:after="0" w:line="254" w:lineRule="exact"/>
        <w:tabs>
          <w:tab w:leader="none" w:pos="1221"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143" w:lineRule="exact"/>
        <w:rPr>
          <w:rFonts w:ascii="Courier New" w:cs="Courier New" w:eastAsia="Courier New" w:hAnsi="Courier New"/>
          <w:sz w:val="18"/>
          <w:szCs w:val="18"/>
          <w:color w:val="auto"/>
        </w:rPr>
      </w:pPr>
    </w:p>
    <w:p>
      <w:pPr>
        <w:ind w:left="1220" w:hanging="412"/>
        <w:spacing w:after="0" w:line="209" w:lineRule="exact"/>
        <w:tabs>
          <w:tab w:leader="none" w:pos="1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90" w:lineRule="exact"/>
        <w:rPr>
          <w:rFonts w:ascii="Courier New" w:cs="Courier New" w:eastAsia="Courier New" w:hAnsi="Courier New"/>
          <w:sz w:val="18"/>
          <w:szCs w:val="18"/>
          <w:color w:val="auto"/>
        </w:rPr>
      </w:pPr>
    </w:p>
    <w:p>
      <w:pPr>
        <w:ind w:left="1220" w:hanging="412"/>
        <w:spacing w:after="0"/>
        <w:tabs>
          <w:tab w:leader="none" w:pos="12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241"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 (J).</w:t>
      </w:r>
    </w:p>
    <w:p>
      <w:pPr>
        <w:spacing w:after="0" w:line="80"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237"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4. Ownership</w:t>
      </w:r>
    </w:p>
    <w:p>
      <w:pPr>
        <w:spacing w:after="0" w:line="269" w:lineRule="exact"/>
        <w:rPr>
          <w:sz w:val="20"/>
          <w:szCs w:val="20"/>
          <w:color w:val="auto"/>
        </w:rPr>
      </w:pPr>
    </w:p>
    <w:p>
      <w:pPr>
        <w:ind w:left="300" w:right="159"/>
        <w:spacing w:after="0" w:line="23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 or closed 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 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171" w:lineRule="exact"/>
        <w:rPr>
          <w:sz w:val="20"/>
          <w:szCs w:val="20"/>
          <w:color w:val="auto"/>
        </w:rPr>
      </w:pPr>
    </w:p>
    <w:p>
      <w:pPr>
        <w:ind w:left="300" w:right="259"/>
        <w:spacing w:after="0" w:line="239" w:lineRule="exact"/>
        <w:rPr>
          <w:sz w:val="20"/>
          <w:szCs w:val="20"/>
          <w:color w:val="auto"/>
        </w:rPr>
      </w:pPr>
      <w:r>
        <w:rPr>
          <w:rFonts w:ascii="Courier New" w:cs="Courier New" w:eastAsia="Courier New" w:hAnsi="Courier New"/>
          <w:sz w:val="17"/>
          <w:szCs w:val="17"/>
          <w:color w:val="auto"/>
        </w:rPr>
        <w:t>Beneficial ownership by Investment Management Subsidiaries and other FRI affiliates is being reported in conformity with the guidelines articulated by the SEC staff in Release No. 34</w:t>
      </w:r>
      <w:r>
        <w:rPr>
          <w:rFonts w:ascii="MS PGothic" w:cs="MS PGothic" w:eastAsia="MS PGothic" w:hAnsi="MS PGothic"/>
          <w:sz w:val="17"/>
          <w:szCs w:val="17"/>
          <w:color w:val="auto"/>
        </w:rPr>
        <w:t>‑</w:t>
      </w:r>
      <w:r>
        <w:rPr>
          <w:rFonts w:ascii="Courier New" w:cs="Courier New" w:eastAsia="Courier New" w:hAnsi="Courier New"/>
          <w:sz w:val="17"/>
          <w:szCs w:val="17"/>
          <w:color w:val="auto"/>
        </w:rPr>
        <w:t>39538 (January 12, 1998) (the “1998 Release”) relating to organizations, such as FRI, where related entities exercise voting and investment powers over the securities being reported independently from each other. The voting and investment powers held by each of FRI’s affiliates whose ownership of securities is disaggregated from that of FRI in accordance with the 1998 Release (“FRI Disaggregated Affiliates”) are exercised independently from FRI and from all other Investment Management Subsidiaries (FRI,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497840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694" w:gutter="0" w:footer="0" w:header="0"/>
        </w:sectPr>
      </w:pPr>
    </w:p>
    <w:bookmarkStart w:id="6" w:name="page7"/>
    <w:bookmarkEnd w:id="6"/>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12</w:t>
      </w:r>
    </w:p>
    <w:p>
      <w:pPr>
        <w:spacing w:after="0" w:line="269" w:lineRule="exact"/>
        <w:rPr>
          <w:sz w:val="20"/>
          <w:szCs w:val="20"/>
          <w:color w:val="auto"/>
        </w:rPr>
      </w:pPr>
    </w:p>
    <w:p>
      <w:pPr>
        <w:ind w:left="200" w:right="259"/>
        <w:spacing w:after="0" w:line="283" w:lineRule="auto"/>
        <w:rPr>
          <w:sz w:val="20"/>
          <w:szCs w:val="20"/>
          <w:color w:val="auto"/>
        </w:rPr>
      </w:pPr>
      <w:r>
        <w:rPr>
          <w:rFonts w:ascii="Courier New" w:cs="Courier New" w:eastAsia="Courier New" w:hAnsi="Courier New"/>
          <w:sz w:val="18"/>
          <w:szCs w:val="18"/>
          <w:color w:val="auto"/>
        </w:rPr>
        <w:t>affiliates and the Investment Management Subsidiaries other than FRI Disaggregated Affiliates are collectively, “FRI Aggregated Affiliates”). Furthermore, internal policies and procedures of, on the one hand, FRI Disaggregated Affiliates, and, on the other hand, FRI establish informational barriers that prevent the flow among, on the one hand, FRI Disaggregated Affiliates (including preventing the flow between such entities), and, on the other hand, the FRI Aggregated Affiliates of information that relates to the voting and investment powers over the securities owned by their respective investment management clients. Consequently, FRI Disaggregated Affiliates report the securities over which they hold investment and voting power separately from the FRI Aggregated Affiliates for purposes of Section 13 of the Act.</w:t>
      </w:r>
    </w:p>
    <w:p>
      <w:pPr>
        <w:spacing w:after="0" w:line="134" w:lineRule="exact"/>
        <w:rPr>
          <w:sz w:val="20"/>
          <w:szCs w:val="20"/>
          <w:color w:val="auto"/>
        </w:rPr>
      </w:pPr>
    </w:p>
    <w:p>
      <w:pPr>
        <w:jc w:val="both"/>
        <w:ind w:left="200" w:right="359"/>
        <w:spacing w:after="0" w:line="292" w:lineRule="auto"/>
        <w:rPr>
          <w:sz w:val="20"/>
          <w:szCs w:val="20"/>
          <w:color w:val="auto"/>
        </w:rPr>
      </w:pPr>
      <w:r>
        <w:rPr>
          <w:rFonts w:ascii="Courier New" w:cs="Courier New" w:eastAsia="Courier New" w:hAnsi="Courier New"/>
          <w:sz w:val="17"/>
          <w:szCs w:val="17"/>
          <w:color w:val="auto"/>
        </w:rPr>
        <w:t>Charles B. Johnson and Rupert H. Johnson, Jr. (the “Principal Shareholders”) each own in excess of 10% of the outstanding common stock of FRI and are the principal stockholders of FRI. FRI and the Principal Shareholders may be deemed to be, for purposes of Rule</w:t>
      </w:r>
    </w:p>
    <w:p>
      <w:pPr>
        <w:spacing w:after="0" w:line="1" w:lineRule="exact"/>
        <w:rPr>
          <w:sz w:val="20"/>
          <w:szCs w:val="20"/>
          <w:color w:val="auto"/>
        </w:rPr>
      </w:pPr>
    </w:p>
    <w:p>
      <w:pPr>
        <w:ind w:left="200" w:right="259"/>
        <w:spacing w:after="0" w:line="235" w:lineRule="exact"/>
        <w:rPr>
          <w:sz w:val="20"/>
          <w:szCs w:val="20"/>
          <w:color w:val="auto"/>
        </w:rPr>
      </w:pPr>
      <w:r>
        <w:rPr>
          <w:rFonts w:ascii="Courier New" w:cs="Courier New" w:eastAsia="Courier New" w:hAnsi="Courier New"/>
          <w:sz w:val="18"/>
          <w:szCs w:val="18"/>
          <w:color w:val="auto"/>
        </w:rPr>
        <w:t>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such securities. In addition, the filing of this Schedule 13G on behalf of the Principal Shareholders, FRI and the FRI Aggregated Affiliates, as applicable, should not be construed as an admission that any of them is, and each of them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71" w:lineRule="exact"/>
        <w:rPr>
          <w:sz w:val="20"/>
          <w:szCs w:val="20"/>
          <w:color w:val="auto"/>
        </w:rPr>
      </w:pPr>
    </w:p>
    <w:p>
      <w:pPr>
        <w:ind w:left="200" w:right="259"/>
        <w:spacing w:after="0" w:line="245" w:lineRule="exact"/>
        <w:rPr>
          <w:sz w:val="20"/>
          <w:szCs w:val="20"/>
          <w:color w:val="auto"/>
        </w:rPr>
      </w:pPr>
      <w:r>
        <w:rPr>
          <w:rFonts w:ascii="Courier New" w:cs="Courier New" w:eastAsia="Courier New" w:hAnsi="Courier New"/>
          <w:sz w:val="17"/>
          <w:szCs w:val="17"/>
          <w:color w:val="auto"/>
        </w:rPr>
        <w:t>FRI, the Principal Shareholders, and each of the Investment Management Subsidiaries believe that they are not a “group” within the meaning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200" w:lineRule="exact"/>
        <w:rPr>
          <w:sz w:val="20"/>
          <w:szCs w:val="20"/>
          <w:color w:val="auto"/>
        </w:rPr>
      </w:pPr>
    </w:p>
    <w:p>
      <w:pPr>
        <w:spacing w:after="0" w:line="212" w:lineRule="exact"/>
        <w:rPr>
          <w:sz w:val="20"/>
          <w:szCs w:val="20"/>
          <w:color w:val="auto"/>
        </w:rPr>
      </w:pPr>
    </w:p>
    <w:p>
      <w:pPr>
        <w:ind w:left="1300" w:right="5759" w:hanging="492"/>
        <w:spacing w:after="0" w:line="532" w:lineRule="auto"/>
        <w:tabs>
          <w:tab w:leader="none" w:pos="1327"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ind w:left="1340" w:hanging="532"/>
        <w:spacing w:after="0"/>
        <w:tabs>
          <w:tab w:leader="none" w:pos="13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0.0%</w:t>
      </w:r>
    </w:p>
    <w:p>
      <w:pPr>
        <w:spacing w:after="0" w:line="255" w:lineRule="exact"/>
        <w:rPr>
          <w:sz w:val="20"/>
          <w:szCs w:val="20"/>
          <w:color w:val="auto"/>
        </w:rPr>
      </w:pPr>
    </w:p>
    <w:p>
      <w:pPr>
        <w:ind w:left="1340" w:hanging="532"/>
        <w:spacing w:after="0"/>
        <w:tabs>
          <w:tab w:leader="none" w:pos="13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68" w:lineRule="exact"/>
        <w:rPr>
          <w:rFonts w:ascii="Courier New" w:cs="Courier New" w:eastAsia="Courier New" w:hAnsi="Courier New"/>
          <w:sz w:val="18"/>
          <w:szCs w:val="18"/>
          <w:color w:val="auto"/>
        </w:rPr>
      </w:pPr>
    </w:p>
    <w:p>
      <w:pPr>
        <w:ind w:left="1720" w:hanging="412"/>
        <w:spacing w:after="0"/>
        <w:tabs>
          <w:tab w:leader="none" w:pos="172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12" w:lineRule="exact"/>
        <w:rPr>
          <w:sz w:val="20"/>
          <w:szCs w:val="20"/>
          <w:color w:val="auto"/>
        </w:rPr>
      </w:pPr>
    </w:p>
    <w:p>
      <w:pPr>
        <w:ind w:left="1700" w:right="3779" w:hanging="592"/>
        <w:spacing w:after="0" w:line="673" w:lineRule="auto"/>
        <w:tabs>
          <w:tab w:leader="none" w:pos="16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30" w:lineRule="exact"/>
        <w:rPr>
          <w:rFonts w:ascii="Courier New" w:cs="Courier New" w:eastAsia="Courier New" w:hAnsi="Courier New"/>
          <w:sz w:val="18"/>
          <w:szCs w:val="18"/>
          <w:color w:val="auto"/>
        </w:rPr>
      </w:pPr>
    </w:p>
    <w:p>
      <w:pPr>
        <w:ind w:left="1640" w:hanging="632"/>
        <w:spacing w:after="0"/>
        <w:tabs>
          <w:tab w:leader="none" w:pos="16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69" w:lineRule="exact"/>
        <w:rPr>
          <w:sz w:val="20"/>
          <w:szCs w:val="20"/>
          <w:color w:val="auto"/>
        </w:rPr>
      </w:pPr>
    </w:p>
    <w:tbl>
      <w:tblPr>
        <w:tblLayout w:type="fixed"/>
        <w:tblInd w:w="1700" w:type="dxa"/>
        <w:tblCellMar>
          <w:top w:w="0" w:type="dxa"/>
          <w:left w:w="0" w:type="dxa"/>
          <w:bottom w:w="0" w:type="dxa"/>
          <w:right w:w="0" w:type="dxa"/>
        </w:tblCellMar>
      </w:tblPr>
      <w:tr>
        <w:trPr>
          <w:trHeight w:val="304"/>
        </w:trPr>
        <w:tc>
          <w:tcPr>
            <w:tcW w:w="486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2"/>
        </w:trPr>
        <w:tc>
          <w:tcPr>
            <w:tcW w:w="486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73"/>
        </w:trPr>
        <w:tc>
          <w:tcPr>
            <w:tcW w:w="486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9839"/>
          </w:cols>
          <w:pgMar w:left="620" w:top="606" w:right="1440" w:bottom="244" w:gutter="0" w:footer="0" w:header="0"/>
        </w:sectPr>
      </w:pPr>
    </w:p>
    <w:bookmarkStart w:id="7" w:name="page8"/>
    <w:bookmarkEnd w:id="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309880</wp:posOffset>
            </wp:positionV>
            <wp:extent cx="715327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8 of 12</w:t>
      </w:r>
    </w:p>
    <w:p>
      <w:pPr>
        <w:spacing w:after="0" w:line="309" w:lineRule="exact"/>
        <w:rPr>
          <w:sz w:val="20"/>
          <w:szCs w:val="20"/>
          <w:color w:val="auto"/>
        </w:rPr>
      </w:pPr>
    </w:p>
    <w:p>
      <w:pPr>
        <w:ind w:left="1700" w:right="2359" w:hanging="642"/>
        <w:spacing w:after="0" w:line="572" w:lineRule="auto"/>
        <w:tabs>
          <w:tab w:leader="none" w:pos="168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296" w:lineRule="exact"/>
        <w:rPr>
          <w:sz w:val="20"/>
          <w:szCs w:val="20"/>
          <w:color w:val="auto"/>
        </w:rPr>
      </w:pPr>
    </w:p>
    <w:p>
      <w:pPr>
        <w:ind w:left="11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338"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69" w:lineRule="exact"/>
        <w:rPr>
          <w:sz w:val="20"/>
          <w:szCs w:val="20"/>
          <w:color w:val="auto"/>
        </w:rPr>
      </w:pPr>
    </w:p>
    <w:p>
      <w:pPr>
        <w:ind w:left="1100" w:right="399"/>
        <w:spacing w:after="0" w:line="332" w:lineRule="auto"/>
        <w:rPr>
          <w:sz w:val="20"/>
          <w:szCs w:val="20"/>
          <w:color w:val="auto"/>
        </w:rPr>
      </w:pPr>
      <w:r>
        <w:rPr>
          <w:rFonts w:ascii="Courier New" w:cs="Courier New" w:eastAsia="Courier New" w:hAnsi="Courier New"/>
          <w:sz w:val="17"/>
          <w:szCs w:val="17"/>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338" w:lineRule="exact"/>
        <w:rPr>
          <w:sz w:val="20"/>
          <w:szCs w:val="20"/>
          <w:color w:val="auto"/>
        </w:rPr>
      </w:pPr>
    </w:p>
    <w:p>
      <w:pPr>
        <w:ind w:left="1100" w:right="1299" w:hanging="899"/>
        <w:spacing w:after="0" w:line="387"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17"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7"/>
          <w:szCs w:val="17"/>
          <w:color w:val="auto"/>
        </w:rPr>
        <w:t>Identification and Classification of Members of the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69" w:lineRule="exact"/>
        <w:rPr>
          <w:sz w:val="20"/>
          <w:szCs w:val="20"/>
          <w:color w:val="auto"/>
        </w:rPr>
      </w:pPr>
    </w:p>
    <w:p>
      <w:pPr>
        <w:ind w:left="200"/>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69"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249555</wp:posOffset>
            </wp:positionV>
            <wp:extent cx="71532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sectPr>
      </w:pPr>
    </w:p>
    <w:bookmarkStart w:id="9" w:name="page10"/>
    <w:bookmarkEnd w:id="9"/>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9 of 12</w:t>
      </w:r>
    </w:p>
    <w:p>
      <w:pPr>
        <w:sectPr>
          <w:pgSz w:w="11900" w:h="16838" w:orient="portrait"/>
          <w:cols w:equalWidth="0" w:num="1">
            <w:col w:w="9839"/>
          </w:cols>
          <w:pgMar w:left="620" w:top="619" w:right="1440" w:bottom="1440" w:gutter="0" w:footer="0" w:header="0"/>
        </w:sectPr>
      </w:pPr>
    </w:p>
    <w:p>
      <w:pPr>
        <w:spacing w:after="0" w:line="282" w:lineRule="exact"/>
        <w:rPr>
          <w:sz w:val="20"/>
          <w:szCs w:val="20"/>
          <w:color w:val="auto"/>
        </w:rPr>
      </w:pPr>
    </w:p>
    <w:p>
      <w:pPr>
        <w:ind w:left="200"/>
        <w:spacing w:after="0"/>
        <w:tabs>
          <w:tab w:leader="none" w:pos="12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7"/>
          <w:szCs w:val="17"/>
          <w:color w:val="auto"/>
        </w:rPr>
        <w:t>Certification</w:t>
      </w:r>
    </w:p>
    <w:p>
      <w:pPr>
        <w:spacing w:after="0" w:line="269" w:lineRule="exact"/>
        <w:rPr>
          <w:sz w:val="20"/>
          <w:szCs w:val="20"/>
          <w:color w:val="auto"/>
        </w:rPr>
      </w:pPr>
    </w:p>
    <w:p>
      <w:pPr>
        <w:ind w:left="200" w:right="45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173" w:lineRule="exact"/>
        <w:rPr>
          <w:sz w:val="20"/>
          <w:szCs w:val="20"/>
          <w:color w:val="auto"/>
        </w:rPr>
      </w:pPr>
    </w:p>
    <w:p>
      <w:pPr>
        <w:ind w:left="200" w:right="879"/>
        <w:spacing w:after="0" w:line="424" w:lineRule="auto"/>
        <w:rPr>
          <w:sz w:val="20"/>
          <w:szCs w:val="20"/>
          <w:color w:val="auto"/>
        </w:rPr>
      </w:pPr>
      <w:r>
        <w:rPr>
          <w:rFonts w:ascii="Courier New" w:cs="Courier New" w:eastAsia="Courier New" w:hAnsi="Courier New"/>
          <w:sz w:val="17"/>
          <w:szCs w:val="17"/>
          <w:color w:val="auto"/>
        </w:rPr>
        <w:t>This report shall not be construed as an admission by the persons filing the report that they are the beneficial owner of any securities covered by this report.</w:t>
      </w:r>
    </w:p>
    <w:p>
      <w:pPr>
        <w:spacing w:after="0" w:line="2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58"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B Limited Powers of Attorney for Section 13 Reporting Obligations</w:t>
      </w: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200" w:right="87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January 24, 2023</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3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633095</wp:posOffset>
            </wp:positionV>
            <wp:extent cx="715327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19" w:right="1440" w:bottom="1440" w:gutter="0" w:footer="0" w:header="0"/>
          <w:type w:val="continuous"/>
        </w:sectPr>
      </w:pPr>
    </w:p>
    <w:bookmarkStart w:id="10" w:name="page11"/>
    <w:bookmarkEnd w:id="10"/>
    <w:p>
      <w:pPr>
        <w:spacing w:after="0"/>
        <w:tabs>
          <w:tab w:leader="none" w:pos="4840" w:val="left"/>
          <w:tab w:leader="none" w:pos="81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12</w:t>
      </w:r>
    </w:p>
    <w:p>
      <w:pPr>
        <w:sectPr>
          <w:pgSz w:w="11900" w:h="16838" w:orient="portrait"/>
          <w:cols w:equalWidth="0" w:num="1">
            <w:col w:w="9839"/>
          </w:cols>
          <w:pgMar w:left="620" w:top="606" w:right="1440" w:bottom="1440" w:gutter="0" w:footer="0" w:header="0"/>
        </w:sectPr>
      </w:pPr>
    </w:p>
    <w:p>
      <w:pPr>
        <w:spacing w:after="0" w:line="30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9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241" w:lineRule="exact"/>
        <w:rPr>
          <w:sz w:val="20"/>
          <w:szCs w:val="20"/>
          <w:color w:val="auto"/>
        </w:rPr>
      </w:pPr>
    </w:p>
    <w:p>
      <w:pPr>
        <w:ind w:left="200" w:right="879"/>
        <w:spacing w:after="0" w:line="250" w:lineRule="exact"/>
        <w:rPr>
          <w:sz w:val="20"/>
          <w:szCs w:val="20"/>
          <w:color w:val="auto"/>
        </w:rPr>
      </w:pPr>
      <w:r>
        <w:rPr>
          <w:rFonts w:ascii="Courier New" w:cs="Courier New" w:eastAsia="Courier New" w:hAnsi="Courier New"/>
          <w:sz w:val="18"/>
          <w:szCs w:val="18"/>
          <w:color w:val="auto"/>
        </w:rPr>
        <w:t>In accordance with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7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January 24, 2023.</w:t>
      </w:r>
    </w:p>
    <w:p>
      <w:pPr>
        <w:spacing w:after="0" w:line="26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69"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tabs>
          <w:tab w:leader="none" w:pos="9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/s/LORI A. WEBER</w:t>
      </w:r>
    </w:p>
    <w:p>
      <w:pPr>
        <w:spacing w:after="0" w:line="67" w:lineRule="exact"/>
        <w:rPr>
          <w:sz w:val="20"/>
          <w:szCs w:val="20"/>
          <w:color w:val="auto"/>
        </w:rPr>
      </w:pPr>
    </w:p>
    <w:p>
      <w:pPr>
        <w:ind w:left="96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Lori A. Weber</w:t>
      </w:r>
    </w:p>
    <w:p>
      <w:pPr>
        <w:spacing w:after="0" w:line="2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Assistant Secretary of Franklin Resources, Inc.</w:t>
      </w:r>
    </w:p>
    <w:p>
      <w:pPr>
        <w:spacing w:after="0" w:line="62" w:lineRule="exact"/>
        <w:rPr>
          <w:sz w:val="20"/>
          <w:szCs w:val="20"/>
          <w:color w:val="auto"/>
        </w:rPr>
      </w:pPr>
    </w:p>
    <w:p>
      <w:pPr>
        <w:ind w:left="960" w:right="1679"/>
        <w:spacing w:after="0" w:line="273"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Charles B. Johnson pursuant to Power of Attorney attached to this Schedule 13G</w:t>
      </w:r>
    </w:p>
    <w:p>
      <w:pPr>
        <w:spacing w:after="0" w:line="142" w:lineRule="exact"/>
        <w:rPr>
          <w:sz w:val="20"/>
          <w:szCs w:val="20"/>
          <w:color w:val="auto"/>
        </w:rPr>
      </w:pPr>
    </w:p>
    <w:p>
      <w:pPr>
        <w:ind w:left="960" w:right="1259"/>
        <w:spacing w:after="0" w:line="280" w:lineRule="exact"/>
        <w:rPr>
          <w:sz w:val="20"/>
          <w:szCs w:val="20"/>
          <w:color w:val="auto"/>
        </w:rPr>
      </w:pPr>
      <w:r>
        <w:rPr>
          <w:rFonts w:ascii="Courier New" w:cs="Courier New" w:eastAsia="Courier New" w:hAnsi="Courier New"/>
          <w:sz w:val="18"/>
          <w:szCs w:val="18"/>
          <w:color w:val="auto"/>
        </w:rPr>
        <w:t>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Fact for Rupert H. Johnson, Jr. pursuant to Power of Attorney attached to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633095</wp:posOffset>
            </wp:positionV>
            <wp:extent cx="715327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39"/>
          </w:cols>
          <w:pgMar w:left="620" w:top="606" w:right="1440" w:bottom="1440" w:gutter="0" w:footer="0" w:header="0"/>
          <w:type w:val="continuous"/>
        </w:sectPr>
      </w:pPr>
    </w:p>
    <w:bookmarkStart w:id="11" w:name="page12"/>
    <w:bookmarkEnd w:id="11"/>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12</w:t>
      </w:r>
    </w:p>
    <w:p>
      <w:pPr>
        <w:spacing w:after="0" w:line="269" w:lineRule="exact"/>
        <w:rPr>
          <w:sz w:val="20"/>
          <w:szCs w:val="20"/>
          <w:color w:val="auto"/>
        </w:rPr>
      </w:pPr>
    </w:p>
    <w:p>
      <w:pPr>
        <w:ind w:left="4580"/>
        <w:spacing w:after="0"/>
        <w:rPr>
          <w:sz w:val="20"/>
          <w:szCs w:val="20"/>
          <w:color w:val="auto"/>
        </w:rPr>
      </w:pPr>
      <w:r>
        <w:rPr>
          <w:rFonts w:ascii="Courier New" w:cs="Courier New" w:eastAsia="Courier New" w:hAnsi="Courier New"/>
          <w:sz w:val="18"/>
          <w:szCs w:val="18"/>
          <w:color w:val="auto"/>
        </w:rPr>
        <w:t>EXHIBIT B</w:t>
      </w:r>
    </w:p>
    <w:p>
      <w:pPr>
        <w:spacing w:after="0" w:line="5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383540</wp:posOffset>
            </wp:positionV>
            <wp:extent cx="71532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10039"/>
          </w:cols>
          <w:pgMar w:left="420" w:top="606" w:right="1440" w:bottom="1440" w:gutter="0" w:footer="0" w:header="0"/>
        </w:sectPr>
      </w:pPr>
    </w:p>
    <w:bookmarkStart w:id="12" w:name="page13"/>
    <w:bookmarkEnd w:id="12"/>
    <w:p>
      <w:pPr>
        <w:ind w:left="200"/>
        <w:spacing w:after="0"/>
        <w:tabs>
          <w:tab w:leader="none" w:pos="5040" w:val="left"/>
          <w:tab w:leader="none" w:pos="8300" w:val="left"/>
        </w:tabs>
        <w:rPr>
          <w:sz w:val="20"/>
          <w:szCs w:val="20"/>
          <w:color w:val="auto"/>
        </w:rPr>
      </w:pPr>
      <w:r>
        <w:rPr>
          <w:rFonts w:ascii="Courier New" w:cs="Courier New" w:eastAsia="Courier New" w:hAnsi="Courier New"/>
          <w:sz w:val="18"/>
          <w:szCs w:val="18"/>
          <w:color w:val="auto"/>
        </w:rPr>
        <w:t>CUSIP NO. 92840H202</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12</w:t>
      </w:r>
    </w:p>
    <w:p>
      <w:pPr>
        <w:spacing w:after="0" w:line="269" w:lineRule="exact"/>
        <w:rPr>
          <w:sz w:val="20"/>
          <w:szCs w:val="20"/>
          <w:color w:val="auto"/>
        </w:rPr>
      </w:pPr>
    </w:p>
    <w:p>
      <w:pPr>
        <w:jc w:val="center"/>
        <w:ind w:right="499"/>
        <w:spacing w:after="0"/>
        <w:rPr>
          <w:sz w:val="20"/>
          <w:szCs w:val="20"/>
          <w:color w:val="auto"/>
        </w:rPr>
      </w:pPr>
      <w:r>
        <w:rPr>
          <w:rFonts w:ascii="Courier New" w:cs="Courier New" w:eastAsia="Courier New" w:hAnsi="Courier New"/>
          <w:sz w:val="18"/>
          <w:szCs w:val="18"/>
          <w:color w:val="auto"/>
        </w:rPr>
        <w:t>LIMITED POWER OF ATTORNEY</w:t>
      </w:r>
    </w:p>
    <w:p>
      <w:pPr>
        <w:spacing w:after="0" w:line="58"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FOR SECTION 13 AND 16 REPORTING OBLIGATIONS</w:t>
      </w:r>
    </w:p>
    <w:p>
      <w:pPr>
        <w:spacing w:after="0" w:line="26" w:lineRule="exact"/>
        <w:rPr>
          <w:sz w:val="20"/>
          <w:szCs w:val="20"/>
          <w:color w:val="auto"/>
        </w:rPr>
      </w:pPr>
    </w:p>
    <w:p>
      <w:pPr>
        <w:ind w:right="119" w:firstLine="211"/>
        <w:spacing w:after="0" w:line="229"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Alison E. Baur, Steven J. Gray, Beth McAuley O’Malley, Thomas C. Merchant, Kimberly H. Novotny, Virginia E. Rosas, Navid J. Tofigh and Lori A. Weber each acting individually, as the undersigned’s true and lawful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4" w:lineRule="exact"/>
        <w:rPr>
          <w:sz w:val="20"/>
          <w:szCs w:val="20"/>
          <w:color w:val="auto"/>
        </w:rPr>
      </w:pPr>
    </w:p>
    <w:p>
      <w:pPr>
        <w:ind w:right="159" w:firstLine="508"/>
        <w:spacing w:after="0" w:line="230" w:lineRule="exact"/>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ID, Schedules 13D and 13G, and Forms 3, 4 and 5 (including any amendments thereto and any related documentation) with the United States Securities and Exchange Commission and any national securities exchanges relating to Franklin Resources, Inc. (“FRI”) and/or any registered closed</w:t>
      </w:r>
      <w:r>
        <w:rPr>
          <w:rFonts w:ascii="MS PGothic" w:cs="MS PGothic" w:eastAsia="MS PGothic" w:hAnsi="MS PGothic"/>
          <w:sz w:val="18"/>
          <w:szCs w:val="18"/>
          <w:color w:val="auto"/>
        </w:rPr>
        <w:t>‑</w:t>
      </w:r>
      <w:r>
        <w:rPr>
          <w:rFonts w:ascii="Courier New" w:cs="Courier New" w:eastAsia="Courier New" w:hAnsi="Courier New"/>
          <w:sz w:val="18"/>
          <w:szCs w:val="18"/>
          <w:color w:val="auto"/>
        </w:rPr>
        <w:t>end company to which an affiliate of FRI is an investment adviser (each, a “Reporting Entity”), as considered necessary or advisable under Regulation S</w:t>
      </w:r>
      <w:r>
        <w:rPr>
          <w:rFonts w:ascii="MS PGothic" w:cs="MS PGothic" w:eastAsia="MS PGothic" w:hAnsi="MS PGothic"/>
          <w:sz w:val="18"/>
          <w:szCs w:val="18"/>
          <w:color w:val="auto"/>
        </w:rPr>
        <w:t>‑</w:t>
      </w:r>
      <w:r>
        <w:rPr>
          <w:rFonts w:ascii="Courier New" w:cs="Courier New" w:eastAsia="Courier New" w:hAnsi="Courier New"/>
          <w:sz w:val="18"/>
          <w:szCs w:val="18"/>
          <w:color w:val="auto"/>
        </w:rPr>
        <w:t>T and Sections 13(d) and 16(a) of the Securities Exchange Act of 1934 and the rules and regulations promulgated thereunder, as amended from time to time (the “Exchange Act”); and</w:t>
      </w:r>
    </w:p>
    <w:p>
      <w:pPr>
        <w:spacing w:after="0" w:line="3" w:lineRule="exact"/>
        <w:rPr>
          <w:rFonts w:ascii="Courier New" w:cs="Courier New" w:eastAsia="Courier New" w:hAnsi="Courier New"/>
          <w:sz w:val="18"/>
          <w:szCs w:val="18"/>
          <w:color w:val="auto"/>
        </w:rPr>
      </w:pPr>
    </w:p>
    <w:p>
      <w:pPr>
        <w:ind w:right="359" w:firstLine="508"/>
        <w:spacing w:after="0" w:line="270" w:lineRule="auto"/>
        <w:tabs>
          <w:tab w:leader="none" w:pos="81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seek or obtain, as the undersigned’s representative and on the undersigned’s behalf, information on transactions in the securities of any Reporting Entity from any person, including brokers, employee benefit plan administrators and trustees, and the undersigned hereby authorizes any such person to release any such information to the undersigned and approves and ratifies any such release of information; and</w:t>
      </w:r>
    </w:p>
    <w:p>
      <w:pPr>
        <w:ind w:right="239" w:firstLine="508"/>
        <w:spacing w:after="0" w:line="229" w:lineRule="exact"/>
        <w:tabs>
          <w:tab w:leader="none" w:pos="816"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perform any and all other acts which in the discretion of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are necessary or desirable for and on behalf of the undersigned in connection with the foregoing.</w:t>
      </w:r>
    </w:p>
    <w:p>
      <w:pPr>
        <w:spacing w:after="0" w:line="1" w:lineRule="exact"/>
        <w:rPr>
          <w:rFonts w:ascii="Courier New" w:cs="Courier New" w:eastAsia="Courier New" w:hAnsi="Courier New"/>
          <w:sz w:val="17"/>
          <w:szCs w:val="17"/>
          <w:color w:val="auto"/>
        </w:rPr>
      </w:pPr>
    </w:p>
    <w:p>
      <w:pPr>
        <w:ind w:left="500"/>
        <w:spacing w:after="0"/>
        <w:rPr>
          <w:rFonts w:ascii="Courier New" w:cs="Courier New" w:eastAsia="Courier New" w:hAnsi="Courier New"/>
          <w:sz w:val="17"/>
          <w:szCs w:val="17"/>
          <w:color w:val="auto"/>
        </w:rPr>
      </w:pPr>
      <w:r>
        <w:rPr>
          <w:rFonts w:ascii="Courier New" w:cs="Courier New" w:eastAsia="Courier New" w:hAnsi="Courier New"/>
          <w:sz w:val="18"/>
          <w:szCs w:val="18"/>
          <w:color w:val="auto"/>
        </w:rPr>
        <w:t>The undersigned acknowledges that:</w:t>
      </w:r>
    </w:p>
    <w:p>
      <w:pPr>
        <w:spacing w:after="0" w:line="25" w:lineRule="exact"/>
        <w:rPr>
          <w:rFonts w:ascii="Courier New" w:cs="Courier New" w:eastAsia="Courier New" w:hAnsi="Courier New"/>
          <w:sz w:val="17"/>
          <w:szCs w:val="17"/>
          <w:color w:val="auto"/>
        </w:rPr>
      </w:pPr>
    </w:p>
    <w:p>
      <w:pPr>
        <w:ind w:right="499" w:firstLine="508"/>
        <w:spacing w:after="0" w:line="229" w:lineRule="exact"/>
        <w:tabs>
          <w:tab w:leader="none" w:pos="81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 w:lineRule="exact"/>
        <w:rPr>
          <w:rFonts w:ascii="Courier New" w:cs="Courier New" w:eastAsia="Courier New" w:hAnsi="Courier New"/>
          <w:sz w:val="18"/>
          <w:szCs w:val="18"/>
          <w:color w:val="auto"/>
        </w:rPr>
      </w:pPr>
    </w:p>
    <w:p>
      <w:pPr>
        <w:ind w:right="339" w:firstLine="508"/>
        <w:spacing w:after="0" w:line="229" w:lineRule="exact"/>
        <w:tabs>
          <w:tab w:leader="none" w:pos="81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any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3" w:lineRule="exact"/>
        <w:rPr>
          <w:rFonts w:ascii="Courier New" w:cs="Courier New" w:eastAsia="Courier New" w:hAnsi="Courier New"/>
          <w:sz w:val="18"/>
          <w:szCs w:val="18"/>
          <w:color w:val="auto"/>
        </w:rPr>
      </w:pPr>
    </w:p>
    <w:p>
      <w:pPr>
        <w:ind w:right="119" w:firstLine="508"/>
        <w:spacing w:after="0" w:line="229" w:lineRule="exact"/>
        <w:tabs>
          <w:tab w:leader="none" w:pos="81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FRI, any Reporting Entity nor any of such attorneys</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(ii) any liability of the undersigned for any failure to comply with such requirements, or (iii) any obligation or liability of the undersigned for profit disgorgement under Section 16(b) of the Exchange Act; and</w:t>
      </w:r>
    </w:p>
    <w:p>
      <w:pPr>
        <w:spacing w:after="0" w:line="3" w:lineRule="exact"/>
        <w:rPr>
          <w:rFonts w:ascii="Courier New" w:cs="Courier New" w:eastAsia="Courier New" w:hAnsi="Courier New"/>
          <w:sz w:val="18"/>
          <w:szCs w:val="18"/>
          <w:color w:val="auto"/>
        </w:rPr>
      </w:pPr>
    </w:p>
    <w:p>
      <w:pPr>
        <w:jc w:val="both"/>
        <w:ind w:right="439" w:firstLine="508"/>
        <w:spacing w:after="0" w:line="286" w:lineRule="auto"/>
        <w:tabs>
          <w:tab w:leader="none" w:pos="816"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Limited Power of Attorney does not relieve the undersigned from responsibility for compliance with the undersigned’s obligations under the Exchange Act, including without limitation, the reporting requirements under Section 16 of the Exchange Act.</w:t>
      </w:r>
    </w:p>
    <w:p>
      <w:pPr>
        <w:ind w:right="119" w:firstLine="500"/>
        <w:spacing w:after="0" w:line="230" w:lineRule="exact"/>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gives and grants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of, for and on behalf of the undersigned, shall lawfully do or cause to be done by virtue of this Limited Power of Attorney, and indemnifies each of the foregoing attorneys</w:t>
      </w:r>
      <w:r>
        <w:rPr>
          <w:rFonts w:ascii="MS PGothic" w:cs="MS PGothic" w:eastAsia="MS PGothic" w:hAnsi="MS PGothic"/>
          <w:sz w:val="17"/>
          <w:szCs w:val="17"/>
          <w:color w:val="auto"/>
        </w:rPr>
        <w:t>‑</w:t>
      </w:r>
      <w:r>
        <w:rPr>
          <w:rFonts w:ascii="Courier New" w:cs="Courier New" w:eastAsia="Courier New" w:hAnsi="Courier New"/>
          <w:sz w:val="17"/>
          <w:szCs w:val="17"/>
          <w:color w:val="auto"/>
        </w:rPr>
        <w:t>in</w:t>
      </w:r>
      <w:r>
        <w:rPr>
          <w:rFonts w:ascii="MS PGothic" w:cs="MS PGothic" w:eastAsia="MS PGothic" w:hAnsi="MS PGothic"/>
          <w:sz w:val="17"/>
          <w:szCs w:val="17"/>
          <w:color w:val="auto"/>
        </w:rPr>
        <w:t>‑</w:t>
      </w:r>
      <w:r>
        <w:rPr>
          <w:rFonts w:ascii="Courier New" w:cs="Courier New" w:eastAsia="Courier New" w:hAnsi="Courier New"/>
          <w:sz w:val="17"/>
          <w:szCs w:val="17"/>
          <w:color w:val="auto"/>
        </w:rPr>
        <w:t>fact against any loss of any nature whatsoever arising in connection therewith.</w:t>
      </w:r>
    </w:p>
    <w:p>
      <w:pPr>
        <w:ind w:right="159" w:firstLine="500"/>
        <w:spacing w:after="0" w:line="229" w:lineRule="exact"/>
        <w:rPr>
          <w:rFonts w:ascii="Courier New" w:cs="Courier New" w:eastAsia="Courier New" w:hAnsi="Courier New"/>
          <w:sz w:val="17"/>
          <w:szCs w:val="17"/>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PGothic" w:cs="MS PGothic" w:eastAsia="MS PGothic" w:hAnsi="MS PGothic"/>
          <w:sz w:val="18"/>
          <w:szCs w:val="18"/>
          <w:color w:val="auto"/>
        </w:rPr>
        <w:t>‑</w:t>
      </w:r>
      <w:r>
        <w:rPr>
          <w:rFonts w:ascii="Courier New" w:cs="Courier New" w:eastAsia="Courier New" w:hAnsi="Courier New"/>
          <w:sz w:val="18"/>
          <w:szCs w:val="18"/>
          <w:color w:val="auto"/>
        </w:rPr>
        <w:t>in</w:t>
      </w:r>
      <w:r>
        <w:rPr>
          <w:rFonts w:ascii="MS PGothic" w:cs="MS PGothic" w:eastAsia="MS PGothic" w:hAnsi="MS PGothic"/>
          <w:sz w:val="18"/>
          <w:szCs w:val="18"/>
          <w:color w:val="auto"/>
        </w:rPr>
        <w:t>‑</w:t>
      </w:r>
      <w:r>
        <w:rPr>
          <w:rFonts w:ascii="Courier New" w:cs="Courier New" w:eastAsia="Courier New" w:hAnsi="Courier New"/>
          <w:sz w:val="18"/>
          <w:szCs w:val="18"/>
          <w:color w:val="auto"/>
        </w:rPr>
        <w:t>fact.</w:t>
      </w:r>
    </w:p>
    <w:p>
      <w:pPr>
        <w:spacing w:after="0" w:line="1" w:lineRule="exact"/>
        <w:rPr>
          <w:rFonts w:ascii="Courier New" w:cs="Courier New" w:eastAsia="Courier New" w:hAnsi="Courier New"/>
          <w:sz w:val="17"/>
          <w:szCs w:val="17"/>
          <w:color w:val="auto"/>
        </w:rPr>
      </w:pPr>
    </w:p>
    <w:p>
      <w:pPr>
        <w:ind w:right="779" w:firstLine="500"/>
        <w:spacing w:after="0" w:line="270" w:lineRule="auto"/>
        <w:rPr>
          <w:rFonts w:ascii="Courier New" w:cs="Courier New" w:eastAsia="Courier New" w:hAnsi="Courier New"/>
          <w:sz w:val="17"/>
          <w:szCs w:val="17"/>
          <w:color w:val="auto"/>
        </w:rPr>
      </w:pPr>
      <w:r>
        <w:rPr>
          <w:rFonts w:ascii="Courier New" w:cs="Courier New" w:eastAsia="Courier New" w:hAnsi="Courier New"/>
          <w:sz w:val="18"/>
          <w:szCs w:val="18"/>
          <w:color w:val="auto"/>
        </w:rPr>
        <w:t>IN WITNESS WHEREOF, the undersigned has caused this Limited Power of Attorney to be executed as of this 16th day of August, 2021.</w:t>
      </w:r>
    </w:p>
    <w:p>
      <w:pPr>
        <w:ind w:left="6220"/>
        <w:spacing w:after="0"/>
        <w:rPr>
          <w:sz w:val="20"/>
          <w:szCs w:val="20"/>
          <w:color w:val="auto"/>
        </w:rPr>
      </w:pPr>
      <w:r>
        <w:rPr>
          <w:rFonts w:ascii="Courier New" w:cs="Courier New" w:eastAsia="Courier New" w:hAnsi="Courier New"/>
          <w:sz w:val="18"/>
          <w:szCs w:val="18"/>
          <w:u w:val="single" w:color="auto"/>
          <w:color w:val="auto"/>
        </w:rPr>
        <w:t>/s/RUPERT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Signature</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039"/>
      </w:cols>
      <w:pgMar w:left="420" w:top="6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1"/>
    </w:lvl>
    <w:lvl w:ilvl="1">
      <w:lvlJc w:val="left"/>
      <w:lvlText w:val="(%2)"/>
      <w:numFmt w:val="lowerLetter"/>
      <w:start w:val="2"/>
    </w:lvl>
  </w:abstractNum>
  <w:abstractNum w:abstractNumId="3">
    <w:nsid w:val="7C83E458"/>
    <w:multiLevelType w:val="hybridMultilevel"/>
    <w:lvl w:ilvl="0">
      <w:lvlJc w:val="left"/>
      <w:lvlText w:val="%1."/>
      <w:numFmt w:val="decimal"/>
      <w:start w:val="3"/>
    </w:lvl>
    <w:lvl w:ilvl="1">
      <w:lvlJc w:val="left"/>
      <w:lvlText w:val="%2"/>
      <w:numFmt w:val="lowerLetter"/>
      <w:start w:val="1"/>
    </w:lvl>
  </w:abstractNum>
  <w:abstractNum w:abstractNumId="4">
    <w:nsid w:val="257130A3"/>
    <w:multiLevelType w:val="hybridMultilevel"/>
    <w:lvl w:ilvl="0">
      <w:lvlJc w:val="left"/>
      <w:lvlText w:val="%1."/>
      <w:numFmt w:val="decimal"/>
      <w:start w:val="5"/>
    </w:lvl>
  </w:abstractNum>
  <w:abstractNum w:abstractNumId="5">
    <w:nsid w:val="62BBD95A"/>
    <w:multiLevelType w:val="hybridMultilevel"/>
    <w:lvl w:ilvl="0">
      <w:lvlJc w:val="left"/>
      <w:lvlText w:val="%1."/>
      <w:numFmt w:val="decimal"/>
      <w:start w:val="1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1"/>
    </w:lvl>
    <w:lvl w:ilvl="1">
      <w:lvlJc w:val="left"/>
      <w:lvlText w:val="(%2)"/>
      <w:numFmt w:val="lowerLetter"/>
      <w:start w:val="2"/>
    </w:lvl>
  </w:abstractNum>
  <w:abstractNum w:abstractNumId="8">
    <w:nsid w:val="333AB105"/>
    <w:multiLevelType w:val="hybridMultilevel"/>
    <w:lvl w:ilvl="0">
      <w:lvlJc w:val="left"/>
      <w:lvlText w:val="%1."/>
      <w:numFmt w:val="decimal"/>
      <w:start w:val="3"/>
    </w:lvl>
    <w:lvl w:ilvl="1">
      <w:lvlJc w:val="left"/>
      <w:lvlText w:val="%2"/>
      <w:numFmt w:val="lowerLetter"/>
      <w:start w:val="1"/>
    </w:lvl>
  </w:abstractNum>
  <w:abstractNum w:abstractNumId="9">
    <w:nsid w:val="721DA317"/>
    <w:multiLevelType w:val="hybridMultilevel"/>
    <w:lvl w:ilvl="0">
      <w:lvlJc w:val="left"/>
      <w:lvlText w:val="%1."/>
      <w:numFmt w:val="decimal"/>
      <w:start w:val="5"/>
    </w:lvl>
  </w:abstractNum>
  <w:abstractNum w:abstractNumId="10">
    <w:nsid w:val="2443A858"/>
    <w:multiLevelType w:val="hybridMultilevel"/>
    <w:lvl w:ilvl="0">
      <w:lvlJc w:val="left"/>
      <w:lvlText w:val="%1."/>
      <w:numFmt w:val="decimal"/>
      <w:start w:val="11"/>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1"/>
    </w:lvl>
    <w:lvl w:ilvl="1">
      <w:lvlJc w:val="left"/>
      <w:lvlText w:val="(%2)"/>
      <w:numFmt w:val="lowerLetter"/>
      <w:start w:val="2"/>
    </w:lvl>
  </w:abstractNum>
  <w:abstractNum w:abstractNumId="13">
    <w:nsid w:val="75A2A8D4"/>
    <w:multiLevelType w:val="hybridMultilevel"/>
    <w:lvl w:ilvl="0">
      <w:lvlJc w:val="left"/>
      <w:lvlText w:val="%1."/>
      <w:numFmt w:val="decimal"/>
      <w:start w:val="3"/>
    </w:lvl>
    <w:lvl w:ilvl="1">
      <w:lvlJc w:val="left"/>
      <w:lvlText w:val="%2"/>
      <w:numFmt w:val="lowerLetter"/>
      <w:start w:val="1"/>
    </w:lvl>
  </w:abstractNum>
  <w:abstractNum w:abstractNumId="14">
    <w:nsid w:val="8EDBDAB"/>
    <w:multiLevelType w:val="hybridMultilevel"/>
    <w:lvl w:ilvl="0">
      <w:lvlJc w:val="left"/>
      <w:lvlText w:val="%1."/>
      <w:numFmt w:val="decimal"/>
      <w:start w:val="5"/>
    </w:lvl>
  </w:abstractNum>
  <w:abstractNum w:abstractNumId="15">
    <w:nsid w:val="79838CB2"/>
    <w:multiLevelType w:val="hybridMultilevel"/>
    <w:lvl w:ilvl="0">
      <w:lvlJc w:val="left"/>
      <w:lvlText w:val="%1."/>
      <w:numFmt w:val="decimal"/>
      <w:start w:val="11"/>
    </w:lvl>
  </w:abstractNum>
  <w:abstractNum w:abstractNumId="16">
    <w:nsid w:val="4353D0CD"/>
    <w:multiLevelType w:val="hybridMultilevel"/>
    <w:lvl w:ilvl="0">
      <w:lvlJc w:val="left"/>
      <w:lvlText w:val="(%1)"/>
      <w:numFmt w:val="lowerLetter"/>
      <w:start w:val="1"/>
    </w:lvl>
  </w:abstractNum>
  <w:abstractNum w:abstractNumId="17">
    <w:nsid w:val="B03E0C6"/>
    <w:multiLevelType w:val="hybridMultilevel"/>
    <w:lvl w:ilvl="0">
      <w:lvlJc w:val="left"/>
      <w:lvlText w:val="(%1)"/>
      <w:numFmt w:val="lowerLetter"/>
      <w:start w:val="2"/>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2"/>
    </w:lvl>
  </w:abstractNum>
  <w:abstractNum w:abstractNumId="20">
    <w:nsid w:val="71F32454"/>
    <w:multiLevelType w:val="hybridMultilevel"/>
    <w:lvl w:ilvl="0">
      <w:lvlJc w:val="left"/>
      <w:lvlText w:val="(%1)"/>
      <w:numFmt w:val="lowerLetter"/>
      <w:start w:val="3"/>
    </w:lvl>
  </w:abstractNum>
  <w:abstractNum w:abstractNumId="21">
    <w:nsid w:val="2CA88611"/>
    <w:multiLevelType w:val="hybridMultilevel"/>
    <w:lvl w:ilvl="0">
      <w:lvlJc w:val="left"/>
      <w:lvlText w:val="%1"/>
      <w:numFmt w:val="lowerLetter"/>
      <w:start w:val="1"/>
    </w:lvl>
    <w:lvl w:ilvl="1">
      <w:lvlJc w:val="left"/>
      <w:lvlText w:val="(%2)"/>
      <w:numFmt w:val="lowerLetter"/>
      <w:start w:val="35"/>
    </w:lvl>
  </w:abstractNum>
  <w:abstractNum w:abstractNumId="22">
    <w:nsid w:val="836C40E"/>
    <w:multiLevelType w:val="hybridMultilevel"/>
    <w:lvl w:ilvl="0">
      <w:lvlJc w:val="left"/>
      <w:lvlText w:val="(%1)"/>
      <w:numFmt w:val="lowerLetter"/>
      <w:start w:val="4"/>
    </w:lvl>
    <w:lvl w:ilvl="1">
      <w:lvlJc w:val="left"/>
      <w:lvlText w:val="%2"/>
      <w:numFmt w:val="lowerLetter"/>
      <w:start w:val="1"/>
    </w:lvl>
  </w:abstractNum>
  <w:abstractNum w:abstractNumId="23">
    <w:nsid w:val="2901D82"/>
    <w:multiLevelType w:val="hybridMultilevel"/>
    <w:lvl w:ilvl="0">
      <w:lvlJc w:val="left"/>
      <w:lvlText w:val="(%1)"/>
      <w:numFmt w:val="lowerLetter"/>
      <w:start w:val="5"/>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7"/>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3"/>
    </w:lvl>
    <w:lvl w:ilvl="1">
      <w:lvlJc w:val="left"/>
      <w:lvlText w:val="(%2)"/>
      <w:numFmt w:val="lowerLetter"/>
      <w:start w:val="9"/>
    </w:lvl>
  </w:abstractNum>
  <w:abstractNum w:abstractNumId="28">
    <w:nsid w:val="737B8DDC"/>
    <w:multiLevelType w:val="hybridMultilevel"/>
    <w:lvl w:ilvl="0">
      <w:lvlJc w:val="left"/>
      <w:lvlText w:val="(%1)"/>
      <w:numFmt w:val="lowerRoman"/>
      <w:start w:val="2"/>
    </w:lvl>
  </w:abstractNum>
  <w:abstractNum w:abstractNumId="29">
    <w:nsid w:val="6CEAF087"/>
    <w:multiLevelType w:val="hybridMultilevel"/>
    <w:lvl w:ilvl="0">
      <w:lvlJc w:val="left"/>
      <w:lvlText w:val="(%1)"/>
      <w:numFmt w:val="lowerRoman"/>
      <w:start w:val="4"/>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2023-02-01T12:50:41Z</dcterms:created>
  <dcterms:modified xsi:type="dcterms:W3CDTF">2023-02-01T12:50:41Z</dcterms:modified>
</cp:coreProperties>
</file>