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Vistagen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92840H400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92840H400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ORBIMED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1,420,300.00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1,420,300.00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1,420,300.00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92840H400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ORBIMED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1,639,700.00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1,639,700.00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1,639,700.00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4"/>
        <w:gridCol w:w="8926"/>
        <w:gridCol w:w="155"/>
      </w:tblGrid>
      <w:tr>
        <w:trPr/>
        <w:tc>
          <w:tcPr>
            <w:tcW w:w="1124" w:type="dxa"/>
            <w:tcBorders/>
            <w:vAlign w:val="center"/>
          </w:tcPr>
          <w:p>
            <w:pPr>
              <w:pStyle w:val="TableContents"/>
              <w:bidi w:val="0"/>
              <w:spacing w:before="0" w:after="283"/>
              <w:jc w:val="left"/>
              <w:rPr/>
            </w:pPr>
            <w:r>
              <w:rPr/>
              <w:t>Item 1.</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issuer: </w:t>
            </w:r>
          </w:p>
          <w:p>
            <w:pPr>
              <w:pStyle w:val="TableContents"/>
              <w:bidi w:val="0"/>
              <w:spacing w:before="0" w:after="0"/>
              <w:jc w:val="left"/>
              <w:rPr/>
            </w:pPr>
            <w:r>
              <w:rPr/>
              <w:t>Vistagen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343 Allerton Ave.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2.</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person filing: </w:t>
            </w:r>
          </w:p>
          <w:p>
            <w:pPr>
              <w:pStyle w:val="TableContents"/>
              <w:bidi w:val="0"/>
              <w:spacing w:before="0" w:after="0"/>
              <w:jc w:val="left"/>
              <w:rPr/>
            </w:pPr>
            <w:r>
              <w:rPr/>
              <w:t>OrbiMed Advisors LLC OrbiMed Capital LLC</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601 Lexington Avenue, 54th Floor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jc w:val="left"/>
              <w:rPr/>
            </w:pPr>
            <w:r>
              <w:rPr/>
              <w:t xml:space="preserve">Citizenship: </w:t>
            </w:r>
          </w:p>
          <w:p>
            <w:pPr>
              <w:pStyle w:val="TableContents"/>
              <w:bidi w:val="0"/>
              <w:spacing w:before="0" w:after="0"/>
              <w:jc w:val="left"/>
              <w:rPr/>
            </w:pPr>
            <w:r>
              <w:rPr/>
              <w:t>Please refer to Item 4 on each cover sheet for each filing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jc w:val="left"/>
              <w:rPr/>
            </w:pPr>
            <w:r>
              <w:rPr/>
              <w:t xml:space="preserve">CUSIP No.: </w:t>
            </w:r>
          </w:p>
          <w:p>
            <w:pPr>
              <w:pStyle w:val="TableContents"/>
              <w:bidi w:val="0"/>
              <w:spacing w:before="0" w:after="0"/>
              <w:jc w:val="left"/>
              <w:rPr/>
            </w:pPr>
            <w:r>
              <w:rPr/>
              <w:t>92840H400</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3.</w:t>
            </w:r>
          </w:p>
        </w:tc>
        <w:tc>
          <w:tcPr>
            <w:tcW w:w="892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(f)</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(g)</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(h)</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(j)</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(k)</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9081" w:type="dxa"/>
            <w:gridSpan w:val="2"/>
            <w:tcBorders/>
            <w:vAlign w:val="center"/>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4.</w:t>
            </w:r>
          </w:p>
        </w:tc>
        <w:tc>
          <w:tcPr>
            <w:tcW w:w="892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OrbiMed Advisors LLC: 1,420,300 OrbiMed Capital LLC: 1,639,700</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OrbiMed Advisors LLC: 3.6% OrbiMed Capital LLC: 4.2%  %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OrbiMed Advisors LLC: 0 OrbiMed Capital LLC: 1,639,700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OrbiMed Advisors LLC: 1,420,300 OrbiMed Capital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OrbiMed Advisors LLC: 0 OrbiMed Capital LLC: 1,639,700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OrbiMed Advisors LLC: 1,420,300 OrbiMed Capital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6.</w:t>
            </w:r>
          </w:p>
        </w:tc>
        <w:tc>
          <w:tcPr>
            <w:tcW w:w="892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Reporting Persons hold 7.8% of the shares of Common Stock in the aggregate on behalf of other persons who have the right to receive or the power to direct the receipt of dividends from, or proceeds from the sale of, such securities. OrbiMed Advisors LLC and OrbiMed Capital LLC exercise investment and voting power over the shares of Common Stock through a management committee comprised of Carl L. Gordon, Sven H. Borho, and W. Carter Neild, each of whom disclaims beneficial ownership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7.</w:t>
            </w:r>
          </w:p>
        </w:tc>
        <w:tc>
          <w:tcPr>
            <w:tcW w:w="892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8.</w:t>
            </w:r>
          </w:p>
        </w:tc>
        <w:tc>
          <w:tcPr>
            <w:tcW w:w="892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9.</w:t>
            </w:r>
          </w:p>
        </w:tc>
        <w:tc>
          <w:tcPr>
            <w:tcW w:w="892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ORBIMED ADVISORS LLC</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Carl L. Gordon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Carl L. Gordon/Member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ORBIMED CAPITAL LLC</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Carl L. Gordon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Carl L. Gordon/Member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0" w:name="ss5953430_ex99a.htm"/>
      <w:bookmarkStart w:id="21" w:name="ksss5953430_ex99a"/>
      <w:bookmarkEnd w:id="20"/>
      <w:bookmarkEnd w:id="21"/>
      <w:r>
        <w:rPr/>
        <w:t> </w:t>
      </w:r>
      <w:r>
        <w:br w:type="page"/>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EXHIBIT A</w:t>
      </w:r>
    </w:p>
    <w:p>
      <w:pPr>
        <w:pStyle w:val="TextBody"/>
        <w:bidi w:val="0"/>
        <w:jc w:val="center"/>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JOINT FILING AGREEMENT</w:t>
      </w:r>
    </w:p>
    <w:p>
      <w:pPr>
        <w:pStyle w:val="TextBody"/>
        <w:bidi w:val="0"/>
        <w:jc w:val="both"/>
        <w:rPr>
          <w:caps w:val="false"/>
          <w:smallCaps w:val="false"/>
          <w:spacing w:val="-3"/>
        </w:rPr>
      </w:pPr>
      <w:r>
        <w:rPr>
          <w:caps w:val="false"/>
          <w:smallCaps w:val="false"/>
          <w:spacing w:val="-3"/>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3"/>
          <w:sz w:val="20"/>
        </w:rPr>
        <w:t xml:space="preserve">The undersigned hereby agree that this Amendment No. 1 to the Statement on Schedule 13G, dated December 31, 2025 (this “Schedule 13G”), with respect to the Common Stock, par value $0.001 per share, of </w:t>
      </w:r>
      <w:r>
        <w:rPr>
          <w:rFonts w:ascii="Times New Roman;Times;Serif" w:hAnsi="Times New Roman;Times;Serif"/>
          <w:b w:val="false"/>
          <w:i w:val="false"/>
          <w:caps w:val="false"/>
          <w:smallCaps w:val="false"/>
          <w:sz w:val="20"/>
        </w:rPr>
        <w:t xml:space="preserve">Vistagen Therapeutics, Inc. </w:t>
      </w:r>
      <w:r>
        <w:rPr>
          <w:rFonts w:ascii="Times New Roman;Times;Serif" w:hAnsi="Times New Roman;Times;Serif"/>
          <w:b w:val="false"/>
          <w:i w:val="false"/>
          <w:caps w:val="false"/>
          <w:smallCaps w:val="false"/>
          <w:spacing w:val="-3"/>
          <w:sz w:val="20"/>
        </w:rPr>
        <w:t>is filed on behalf of each of us pursuant to and in accordance with the provisions of Rule 13d-1(k) under the Securities Exchange Act of 1934, as amended, and that this Joint Filing Agreement shall be included as an Exhibit to this Schedule 13G. Each of the undersigned agrees to be responsible for the timely filing of this Schedule 13G and for the completeness and accuracy of the information concerning itself contained therein. This Joint Filing Agreement may be executed in any number of counterparts, all of which taken together shall constitute one and the same instrument.</w:t>
      </w:r>
    </w:p>
    <w:p>
      <w:pPr>
        <w:pStyle w:val="TextBody"/>
        <w:bidi w:val="0"/>
        <w:jc w:val="both"/>
        <w:rPr>
          <w:caps w:val="false"/>
          <w:smallCaps w:val="false"/>
          <w:spacing w:val="-3"/>
        </w:rPr>
      </w:pPr>
      <w:r>
        <w:rPr>
          <w:caps w:val="false"/>
          <w:smallCaps w:val="false"/>
          <w:spacing w:val="-3"/>
        </w:rPr>
        <w:t> </w:t>
      </w:r>
    </w:p>
    <w:p>
      <w:pPr>
        <w:pStyle w:val="TextBody"/>
        <w:bidi w:val="0"/>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IN WITNESS WHEREOF, the undersigned have executed this Joint Filing Agreement as of February 17, 2026.</w:t>
      </w:r>
    </w:p>
    <w:p>
      <w:pPr>
        <w:pStyle w:val="TextBody"/>
        <w:bidi w:val="0"/>
        <w:jc w:val="both"/>
        <w:rPr>
          <w:caps w:val="false"/>
          <w:smallCaps w:val="false"/>
          <w:spacing w:val="-3"/>
        </w:rPr>
      </w:pPr>
      <w:r>
        <w:rPr>
          <w:caps w:val="false"/>
          <w:smallCaps w:val="false"/>
          <w:spacing w:val="-3"/>
        </w:rPr>
        <w:t> </w:t>
      </w:r>
    </w:p>
    <w:tbl>
      <w:tblPr>
        <w:tblW w:w="2250" w:type="dxa"/>
        <w:jc w:val="left"/>
        <w:tblInd w:w="0" w:type="dxa"/>
        <w:tblLayout w:type="fixed"/>
        <w:tblCellMar>
          <w:top w:w="0" w:type="dxa"/>
          <w:left w:w="0" w:type="dxa"/>
          <w:bottom w:w="0" w:type="dxa"/>
          <w:right w:w="0" w:type="dxa"/>
        </w:tblCellMar>
      </w:tblPr>
      <w:tblGrid>
        <w:gridCol w:w="75"/>
        <w:gridCol w:w="320"/>
        <w:gridCol w:w="545"/>
        <w:gridCol w:w="1310"/>
      </w:tblGrid>
      <w:tr>
        <w:trPr/>
        <w:tc>
          <w:tcPr>
            <w:tcW w:w="75" w:type="dxa"/>
            <w:tcBorders/>
            <w:vAlign w:val="center"/>
          </w:tcPr>
          <w:p>
            <w:pPr>
              <w:pStyle w:val="TableContents"/>
              <w:bidi w:val="0"/>
              <w:spacing w:before="0" w:after="283"/>
              <w:jc w:val="left"/>
              <w:rPr/>
            </w:pPr>
            <w:r>
              <w:rPr/>
              <w:t> </w:t>
            </w:r>
          </w:p>
        </w:tc>
        <w:tc>
          <w:tcPr>
            <w:tcW w:w="217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OrbiMed Advisors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top w:val="single" w:sz="12"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310" w:type="dxa"/>
            <w:tcBorders>
              <w:top w:val="single" w:sz="12" w:space="0" w:color="000000"/>
            </w:tcBorders>
            <w:tcMar>
              <w:top w:w="28" w:type="dxa"/>
            </w:tcMar>
            <w:vAlign w:val="center"/>
          </w:tcPr>
          <w:p>
            <w:pPr>
              <w:pStyle w:val="TableContents"/>
              <w:bidi w:val="0"/>
              <w:spacing w:before="0" w:after="283"/>
              <w:jc w:val="left"/>
              <w:rPr/>
            </w:pPr>
            <w:r>
              <w:rPr/>
              <w:t> </w:t>
            </w:r>
            <w:r>
              <w:rPr>
                <w:rFonts w:ascii="Times New Roman;Times;Serif" w:hAnsi="Times New Roman;Times;Serif"/>
                <w:sz w:val="20"/>
              </w:rPr>
              <w:t>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310" w:type="dxa"/>
            <w:tcBorders/>
            <w:vAlign w:val="center"/>
          </w:tcPr>
          <w:p>
            <w:pPr>
              <w:pStyle w:val="TableContents"/>
              <w:bidi w:val="0"/>
              <w:spacing w:before="0" w:after="283"/>
              <w:jc w:val="left"/>
              <w:rPr/>
            </w:pPr>
            <w:r>
              <w:rPr/>
              <w:t> </w:t>
            </w:r>
            <w:r>
              <w:rPr>
                <w:rFonts w:ascii="Times New Roman;Times;Serif" w:hAnsi="Times New Roman;Times;Serif"/>
                <w:sz w:val="20"/>
              </w:rPr>
              <w:t>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OrbiMed Capital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top w:val="single" w:sz="12"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310" w:type="dxa"/>
            <w:tcBorders>
              <w:top w:val="single" w:sz="12" w:space="0" w:color="000000"/>
            </w:tcBorders>
            <w:tcMar>
              <w:top w:w="28" w:type="dxa"/>
            </w:tcMar>
            <w:vAlign w:val="center"/>
          </w:tcPr>
          <w:p>
            <w:pPr>
              <w:pStyle w:val="TableContents"/>
              <w:bidi w:val="0"/>
              <w:spacing w:before="0" w:after="283"/>
              <w:jc w:val="left"/>
              <w:rPr/>
            </w:pPr>
            <w:r>
              <w:rPr/>
              <w:t> </w:t>
            </w:r>
            <w:r>
              <w:rPr>
                <w:rFonts w:ascii="Times New Roman;Times;Serif" w:hAnsi="Times New Roman;Times;Serif"/>
                <w:sz w:val="20"/>
              </w:rPr>
              <w:t>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310" w:type="dxa"/>
            <w:tcBorders/>
            <w:vAlign w:val="center"/>
          </w:tcPr>
          <w:p>
            <w:pPr>
              <w:pStyle w:val="TableContents"/>
              <w:bidi w:val="0"/>
              <w:spacing w:before="0" w:after="283"/>
              <w:jc w:val="left"/>
              <w:rPr/>
            </w:pPr>
            <w:r>
              <w:rPr/>
              <w:t> </w:t>
            </w:r>
            <w:r>
              <w:rPr>
                <w:rFonts w:ascii="Times New Roman;Times;Serif" w:hAnsi="Times New Roman;Times;Serif"/>
                <w:sz w:val="20"/>
              </w:rPr>
              <w:t>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bl>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before="20" w:after="20"/>
        <w:jc w:val="left"/>
        <w:rPr>
          <w:bdr w:val="single" w:sz="16" w:space="1" w:color="000000"/>
        </w:rPr>
      </w:pPr>
      <w:r>
        <w:rPr>
          <w:bdr w:val="single" w:sz="16" w:space="1" w:color="000000"/>
        </w:rPr>
        <w:t> </w:t>
      </w:r>
    </w:p>
    <w:p>
      <w:pPr>
        <w:pStyle w:val="TextBody"/>
        <w:bidi w:val="0"/>
        <w:spacing w:lineRule="auto" w:line="256"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1273</Words>
  <Characters>6535</Characters>
  <CharactersWithSpaces>7808</CharactersWithSpaces>
  <Paragraphs>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