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vtgn20240401_8k.htm"/>
      <w:bookmarkStart w:id="1" w:name="ksvtgn20240401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UNITED STATES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Date of Report (Date of earliest event reported): </w:t>
      </w:r>
      <w:r>
        <w:rPr>
          <w:rFonts w:ascii="Times New Roman" w:hAnsi="Times New Roman"/>
          <w:b/>
          <w:caps w:val="false"/>
          <w:smallCaps w:val="false"/>
          <w:sz w:val="20"/>
          <w:u w:val="single"/>
        </w:rPr>
        <w:t>April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Vistagen Therapeutics,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2465"/>
        <w:gridCol w:w="2240"/>
        <w:gridCol w:w="1940"/>
      </w:tblGrid>
      <w:tr>
        <w:trPr/>
        <w:tc>
          <w:tcPr>
            <w:tcW w:w="2465" w:type="dxa"/>
            <w:tcBorders/>
            <w:vAlign w:val="center"/>
          </w:tcPr>
          <w:p>
            <w:pPr>
              <w:pStyle w:val="TableContents"/>
              <w:bidi w:val="0"/>
              <w:spacing w:before="0" w:after="0"/>
              <w:ind w:left="0" w:right="0" w:hanging="0"/>
              <w:jc w:val="center"/>
              <w:rPr>
                <w:rFonts w:ascii="Times New Roman" w:hAnsi="Times New Roman"/>
                <w:b/>
                <w:caps/>
                <w:sz w:val="20"/>
              </w:rPr>
            </w:pPr>
            <w:r>
              <w:rPr>
                <w:rFonts w:ascii="Times New Roman" w:hAnsi="Times New Roman"/>
                <w:b/>
                <w:caps/>
                <w:sz w:val="20"/>
              </w:rPr>
              <w:t>Nevada</w:t>
            </w:r>
          </w:p>
        </w:tc>
        <w:tc>
          <w:tcPr>
            <w:tcW w:w="22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000-54014</w:t>
            </w:r>
          </w:p>
        </w:tc>
        <w:tc>
          <w:tcPr>
            <w:tcW w:w="19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20-5093315</w:t>
            </w:r>
          </w:p>
        </w:tc>
      </w:tr>
      <w:tr>
        <w:trPr/>
        <w:tc>
          <w:tcPr>
            <w:tcW w:w="24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(State or other jurisdiction of </w:t>
            </w:r>
            <w:r>
              <w:rPr>
                <w:rFonts w:ascii="Times New Roman" w:hAnsi="Times New Roman"/>
                <w:caps w:val="false"/>
                <w:smallCaps w:val="false"/>
                <w:sz w:val="20"/>
              </w:rPr>
              <w:br/>
            </w:r>
            <w:r>
              <w:rPr>
                <w:rFonts w:ascii="Times New Roman" w:hAnsi="Times New Roman"/>
                <w:i/>
                <w:caps w:val="false"/>
                <w:smallCaps w:val="false"/>
                <w:sz w:val="20"/>
              </w:rPr>
              <w:t>incorporation)</w:t>
            </w:r>
          </w:p>
        </w:tc>
        <w:tc>
          <w:tcPr>
            <w:tcW w:w="224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 xml:space="preserve">(Commission File Number) </w:t>
            </w:r>
          </w:p>
        </w:tc>
        <w:tc>
          <w:tcPr>
            <w:tcW w:w="19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 xml:space="preserve">(IRS Employer </w:t>
            </w:r>
            <w:r>
              <w:rPr>
                <w:rFonts w:ascii="Times New Roman" w:hAnsi="Times New Roman"/>
                <w:caps w:val="false"/>
                <w:smallCaps w:val="false"/>
                <w:sz w:val="20"/>
              </w:rPr>
              <w:br/>
            </w:r>
            <w:r>
              <w:rPr>
                <w:rFonts w:ascii="Times New Roman" w:hAnsi="Times New Roman"/>
                <w:i/>
                <w:caps w:val="false"/>
                <w:smallCaps w:val="false"/>
                <w:sz w:val="20"/>
              </w:rPr>
              <w:t xml:space="preserve">Identification Number) </w:t>
            </w:r>
          </w:p>
        </w:tc>
      </w:tr>
    </w:tbl>
    <w:p>
      <w:pPr>
        <w:pStyle w:val="TextBody"/>
        <w:bidi w:val="0"/>
        <w:spacing w:before="0" w:after="0"/>
        <w:ind w:left="0" w:right="0" w:hanging="0"/>
        <w:jc w:val="left"/>
        <w:rPr>
          <w:caps w:val="false"/>
          <w:smallCaps w:val="false"/>
        </w:rPr>
      </w:pPr>
      <w:r>
        <w:rPr>
          <w:caps w:val="false"/>
          <w:smallCaps w:val="false"/>
        </w:rPr>
        <w:t> </w:t>
      </w:r>
    </w:p>
    <w:tbl>
      <w:tblPr>
        <w:tblW w:w="3290" w:type="dxa"/>
        <w:jc w:val="left"/>
        <w:tblInd w:w="0" w:type="dxa"/>
        <w:tblLayout w:type="fixed"/>
        <w:tblCellMar>
          <w:top w:w="0" w:type="dxa"/>
          <w:left w:w="0" w:type="dxa"/>
          <w:bottom w:w="0" w:type="dxa"/>
          <w:right w:w="0" w:type="dxa"/>
        </w:tblCellMar>
      </w:tblPr>
      <w:tblGrid>
        <w:gridCol w:w="3290"/>
      </w:tblGrid>
      <w:tr>
        <w:trPr/>
        <w:tc>
          <w:tcPr>
            <w:tcW w:w="32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343 Allerton Ave.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South San Francisco, California 94080</w:t>
            </w:r>
          </w:p>
        </w:tc>
      </w:tr>
      <w:tr>
        <w:trPr/>
        <w:tc>
          <w:tcPr>
            <w:tcW w:w="329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of principal executive offices)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(650) 577-3600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(Registrant</w:t>
      </w:r>
      <w:r>
        <w:rPr>
          <w:rFonts w:ascii="Times New Roman" w:hAnsi="Times New Roman"/>
          <w:caps w:val="false"/>
          <w:smallCaps w:val="false"/>
          <w:sz w:val="20"/>
        </w:rPr>
        <w:t>’</w:t>
      </w:r>
      <w:r>
        <w:rPr>
          <w:rFonts w:ascii="Times New Roman" w:hAnsi="Times New Roman"/>
          <w:i/>
          <w:caps w:val="false"/>
          <w:smallCaps w:val="false"/>
          <w:sz w:val="20"/>
        </w:rPr>
        <w: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 -12)</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 -2(b))</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 -4(c))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VTGN</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1, 2024, Vistagen Therapeutics, Inc. (the "</w:t>
      </w:r>
      <w:r>
        <w:rPr>
          <w:rFonts w:ascii="Times New Roman" w:hAnsi="Times New Roman"/>
          <w:i/>
          <w:caps w:val="false"/>
          <w:smallCaps w:val="false"/>
          <w:sz w:val="20"/>
        </w:rPr>
        <w:t>Company</w:t>
      </w:r>
      <w:r>
        <w:rPr>
          <w:rFonts w:ascii="Times New Roman" w:hAnsi="Times New Roman"/>
          <w:caps w:val="false"/>
          <w:smallCaps w:val="false"/>
          <w:sz w:val="20"/>
        </w:rPr>
        <w:t>") issued a press release to announce that it has enrolled the first patient in its PALISADE-3 Phase 3 trial of fasedienol, an investigational pherine candidate in development for the acute treatment of social anxiety disorder. A copy of the press release is attached to this Current Report on Form 8-K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 Exhibits Index</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28" w:type="dxa"/>
          <w:right w:w="0" w:type="dxa"/>
        </w:tblCellMar>
      </w:tblPr>
      <w:tblGrid>
        <w:gridCol w:w="980"/>
        <w:gridCol w:w="60"/>
        <w:gridCol w:w="6470"/>
      </w:tblGrid>
      <w:tr>
        <w:trPr/>
        <w:tc>
          <w:tcPr>
            <w:tcW w:w="9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pPr>
            <w:hyperlink w:anchor="ex_648753.htm">
              <w:r>
                <w:rPr>
                  <w:rStyle w:val="InternetLink"/>
                  <w:rFonts w:ascii="Times New Roman" w:hAnsi="Times New Roman"/>
                  <w:caps w:val="false"/>
                  <w:smallCaps w:val="false"/>
                  <w:sz w:val="20"/>
                </w:rPr>
                <w:t>Press Release issued by Vistagen Therapeutics, Inc., dated April 1, 2024.</w:t>
              </w:r>
            </w:hyperlink>
          </w:p>
        </w:tc>
      </w:tr>
      <w:tr>
        <w:trPr/>
        <w:tc>
          <w:tcPr>
            <w:tcW w:w="9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840" w:type="dxa"/>
        <w:jc w:val="left"/>
        <w:tblInd w:w="0" w:type="dxa"/>
        <w:tblLayout w:type="fixed"/>
        <w:tblCellMar>
          <w:top w:w="0" w:type="dxa"/>
          <w:left w:w="0" w:type="dxa"/>
          <w:bottom w:w="0" w:type="dxa"/>
          <w:right w:w="0" w:type="dxa"/>
        </w:tblCellMar>
      </w:tblPr>
      <w:tblGrid>
        <w:gridCol w:w="1580"/>
        <w:gridCol w:w="320"/>
        <w:gridCol w:w="1940"/>
      </w:tblGrid>
      <w:tr>
        <w:trPr/>
        <w:tc>
          <w:tcPr>
            <w:tcW w:w="1580"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w:t>
            </w:r>
          </w:p>
        </w:tc>
      </w:tr>
      <w:tr>
        <w:trPr/>
        <w:tc>
          <w:tcPr>
            <w:tcW w:w="15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April 1,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Shawn K. Singh</w:t>
            </w:r>
          </w:p>
        </w:tc>
      </w:tr>
      <w:tr>
        <w:trPr/>
        <w:tc>
          <w:tcPr>
            <w:tcW w:w="15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K. Singh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 w:name="ex_648753.htm"/>
      <w:bookmarkStart w:id="3" w:name="ksex_648753"/>
      <w:bookmarkEnd w:id="2"/>
      <w:bookmarkEnd w:id="3"/>
      <w:r>
        <w:rPr>
          <w:rFonts w:ascii="Times New Roman" w:hAnsi="Times New Roman"/>
          <w:b/>
          <w:caps w:val="false"/>
          <w:smallCaps w:val="false"/>
          <w:sz w:val="20"/>
        </w:rPr>
        <w:t xml:space="preserve">Exhibit 99.1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Vistagen Initiates PALISADE-3 Phase 3 Study of Fasedienol for the Acute Treatment of Social Anxiety Disorder following Positive Results of PALISADE-2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Key study underway in registration-directed PALISADE Phase 3 program for fasedienol</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 social anxiety disorder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Social anxiety disorder affects over 25 million Americans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SOUTH SAN FRANCISCO, Calif., April 1, 2024</w:t>
      </w:r>
      <w:r>
        <w:rPr>
          <w:rFonts w:ascii="Times New Roman" w:hAnsi="Times New Roman"/>
          <w:caps w:val="false"/>
          <w:smallCaps w:val="false"/>
          <w:sz w:val="20"/>
        </w:rPr>
        <w:t xml:space="preserve"> – Vista</w:t>
      </w:r>
      <w:r>
        <w:rPr>
          <w:rFonts w:ascii="Times New Roman" w:hAnsi="Times New Roman"/>
          <w:caps w:val="false"/>
          <w:smallCaps w:val="false"/>
          <w:sz w:val="20"/>
          <w:u w:val="single"/>
        </w:rPr>
        <w:t>gen</w:t>
      </w:r>
      <w:r>
        <w:rPr>
          <w:rFonts w:ascii="Times New Roman" w:hAnsi="Times New Roman"/>
          <w:caps w:val="false"/>
          <w:smallCaps w:val="false"/>
          <w:sz w:val="20"/>
        </w:rPr>
        <w:t xml:space="preserve"> (Nasdaq: VTGN), a late clinical-stage biopharmaceutical company pioneering neuroscience to deliver groundbreaking therapies for individuals affected by psychiatric and neurological disorders, today announced that it has enrolled the first patient in its PALISADE-3 Phase 3 trial of fasedienol, an investigational pherine candidate in development for the acute treatment of social anxiety disorder (SAD).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Initiating PALISADE-3 is another major milestone in our plan to develop and commercialize fasedienol as the first treatment of its kind for social anxiety disorder,” said Shawn Singh, Chief Executive Officer. “We look forward to initiating PALISADE-4 in the second half of this year and advancing our innovative pherine pipeline to deliver pioneering neuroscience to patients affected by mental health disorders and unsatisfied with current treatments.”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PALISADE-3, similar to PALISADE-2, is a randomized, double-blind, placebo-controlled Phase 3 study designed to evaluate the efficacy, safety, and tolerability of the acute administration of fasedienol to relieve anxiety symptoms in patients with SAD induced by a public speaking challenge conducted in a clinical setting. The primary outcome measure is the patient self-rated Subjective Units of Distress Scale (SUDS). The U.S. multi-center study is planned to randomize approximately 236 adults ages 18 through 65. Patients will be randomized in a 1:1 ratio to fasedienol or placebo. Patients who complete PALISADE-3 will have an option to enroll in an open-label extension. Vistagen plans to initiate PALISADE-4, which will be a replicate of PALISADE-3, during the second half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Fasedienol Nasal Spray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Vistagen’s fasedienol (PH94B) is a first-in-class, rapid-onset investigational pherine nasal spray with a novel proposed mechanism of action (MOA) that is differentiated from all currently approved anxiety medications, including the SSRIs and SNRI currently approved for the treatment of social anxiety disorder (SAD), as well as benzodiazepines prescribed off-label. Fasedienol’s proposed MOA regulates the olfactory-amygdala neural circuits of fear and anxiety and attenuates the tone of the sympathetic autonomic nervous system, without systemic distribution, potentiation of GABA-A receptors, or direct activity on neurons in the brain. Vistagen’s registration-directed PALISADE Phase 3 program for fasedienol is focused on the acute treatment of SAD. Fasedienol has not demonstrated any signals of abuse potential or physical dependence in any clinical trial conducted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U.S. FDA has granted Fast Track designation for the investigation of fasedienol for the acute treatment of SAD.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Social Anxiety Disorder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Social anxiety disorder (SAD) affects over 25 million Americans. A person with SAD feels intense, persistent symptoms of anxiety or fear in certain social situations, such as meeting new people, making comments in a business meeting, dating, being on a job interview, answering a question in class, or talking to a cashier in a store. Doing common, everyday things in front of people causes profound anxiety or fear of being embarrassed, evaluated, humiliated, judged, or rejected. SAD can get in the way of going to work, attending school, or doing a wide variety of things in a situation that is likely to involve interpersonal interaction. It can lead to avoidance and opportunity costs that can significantly impact a person's employment and social activities and can be very disruptive to their overall quality of life. There is no FDA-approved acute, as-needed treatment for SAD. Current FDA-approved treatments for SAD include only antidepressants, which have a slow onset of effect (several weeks), provide limited therapeutic benefits, and have known side effects that may make them unattractive to individuals affected by SAD.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Vistagen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Vistagen (Nasdaq: VTGN) is a biopharmaceutical company pioneering neuroscience to deliver groundbreaking therapies for individuals affected by psychiatric and neurological disorders. Five of Vistagen’s clinical-stage neuroscience pipeline candidates belong to a new class of drugs known as pherines, which are investigational neuroactive nasal sprays with innovative proposed mechanisms of action that activate chemosensory neurons in the nasal passages to impact fundamental neural circuitry in the brain without the need for systemic absorption or binding to receptors in the brain. Vistagen’s sixth investigational candidate is an oral prodrug with potential to modulate NMDA receptor activity. At Vistagen, we are passionate about delivering differentiated treatments that set new standards of care for people living with anxiety, depression, and other neurological disorders. Connect at </w:t>
      </w:r>
      <w:r>
        <w:rPr>
          <w:rFonts w:ascii="Times New Roman" w:hAnsi="Times New Roman"/>
          <w:caps w:val="false"/>
          <w:smallCaps w:val="false"/>
          <w:sz w:val="20"/>
          <w:u w:val="single"/>
        </w:rPr>
        <w:t>www.Vistagen.com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Forward-looking Statements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project,</w:t>
      </w:r>
      <w:r>
        <w:rPr>
          <w:rFonts w:ascii="Times New Roman" w:hAnsi="Times New Roman"/>
          <w:caps w:val="false"/>
          <w:smallCaps w:val="false"/>
          <w:sz w:val="20"/>
        </w:rPr>
        <w:t>” “</w:t>
      </w:r>
      <w:r>
        <w:rPr>
          <w:rFonts w:ascii="Times New Roman" w:hAnsi="Times New Roman"/>
          <w:i/>
          <w:caps w:val="false"/>
          <w:smallCaps w:val="false"/>
          <w:sz w:val="20"/>
        </w:rPr>
        <w:t>outlook,</w:t>
      </w:r>
      <w:r>
        <w:rPr>
          <w:rFonts w:ascii="Times New Roman" w:hAnsi="Times New Roman"/>
          <w:caps w:val="false"/>
          <w:smallCaps w:val="false"/>
          <w:sz w:val="20"/>
        </w:rPr>
        <w:t>” “</w:t>
      </w:r>
      <w:r>
        <w:rPr>
          <w:rFonts w:ascii="Times New Roman" w:hAnsi="Times New Roman"/>
          <w:i/>
          <w:caps w:val="false"/>
          <w:smallCaps w:val="false"/>
          <w:sz w:val="20"/>
        </w:rPr>
        <w:t>strategy,</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predict,</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strive,</w:t>
      </w:r>
      <w:r>
        <w:rPr>
          <w:rFonts w:ascii="Times New Roman" w:hAnsi="Times New Roman"/>
          <w:caps w:val="false"/>
          <w:smallCaps w:val="false"/>
          <w:sz w:val="20"/>
        </w:rPr>
        <w:t>” “</w:t>
      </w:r>
      <w:r>
        <w:rPr>
          <w:rFonts w:ascii="Times New Roman" w:hAnsi="Times New Roman"/>
          <w:i/>
          <w:caps w:val="false"/>
          <w:smallCaps w:val="false"/>
          <w:sz w:val="20"/>
        </w:rPr>
        <w:t>goal,</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likely,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xml:space="preserve">” </w:t>
      </w:r>
      <w:r>
        <w:rPr>
          <w:rFonts w:ascii="Times New Roman" w:hAnsi="Times New Roman"/>
          <w:i/>
          <w:caps w:val="false"/>
          <w:smallCaps w:val="false"/>
          <w:sz w:val="20"/>
        </w:rPr>
        <w:t>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w:t>
      </w:r>
      <w:r>
        <w:rPr>
          <w:rFonts w:ascii="Times New Roman" w:hAnsi="Times New Roman"/>
          <w:caps w:val="false"/>
          <w:smallCaps w:val="false"/>
          <w:sz w:val="20"/>
        </w:rPr>
        <w:t>’</w:t>
      </w:r>
      <w:r>
        <w:rPr>
          <w:rFonts w:ascii="Times New Roman" w:hAnsi="Times New Roman"/>
          <w:i/>
          <w:caps w:val="false"/>
          <w:smallCaps w:val="false"/>
          <w:sz w:val="20"/>
        </w:rPr>
        <w:t>s drug candidates will successfully complete ongoing or future clinical trials, receive regulatory approval or be commercially successful, or that the Company will be able to successfully replicate the result of past studies of its product candidates, including fasedienol, itruvone, PH80 or its other drug candidates. Other factors that may cause such a difference include, without limitation, risks and uncertainties relating to conducting and/or completing ongoing clinical trials, including PALISADE-3; launching planned clinical trials for any of our product candidates, including fasedienol; the Company</w:t>
      </w:r>
      <w:r>
        <w:rPr>
          <w:rFonts w:ascii="Times New Roman" w:hAnsi="Times New Roman"/>
          <w:caps w:val="false"/>
          <w:smallCaps w:val="false"/>
          <w:sz w:val="20"/>
        </w:rPr>
        <w:t>’</w:t>
      </w:r>
      <w:r>
        <w:rPr>
          <w:rFonts w:ascii="Times New Roman" w:hAnsi="Times New Roman"/>
          <w:i/>
          <w:caps w:val="false"/>
          <w:smallCaps w:val="false"/>
          <w:sz w:val="20"/>
        </w:rPr>
        <w:t>s submission of an U.S. NDA to the FDA for any product candidate, including fasedienol; the ability of any clinical trial information submitted by the Company to the FDA to support an U.S. NDA; the scope and enforceability of the Company</w:t>
      </w:r>
      <w:r>
        <w:rPr>
          <w:rFonts w:ascii="Times New Roman" w:hAnsi="Times New Roman"/>
          <w:caps w:val="false"/>
          <w:smallCaps w:val="false"/>
          <w:sz w:val="20"/>
        </w:rPr>
        <w:t>’</w:t>
      </w:r>
      <w:r>
        <w:rPr>
          <w:rFonts w:ascii="Times New Roman" w:hAnsi="Times New Roman"/>
          <w:i/>
          <w:caps w:val="false"/>
          <w:smallCaps w:val="false"/>
          <w:sz w:val="20"/>
        </w:rPr>
        <w:t>s patents, including patents related to the Company</w:t>
      </w:r>
      <w:r>
        <w:rPr>
          <w:rFonts w:ascii="Times New Roman" w:hAnsi="Times New Roman"/>
          <w:caps w:val="false"/>
          <w:smallCaps w:val="false"/>
          <w:sz w:val="20"/>
        </w:rPr>
        <w:t>’</w:t>
      </w:r>
      <w:r>
        <w:rPr>
          <w:rFonts w:ascii="Times New Roman" w:hAnsi="Times New Roman"/>
          <w:i/>
          <w:caps w:val="false"/>
          <w:smallCaps w:val="false"/>
          <w:sz w:val="20"/>
        </w:rPr>
        <w:t>s pherine drug candidates and AV-101; fluctuating costs of materials and other resources and services required to conduct the Company</w:t>
      </w:r>
      <w:r>
        <w:rPr>
          <w:rFonts w:ascii="Times New Roman" w:hAnsi="Times New Roman"/>
          <w:caps w:val="false"/>
          <w:smallCaps w:val="false"/>
          <w:sz w:val="20"/>
        </w:rPr>
        <w:t>’</w:t>
      </w:r>
      <w:r>
        <w:rPr>
          <w:rFonts w:ascii="Times New Roman" w:hAnsi="Times New Roman"/>
          <w:i/>
          <w:caps w:val="false"/>
          <w:smallCaps w:val="false"/>
          <w:sz w:val="20"/>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Times New Roman" w:hAnsi="Times New Roman"/>
          <w:caps w:val="false"/>
          <w:smallCaps w:val="false"/>
          <w:sz w:val="20"/>
        </w:rPr>
        <w:t>’</w:t>
      </w:r>
      <w:r>
        <w:rPr>
          <w:rFonts w:ascii="Times New Roman" w:hAnsi="Times New Roman"/>
          <w:i/>
          <w:caps w:val="false"/>
          <w:smallCaps w:val="false"/>
          <w:sz w:val="20"/>
        </w:rPr>
        <w:t xml:space="preserve">s product candidates. These risks are more fully discussed in the section entitled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the Company</w:t>
      </w:r>
      <w:r>
        <w:rPr>
          <w:rFonts w:ascii="Times New Roman" w:hAnsi="Times New Roman"/>
          <w:caps w:val="false"/>
          <w:smallCaps w:val="false"/>
          <w:sz w:val="20"/>
        </w:rPr>
        <w:t>’</w:t>
      </w:r>
      <w:r>
        <w:rPr>
          <w:rFonts w:ascii="Times New Roman" w:hAnsi="Times New Roman"/>
          <w:i/>
          <w:caps w:val="false"/>
          <w:smallCaps w:val="false"/>
          <w:sz w:val="20"/>
        </w:rPr>
        <w:t>s most recent Annual Report on Form 10-K for the fiscal year ended March 31, 2023, and in the Company</w:t>
      </w:r>
      <w:r>
        <w:rPr>
          <w:rFonts w:ascii="Times New Roman" w:hAnsi="Times New Roman"/>
          <w:caps w:val="false"/>
          <w:smallCaps w:val="false"/>
          <w:sz w:val="20"/>
        </w:rPr>
        <w:t>’</w:t>
      </w:r>
      <w:r>
        <w:rPr>
          <w:rFonts w:ascii="Times New Roman" w:hAnsi="Times New Roman"/>
          <w:i/>
          <w:caps w:val="false"/>
          <w:smallCaps w:val="false"/>
          <w:sz w:val="20"/>
        </w:rPr>
        <w:t>s Quarterly Report on Form 10-Q for the period ended December 31, 2023, as well as discussions of potential risks, uncertainties, and other important factors in our other filings with the U.S. Securities and Exchange Commission (SEC). The Company</w:t>
      </w:r>
      <w:r>
        <w:rPr>
          <w:rFonts w:ascii="Times New Roman" w:hAnsi="Times New Roman"/>
          <w:caps w:val="false"/>
          <w:smallCaps w:val="false"/>
          <w:sz w:val="20"/>
        </w:rPr>
        <w:t>’</w:t>
      </w:r>
      <w:r>
        <w:rPr>
          <w:rFonts w:ascii="Times New Roman" w:hAnsi="Times New Roman"/>
          <w:i/>
          <w:caps w:val="false"/>
          <w:smallCaps w:val="false"/>
          <w:sz w:val="20"/>
        </w:rPr>
        <w:t>s SEC filings are available on the SEC</w:t>
      </w:r>
      <w:r>
        <w:rPr>
          <w:rFonts w:ascii="Times New Roman" w:hAnsi="Times New Roman"/>
          <w:caps w:val="false"/>
          <w:smallCaps w:val="false"/>
          <w:sz w:val="20"/>
        </w:rPr>
        <w:t>’</w:t>
      </w:r>
      <w:r>
        <w:rPr>
          <w:rFonts w:ascii="Times New Roman" w:hAnsi="Times New Roman"/>
          <w:i/>
          <w:caps w:val="false"/>
          <w:smallCaps w:val="false"/>
          <w:sz w:val="20"/>
        </w:rPr>
        <w:t>s website at www.sec.gov. You should not place undue reliance on these forward-looking statements, which apply only as of the date of this press release and should not be relied upon as representing the Company</w:t>
      </w:r>
      <w:r>
        <w:rPr>
          <w:rFonts w:ascii="Times New Roman" w:hAnsi="Times New Roman"/>
          <w:caps w:val="false"/>
          <w:smallCaps w:val="false"/>
          <w:sz w:val="20"/>
        </w:rPr>
        <w:t>’</w:t>
      </w:r>
      <w:r>
        <w:rPr>
          <w:rFonts w:ascii="Times New Roman" w:hAnsi="Times New Roman"/>
          <w:i/>
          <w:caps w:val="false"/>
          <w:smallCaps w:val="false"/>
          <w:sz w:val="20"/>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McPartland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(650) 577-3606 </w:t>
        <w:br/>
      </w:r>
      <w:r>
        <w:rPr>
          <w:rFonts w:ascii="Times New Roman" w:hAnsi="Times New Roman"/>
          <w:caps w:val="false"/>
          <w:smallCaps w:val="false"/>
          <w:sz w:val="20"/>
          <w:u w:val="single"/>
        </w:rPr>
        <w:t>markmcp@vistagen.com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Media: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Caren Scannell</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(650) 577-3601</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cscannell@vistagen.com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1725</Words>
  <Characters>10067</Characters>
  <CharactersWithSpaces>11789</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