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7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7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SAXE JON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1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Warrant issued as consideration for Reporting Person's services as a Director of the Issuer.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4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the Reporting Person's continuous service, and as incentive to continue service and build shareholder value, the Warrant will vest according to the following schedule: 50% of the total number of shares on April 1, 2014 (the "Vesting Start Date"); 25% of the total number of shares on the one year anniversary of the Vesting Start Date; and 25% of the total number of shares on the two year anniversary of the Vesting Start Date; provided, however, that the Warrant shall vest in full upon a change in control of the Company, or upon the consummation by the Company and a third-party of a license or sale transaction involving at least one (1) new drug rescue variant developed by the Company.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Shawn K. Singh, Attorney-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49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2020-01-26T14:08:19Z</dcterms:created>
  <dcterms:modified xsi:type="dcterms:W3CDTF">2020-01-26T14:08:19Z</dcterms:modified>
</cp:coreProperties>
</file>