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vtgn20240529_8k.htm"/>
      <w:bookmarkStart w:id="1" w:name="ksvtgn20240529_8k"/>
      <w:bookmarkEnd w:id="0"/>
      <w:bookmarkEnd w:id="1"/>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UNITED STATES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Washington, D.C. 20549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CURRENT REPORT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PURSUANT TO SECTION 13 OR 15(d) of the SECURITIES EXCHANGE ACT OF 1934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caps w:val="false"/>
          <w:smallCaps w:val="false"/>
          <w:sz w:val="20"/>
          <w:u w:val="single"/>
        </w:rPr>
        <w:t>May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2"/>
        </w:rPr>
      </w:pPr>
      <w:r>
        <w:rPr>
          <w:rFonts w:ascii="Times New Roman" w:hAnsi="Times New Roman"/>
          <w:b/>
          <w:caps w:val="false"/>
          <w:smallCaps w:val="false"/>
          <w:sz w:val="32"/>
        </w:rPr>
        <w:t>Vistagen Therapeutics,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450" w:type="dxa"/>
        <w:jc w:val="left"/>
        <w:tblInd w:w="0" w:type="dxa"/>
        <w:tblLayout w:type="fixed"/>
        <w:tblCellMar>
          <w:top w:w="0" w:type="dxa"/>
          <w:left w:w="0" w:type="dxa"/>
          <w:bottom w:w="0" w:type="dxa"/>
          <w:right w:w="0" w:type="dxa"/>
        </w:tblCellMar>
      </w:tblPr>
      <w:tblGrid>
        <w:gridCol w:w="2360"/>
        <w:gridCol w:w="2210"/>
        <w:gridCol w:w="1880"/>
      </w:tblGrid>
      <w:tr>
        <w:trPr/>
        <w:tc>
          <w:tcPr>
            <w:tcW w:w="2360" w:type="dxa"/>
            <w:tcBorders/>
            <w:vAlign w:val="center"/>
          </w:tcPr>
          <w:p>
            <w:pPr>
              <w:pStyle w:val="TableContents"/>
              <w:bidi w:val="0"/>
              <w:spacing w:before="0" w:after="0"/>
              <w:ind w:left="0" w:right="0" w:hanging="0"/>
              <w:jc w:val="center"/>
              <w:rPr>
                <w:rFonts w:ascii="Times New Roman" w:hAnsi="Times New Roman"/>
                <w:b/>
                <w:caps/>
                <w:sz w:val="20"/>
              </w:rPr>
            </w:pPr>
            <w:r>
              <w:rPr>
                <w:rFonts w:ascii="Times New Roman" w:hAnsi="Times New Roman"/>
                <w:b/>
                <w:caps/>
                <w:sz w:val="20"/>
              </w:rPr>
              <w:t>Nevada</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000-54014</w:t>
            </w:r>
          </w:p>
        </w:tc>
        <w:tc>
          <w:tcPr>
            <w:tcW w:w="18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20-5093315</w:t>
            </w:r>
          </w:p>
        </w:tc>
      </w:tr>
      <w:tr>
        <w:trPr/>
        <w:tc>
          <w:tcPr>
            <w:tcW w:w="23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br/>
              <w:t>incorporation)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1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br/>
              <w:t>Identification Number)</w:t>
            </w:r>
          </w:p>
        </w:tc>
      </w:tr>
    </w:tbl>
    <w:p>
      <w:pPr>
        <w:pStyle w:val="TextBody"/>
        <w:bidi w:val="0"/>
        <w:spacing w:before="0" w:after="0"/>
        <w:ind w:left="0" w:right="0" w:hanging="0"/>
        <w:jc w:val="left"/>
        <w:rPr>
          <w:caps w:val="false"/>
          <w:smallCaps w:val="false"/>
        </w:rPr>
      </w:pPr>
      <w:r>
        <w:rPr>
          <w:caps w:val="false"/>
          <w:smallCaps w:val="false"/>
        </w:rPr>
        <w:t> </w:t>
      </w:r>
    </w:p>
    <w:tbl>
      <w:tblPr>
        <w:tblW w:w="3290" w:type="dxa"/>
        <w:jc w:val="left"/>
        <w:tblInd w:w="0" w:type="dxa"/>
        <w:tblLayout w:type="fixed"/>
        <w:tblCellMar>
          <w:top w:w="0" w:type="dxa"/>
          <w:left w:w="0" w:type="dxa"/>
          <w:bottom w:w="0" w:type="dxa"/>
          <w:right w:w="0" w:type="dxa"/>
        </w:tblCellMar>
      </w:tblPr>
      <w:tblGrid>
        <w:gridCol w:w="3290"/>
      </w:tblGrid>
      <w:tr>
        <w:trPr/>
        <w:tc>
          <w:tcPr>
            <w:tcW w:w="329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343 Allerton Ave.</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South San Francisco, California 94080</w:t>
            </w:r>
          </w:p>
        </w:tc>
      </w:tr>
      <w:tr>
        <w:trPr/>
        <w:tc>
          <w:tcPr>
            <w:tcW w:w="329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(650) 577-3600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 Applicable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Soliciting material pursuant to Rule 14a-12 under the Exchange Act (17 CFR 240.14a -12)</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14d-2(b) under the Exchange Act (17 CFR 240.14d -2(b))</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caps w:val="false"/>
          <w:smallCaps w:val="false"/>
          <w:sz w:val="20"/>
        </w:rPr>
        <w:t>Pre-commencement communications pursuant to Rule 13e-4(c) under the Exchange Act (17 CFR 240.13e -4(c))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500"/>
        <w:gridCol w:w="1535"/>
        <w:gridCol w:w="3575"/>
      </w:tblGrid>
      <w:tr>
        <w:trPr/>
        <w:tc>
          <w:tcPr>
            <w:tcW w:w="350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50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$0.001 per share</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VTGN</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5.07</w:t>
      </w:r>
      <w:r>
        <w:rPr>
          <w:rFonts w:ascii="Times New Roman" w:hAnsi="Times New Roman"/>
          <w:caps w:val="false"/>
          <w:smallCaps w:val="false"/>
          <w:sz w:val="20"/>
        </w:rPr>
        <w:t xml:space="preserve">  </w:t>
      </w:r>
      <w:r>
        <w:rPr>
          <w:rFonts w:ascii="Times New Roman" w:hAnsi="Times New Roman"/>
          <w:b/>
          <w:caps w:val="false"/>
          <w:smallCaps w:val="false"/>
          <w:sz w:val="20"/>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29, 2024, Vistagen Therapeutics, Inc. (the “</w:t>
      </w:r>
      <w:r>
        <w:rPr>
          <w:rFonts w:ascii="Times New Roman" w:hAnsi="Times New Roman"/>
          <w:i/>
          <w:caps w:val="false"/>
          <w:smallCaps w:val="false"/>
          <w:sz w:val="20"/>
        </w:rPr>
        <w:t>Company</w:t>
      </w:r>
      <w:r>
        <w:rPr>
          <w:rFonts w:ascii="Times New Roman" w:hAnsi="Times New Roman"/>
          <w:caps w:val="false"/>
          <w:smallCaps w:val="false"/>
          <w:sz w:val="20"/>
        </w:rPr>
        <w:t>”) held a special meeting of stockholders (the “</w:t>
      </w:r>
      <w:r>
        <w:rPr>
          <w:rFonts w:ascii="Times New Roman" w:hAnsi="Times New Roman"/>
          <w:i/>
          <w:caps w:val="false"/>
          <w:smallCaps w:val="false"/>
          <w:sz w:val="20"/>
        </w:rPr>
        <w:t>Special Meeting</w:t>
      </w:r>
      <w:r>
        <w:rPr>
          <w:rFonts w:ascii="Times New Roman" w:hAnsi="Times New Roman"/>
          <w:caps w:val="false"/>
          <w:smallCaps w:val="false"/>
          <w:sz w:val="20"/>
        </w:rPr>
        <w:t>”). As set forth below, the Company’s stockholders approved the two matters voted upon at the Special Meeting: (i) an amendment to the Company’s Amended and Restated 2019 Omnibus Equity Incentive Plan (the “</w:t>
      </w:r>
      <w:r>
        <w:rPr>
          <w:rFonts w:ascii="Times New Roman" w:hAnsi="Times New Roman"/>
          <w:i/>
          <w:caps w:val="false"/>
          <w:smallCaps w:val="false"/>
          <w:sz w:val="20"/>
        </w:rPr>
        <w:t>2019 Plan</w:t>
      </w:r>
      <w:r>
        <w:rPr>
          <w:rFonts w:ascii="Times New Roman" w:hAnsi="Times New Roman"/>
          <w:caps w:val="false"/>
          <w:smallCaps w:val="false"/>
          <w:sz w:val="20"/>
        </w:rPr>
        <w:t>”); and (ii) an amendment to the Company’s 2019 Employee Stock Purchase Plan (“</w:t>
      </w:r>
      <w:r>
        <w:rPr>
          <w:rFonts w:ascii="Times New Roman" w:hAnsi="Times New Roman"/>
          <w:i/>
          <w:caps w:val="false"/>
          <w:smallCaps w:val="false"/>
          <w:sz w:val="20"/>
        </w:rPr>
        <w:t>2019 ESPP</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matters voted upon at the Special Meeting and the results of the voting at the Special Meeting are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Proposal No. 1 </w:t>
      </w:r>
      <w:r>
        <w:rPr>
          <w:rFonts w:ascii="Times New Roman" w:hAnsi="Times New Roman"/>
          <w:caps w:val="false"/>
          <w:smallCaps w:val="false"/>
          <w:sz w:val="20"/>
        </w:rPr>
        <w:t>–</w:t>
      </w:r>
      <w:r>
        <w:rPr>
          <w:rFonts w:ascii="Times New Roman" w:hAnsi="Times New Roman"/>
          <w:i/>
          <w:caps w:val="false"/>
          <w:smallCaps w:val="false"/>
          <w:sz w:val="20"/>
        </w:rPr>
        <w:t xml:space="preserve">Amendment to the Vistagen Therapeutics, Inc. Amended and Restated 2019 Omnibus Equity Incentive Plan </w:t>
      </w:r>
    </w:p>
    <w:p>
      <w:pPr>
        <w:pStyle w:val="TextBody"/>
        <w:bidi w:val="0"/>
        <w:spacing w:before="0" w:after="0"/>
        <w:ind w:left="0" w:right="0" w:hanging="0"/>
        <w:jc w:val="left"/>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2765"/>
        <w:gridCol w:w="60"/>
        <w:gridCol w:w="950"/>
        <w:gridCol w:w="60"/>
        <w:gridCol w:w="60"/>
        <w:gridCol w:w="695"/>
        <w:gridCol w:w="60"/>
        <w:gridCol w:w="60"/>
        <w:gridCol w:w="845"/>
        <w:gridCol w:w="6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Votes Cast</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12,731,981</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69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730,584</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84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2,072,262</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 (%) of Votes Received</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82.0%</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69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4.7%</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84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vote required to approve an amendment to the 2019 Plan (the “</w:t>
      </w:r>
      <w:r>
        <w:rPr>
          <w:rFonts w:ascii="Times New Roman" w:hAnsi="Times New Roman"/>
          <w:i/>
          <w:caps w:val="false"/>
          <w:smallCaps w:val="false"/>
          <w:sz w:val="20"/>
        </w:rPr>
        <w:t>2019 Plan</w:t>
      </w:r>
      <w:r>
        <w:rPr>
          <w:rFonts w:ascii="Times New Roman" w:hAnsi="Times New Roman"/>
          <w:caps w:val="false"/>
          <w:smallCaps w:val="false"/>
          <w:sz w:val="20"/>
        </w:rPr>
        <w:t xml:space="preserve"> </w:t>
      </w:r>
      <w:r>
        <w:rPr>
          <w:rFonts w:ascii="Times New Roman" w:hAnsi="Times New Roman"/>
          <w:i/>
          <w:caps w:val="false"/>
          <w:smallCaps w:val="false"/>
          <w:sz w:val="20"/>
        </w:rPr>
        <w:t>Amendment</w:t>
      </w:r>
      <w:r>
        <w:rPr>
          <w:rFonts w:ascii="Times New Roman" w:hAnsi="Times New Roman"/>
          <w:caps w:val="false"/>
          <w:smallCaps w:val="false"/>
          <w:sz w:val="20"/>
        </w:rPr>
        <w:t>”), which 2019 Plan Amendment increases the number of shares of the Company’s common stock, par value $0.001 per share (“</w:t>
      </w:r>
      <w:r>
        <w:rPr>
          <w:rFonts w:ascii="Times New Roman" w:hAnsi="Times New Roman"/>
          <w:i/>
          <w:caps w:val="false"/>
          <w:smallCaps w:val="false"/>
          <w:sz w:val="20"/>
        </w:rPr>
        <w:t>Common Stock</w:t>
      </w:r>
      <w:r>
        <w:rPr>
          <w:rFonts w:ascii="Times New Roman" w:hAnsi="Times New Roman"/>
          <w:caps w:val="false"/>
          <w:smallCaps w:val="false"/>
          <w:sz w:val="20"/>
        </w:rPr>
        <w:t>”), authorized for issuance thereunder from 1,000,000 shares to 5,000,000 shares, was the affirmative vote of a majority of the votes cast on the proposal. Accordingly, the Company’s stockholders duly approved the 2019 Plan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Proposal No.2 </w:t>
      </w:r>
      <w:r>
        <w:rPr>
          <w:rFonts w:ascii="Times New Roman" w:hAnsi="Times New Roman"/>
          <w:caps w:val="false"/>
          <w:smallCaps w:val="false"/>
          <w:sz w:val="20"/>
        </w:rPr>
        <w:t>–</w:t>
      </w:r>
      <w:r>
        <w:rPr>
          <w:rFonts w:ascii="Times New Roman" w:hAnsi="Times New Roman"/>
          <w:i/>
          <w:caps w:val="false"/>
          <w:smallCaps w:val="false"/>
          <w:sz w:val="20"/>
        </w:rPr>
        <w:t>Amendment to the Vistagen Therapeutics, Inc. 2019 Employee Stock Purchase Plan</w:t>
      </w:r>
    </w:p>
    <w:p>
      <w:pPr>
        <w:pStyle w:val="TextBody"/>
        <w:bidi w:val="0"/>
        <w:spacing w:before="0" w:after="0"/>
        <w:ind w:left="0" w:right="0" w:hanging="0"/>
        <w:jc w:val="left"/>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2765"/>
        <w:gridCol w:w="60"/>
        <w:gridCol w:w="950"/>
        <w:gridCol w:w="60"/>
        <w:gridCol w:w="60"/>
        <w:gridCol w:w="695"/>
        <w:gridCol w:w="60"/>
        <w:gridCol w:w="60"/>
        <w:gridCol w:w="845"/>
        <w:gridCol w:w="60"/>
      </w:tblGrid>
      <w:tr>
        <w:trPr/>
        <w:tc>
          <w:tcPr>
            <w:tcW w:w="2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Abstain</w:t>
            </w:r>
          </w:p>
        </w:tc>
        <w:tc>
          <w:tcPr>
            <w:tcW w:w="60" w:type="dxa"/>
            <w:tcBorders/>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Votes Cast</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12,788,811</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69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670,714</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84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2,075,302</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 (%) of Votes Received</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82.3%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69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84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13.4%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vote required to approve an amendment to the 2019 ESPP (the “</w:t>
      </w:r>
      <w:r>
        <w:rPr>
          <w:rFonts w:ascii="Times New Roman" w:hAnsi="Times New Roman"/>
          <w:i/>
          <w:caps w:val="false"/>
          <w:smallCaps w:val="false"/>
          <w:sz w:val="20"/>
        </w:rPr>
        <w:t>2019 ESP</w:t>
      </w:r>
      <w:r>
        <w:rPr>
          <w:rFonts w:ascii="Times New Roman" w:hAnsi="Times New Roman"/>
          <w:caps w:val="false"/>
          <w:smallCaps w:val="false"/>
          <w:sz w:val="20"/>
        </w:rPr>
        <w:t xml:space="preserve">P </w:t>
      </w:r>
      <w:r>
        <w:rPr>
          <w:rFonts w:ascii="Times New Roman" w:hAnsi="Times New Roman"/>
          <w:i/>
          <w:caps w:val="false"/>
          <w:smallCaps w:val="false"/>
          <w:sz w:val="20"/>
        </w:rPr>
        <w:t>Amendment</w:t>
      </w:r>
      <w:r>
        <w:rPr>
          <w:rFonts w:ascii="Times New Roman" w:hAnsi="Times New Roman"/>
          <w:caps w:val="false"/>
          <w:smallCaps w:val="false"/>
          <w:sz w:val="20"/>
        </w:rPr>
        <w:t>”), which 2019 ESPP Amendment increases the number of shares of the Company’s Common Stock authorized for issuance thereunder from 33,334 shares to 1,000,000 shares, was the affirmative vote of a majority of the votes cast on the proposal. Accordingly, the Company’s stockholders duly approved the 2019 ESPP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more information about the foregoing proposals, please review the Company’s definitive proxy statement, filed with the SEC on April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00" w:type="dxa"/>
        <w:jc w:val="left"/>
        <w:tblInd w:w="0" w:type="dxa"/>
        <w:tblLayout w:type="fixed"/>
        <w:tblCellMar>
          <w:top w:w="0" w:type="dxa"/>
          <w:left w:w="0" w:type="dxa"/>
          <w:bottom w:w="0" w:type="dxa"/>
          <w:right w:w="0" w:type="dxa"/>
        </w:tblCellMar>
      </w:tblPr>
      <w:tblGrid>
        <w:gridCol w:w="1640"/>
        <w:gridCol w:w="320"/>
        <w:gridCol w:w="1940"/>
      </w:tblGrid>
      <w:tr>
        <w:trPr/>
        <w:tc>
          <w:tcPr>
            <w:tcW w:w="1640"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Vistagen Therapeutics, Inc.</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31, 2024</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9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 Shawn K. Singh</w:t>
            </w:r>
          </w:p>
        </w:tc>
      </w:tr>
      <w:tr>
        <w:trPr/>
        <w:tc>
          <w:tcPr>
            <w:tcW w:w="164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Shawn K. Singh, JD</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3655</Characters>
  <CharactersWithSpaces>4337</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