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1460"/>
        <w:spacing w:after="0"/>
        <w:tabs>
          <w:tab w:leader="none" w:pos="4680" w:val="left"/>
          <w:tab w:leader="none" w:pos="5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-10160</wp:posOffset>
            </wp:positionV>
            <wp:extent cx="1263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001-37761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VistaGen Therapeutics,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2260" w:type="dxa"/>
        <w:tblCellMar>
          <w:top w:w="0" w:type="dxa"/>
          <w:left w:w="0" w:type="dxa"/>
          <w:bottom w:w="0" w:type="dxa"/>
          <w:right w:w="0" w:type="dxa"/>
        </w:tblCellMar>
      </w:tblPr>
      <w:tr>
        <w:trPr>
          <w:trHeight w:val="222"/>
        </w:trPr>
        <w:tc>
          <w:tcPr>
            <w:tcW w:w="3760" w:type="dxa"/>
            <w:vAlign w:val="bottom"/>
          </w:tcPr>
          <w:p>
            <w:pPr>
              <w:jc w:val="center"/>
              <w:ind w:right="1512"/>
              <w:spacing w:after="0"/>
              <w:rPr>
                <w:sz w:val="20"/>
                <w:szCs w:val="20"/>
                <w:color w:val="auto"/>
              </w:rPr>
            </w:pPr>
            <w:r>
              <w:rPr>
                <w:rFonts w:ascii="Arial" w:cs="Arial" w:eastAsia="Arial" w:hAnsi="Arial"/>
                <w:sz w:val="18"/>
                <w:szCs w:val="18"/>
                <w:b w:val="1"/>
                <w:bCs w:val="1"/>
                <w:color w:val="auto"/>
                <w:w w:val="87"/>
              </w:rPr>
              <w:t>Nevada</w:t>
            </w:r>
          </w:p>
        </w:tc>
        <w:tc>
          <w:tcPr>
            <w:tcW w:w="2900" w:type="dxa"/>
            <w:vAlign w:val="bottom"/>
          </w:tcPr>
          <w:p>
            <w:pPr>
              <w:jc w:val="center"/>
              <w:ind w:left="1512"/>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3760" w:type="dxa"/>
            <w:vAlign w:val="bottom"/>
          </w:tcPr>
          <w:p>
            <w:pPr>
              <w:jc w:val="center"/>
              <w:ind w:right="1492"/>
              <w:spacing w:after="0"/>
              <w:rPr>
                <w:sz w:val="20"/>
                <w:szCs w:val="20"/>
                <w:color w:val="auto"/>
              </w:rPr>
            </w:pPr>
            <w:r>
              <w:rPr>
                <w:rFonts w:ascii="Arial" w:cs="Arial" w:eastAsia="Arial" w:hAnsi="Arial"/>
                <w:sz w:val="18"/>
                <w:szCs w:val="18"/>
                <w:i w:val="1"/>
                <w:iCs w:val="1"/>
                <w:color w:val="auto"/>
                <w:w w:val="91"/>
              </w:rPr>
              <w:t>(State or other jurisdiction of</w:t>
            </w:r>
          </w:p>
        </w:tc>
        <w:tc>
          <w:tcPr>
            <w:tcW w:w="2900" w:type="dxa"/>
            <w:vAlign w:val="bottom"/>
          </w:tcPr>
          <w:p>
            <w:pPr>
              <w:jc w:val="center"/>
              <w:ind w:left="151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3760" w:type="dxa"/>
            <w:vAlign w:val="bottom"/>
          </w:tcPr>
          <w:p>
            <w:pPr>
              <w:jc w:val="center"/>
              <w:ind w:right="1512"/>
              <w:spacing w:after="0"/>
              <w:rPr>
                <w:sz w:val="20"/>
                <w:szCs w:val="20"/>
                <w:color w:val="auto"/>
              </w:rPr>
            </w:pPr>
            <w:r>
              <w:rPr>
                <w:rFonts w:ascii="Arial" w:cs="Arial" w:eastAsia="Arial" w:hAnsi="Arial"/>
                <w:sz w:val="18"/>
                <w:szCs w:val="18"/>
                <w:i w:val="1"/>
                <w:iCs w:val="1"/>
                <w:color w:val="auto"/>
                <w:w w:val="92"/>
              </w:rPr>
              <w:t>incorporation or organization)</w:t>
            </w:r>
          </w:p>
        </w:tc>
        <w:tc>
          <w:tcPr>
            <w:tcW w:w="2900" w:type="dxa"/>
            <w:vAlign w:val="bottom"/>
          </w:tcPr>
          <w:p>
            <w:pPr>
              <w:jc w:val="center"/>
              <w:ind w:left="151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3240" w:type="dxa"/>
            <w:vAlign w:val="bottom"/>
            <w:vMerge w:val="restart"/>
          </w:tcPr>
          <w:p>
            <w:pPr>
              <w:spacing w:after="0"/>
              <w:rPr>
                <w:sz w:val="20"/>
                <w:szCs w:val="20"/>
                <w:color w:val="auto"/>
              </w:rPr>
            </w:pPr>
            <w:r>
              <w:rPr>
                <w:rFonts w:ascii="Arial" w:cs="Arial" w:eastAsia="Arial" w:hAnsi="Arial"/>
                <w:sz w:val="18"/>
                <w:szCs w:val="18"/>
                <w:color w:val="auto"/>
                <w:w w:val="89"/>
              </w:rPr>
              <w:t>(do not check if a smaller reporting company)</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9, 2017, 11,698,974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80" w:type="dxa"/>
            <w:vAlign w:val="bottom"/>
            <w:gridSpan w:val="9"/>
          </w:tcPr>
          <w:p>
            <w:pPr>
              <w:ind w:left="44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19"/>
                <w:szCs w:val="19"/>
                <w:color w:val="auto"/>
              </w:rPr>
            </w:pPr>
          </w:p>
        </w:tc>
      </w:tr>
      <w:tr>
        <w:trPr>
          <w:trHeight w:val="495"/>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Page</w:t>
            </w:r>
          </w:p>
        </w:tc>
      </w:tr>
      <w:tr>
        <w:trPr>
          <w:trHeight w:val="241"/>
        </w:trPr>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0" w:type="dxa"/>
            <w:vAlign w:val="bottom"/>
            <w:gridSpan w:val="10"/>
          </w:tcPr>
          <w:p>
            <w:pPr>
              <w:jc w:val="center"/>
              <w:ind w:right="2660"/>
              <w:spacing w:after="0"/>
              <w:rPr>
                <w:sz w:val="20"/>
                <w:szCs w:val="20"/>
                <w:color w:val="auto"/>
              </w:rPr>
            </w:pPr>
            <w:r>
              <w:rPr>
                <w:rFonts w:ascii="Arial" w:cs="Arial" w:eastAsia="Arial" w:hAnsi="Arial"/>
                <w:sz w:val="18"/>
                <w:szCs w:val="18"/>
                <w:b w:val="1"/>
                <w:bCs w:val="1"/>
                <w:color w:val="auto"/>
                <w:w w:val="99"/>
              </w:rPr>
              <w:t>PART I. FINANCIAL INFORMATION</w:t>
            </w:r>
          </w:p>
        </w:tc>
        <w:tc>
          <w:tcPr>
            <w:tcW w:w="1020" w:type="dxa"/>
            <w:vAlign w:val="bottom"/>
          </w:tcPr>
          <w:p>
            <w:pPr>
              <w:spacing w:after="0"/>
              <w:rPr>
                <w:sz w:val="20"/>
                <w:szCs w:val="20"/>
                <w:color w:val="auto"/>
              </w:rPr>
            </w:pPr>
          </w:p>
        </w:tc>
      </w:tr>
      <w:tr>
        <w:trPr>
          <w:trHeight w:val="448"/>
        </w:trPr>
        <w:tc>
          <w:tcPr>
            <w:tcW w:w="600" w:type="dxa"/>
            <w:vAlign w:val="bottom"/>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120" w:type="dxa"/>
            <w:vAlign w:val="bottom"/>
          </w:tcPr>
          <w:p>
            <w:pPr>
              <w:spacing w:after="0"/>
              <w:rPr>
                <w:sz w:val="24"/>
                <w:szCs w:val="24"/>
                <w:color w:val="auto"/>
              </w:rPr>
            </w:pPr>
          </w:p>
        </w:tc>
        <w:tc>
          <w:tcPr>
            <w:tcW w:w="968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1020" w:type="dxa"/>
            <w:vAlign w:val="bottom"/>
          </w:tcPr>
          <w:p>
            <w:pPr>
              <w:spacing w:after="0"/>
              <w:rPr>
                <w:sz w:val="24"/>
                <w:szCs w:val="24"/>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600" w:type="dxa"/>
            <w:vAlign w:val="bottom"/>
            <w:shd w:val="clear" w:color="auto" w:fill="CCEEFF"/>
          </w:tcPr>
          <w:p>
            <w:pPr>
              <w:spacing w:after="0"/>
              <w:rPr>
                <w:sz w:val="17"/>
                <w:szCs w:val="17"/>
                <w:color w:val="auto"/>
              </w:rPr>
            </w:pPr>
          </w:p>
        </w:tc>
        <w:tc>
          <w:tcPr>
            <w:tcW w:w="9800" w:type="dxa"/>
            <w:vAlign w:val="bottom"/>
            <w:gridSpan w:val="19"/>
            <w:shd w:val="clear" w:color="auto" w:fill="CCEEFF"/>
          </w:tcPr>
          <w:p>
            <w:pPr>
              <w:ind w:left="1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2017 and March 31, 2017</w:t>
              </w:r>
            </w:hyperlink>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00" w:type="dxa"/>
            <w:vAlign w:val="bottom"/>
          </w:tcPr>
          <w:p>
            <w:pPr>
              <w:spacing w:after="0"/>
              <w:rPr>
                <w:sz w:val="17"/>
                <w:szCs w:val="17"/>
                <w:color w:val="auto"/>
              </w:rPr>
            </w:pPr>
          </w:p>
        </w:tc>
        <w:tc>
          <w:tcPr>
            <w:tcW w:w="9800" w:type="dxa"/>
            <w:vAlign w:val="bottom"/>
            <w:gridSpan w:val="19"/>
          </w:tcPr>
          <w:p>
            <w:pPr>
              <w:ind w:left="120"/>
              <w:spacing w:after="0" w:line="202"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Loss for the three and six months ended September 30, 2017 and</w:t>
              </w:r>
            </w:hyperlink>
          </w:p>
        </w:tc>
        <w:tc>
          <w:tcPr>
            <w:tcW w:w="102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0000EE"/>
            </w:tcBorders>
            <w:gridSpan w:val="3"/>
          </w:tcPr>
          <w:p>
            <w:pPr>
              <w:ind w:left="10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2016</w:t>
              </w:r>
            </w:hyperlink>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r>
      <w:tr>
        <w:trPr>
          <w:trHeight w:val="21"/>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600" w:type="dxa"/>
            <w:vAlign w:val="bottom"/>
            <w:shd w:val="clear" w:color="auto" w:fill="CCEEFF"/>
          </w:tcPr>
          <w:p>
            <w:pPr>
              <w:spacing w:after="0"/>
              <w:rPr>
                <w:sz w:val="17"/>
                <w:szCs w:val="17"/>
                <w:color w:val="auto"/>
              </w:rPr>
            </w:pPr>
          </w:p>
        </w:tc>
        <w:tc>
          <w:tcPr>
            <w:tcW w:w="9800" w:type="dxa"/>
            <w:vAlign w:val="bottom"/>
            <w:gridSpan w:val="19"/>
            <w:shd w:val="clear" w:color="auto" w:fill="CCEEFF"/>
          </w:tcPr>
          <w:p>
            <w:pPr>
              <w:ind w:left="1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September 30, 2017 and 2016</w:t>
              </w:r>
            </w:hyperlink>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600" w:type="dxa"/>
            <w:vAlign w:val="bottom"/>
          </w:tcPr>
          <w:p>
            <w:pPr>
              <w:spacing w:after="0"/>
              <w:rPr>
                <w:sz w:val="17"/>
                <w:szCs w:val="17"/>
                <w:color w:val="auto"/>
              </w:rPr>
            </w:pPr>
          </w:p>
        </w:tc>
        <w:tc>
          <w:tcPr>
            <w:tcW w:w="9800" w:type="dxa"/>
            <w:vAlign w:val="bottom"/>
            <w:gridSpan w:val="19"/>
          </w:tcPr>
          <w:p>
            <w:pPr>
              <w:ind w:left="1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r>
      <w:tr>
        <w:trPr>
          <w:trHeight w:val="21"/>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10400" w:type="dxa"/>
            <w:vAlign w:val="bottom"/>
            <w:gridSpan w:val="20"/>
            <w:shd w:val="clear" w:color="auto" w:fill="CCEEFF"/>
          </w:tcPr>
          <w:p>
            <w:pPr>
              <w:spacing w:after="0" w:line="202" w:lineRule="exact"/>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13</w:t>
            </w:r>
          </w:p>
        </w:tc>
      </w:tr>
      <w:tr>
        <w:trPr>
          <w:trHeight w:val="203"/>
        </w:trPr>
        <w:tc>
          <w:tcPr>
            <w:tcW w:w="7020" w:type="dxa"/>
            <w:vAlign w:val="bottom"/>
            <w:tcBorders>
              <w:top w:val="single" w:sz="8" w:color="0000EE"/>
            </w:tcBorders>
            <w:gridSpan w:val="16"/>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3380" w:type="dxa"/>
            <w:vAlign w:val="bottom"/>
            <w:tcBorders>
              <w:top w:val="single" w:sz="8" w:color="CCEEFF"/>
            </w:tcBorders>
            <w:gridSpan w:val="4"/>
          </w:tcPr>
          <w:p>
            <w:pPr>
              <w:spacing w:after="0"/>
              <w:rPr>
                <w:sz w:val="17"/>
                <w:szCs w:val="17"/>
                <w:color w:val="auto"/>
              </w:rPr>
            </w:pPr>
          </w:p>
        </w:tc>
        <w:tc>
          <w:tcPr>
            <w:tcW w:w="1020" w:type="dxa"/>
            <w:vAlign w:val="bottom"/>
            <w:tcBorders>
              <w:top w:val="single" w:sz="8" w:color="CCEEFF"/>
            </w:tcBorders>
          </w:tcPr>
          <w:p>
            <w:pPr>
              <w:jc w:val="center"/>
              <w:spacing w:after="0" w:line="202" w:lineRule="exact"/>
              <w:rPr>
                <w:sz w:val="20"/>
                <w:szCs w:val="20"/>
                <w:color w:val="auto"/>
              </w:rPr>
            </w:pPr>
            <w:r>
              <w:rPr>
                <w:rFonts w:ascii="Arial" w:cs="Arial" w:eastAsia="Arial" w:hAnsi="Arial"/>
                <w:sz w:val="18"/>
                <w:szCs w:val="18"/>
                <w:color w:val="auto"/>
                <w:w w:val="89"/>
              </w:rPr>
              <w:t>26</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3"/>
        </w:trPr>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03"/>
        </w:trPr>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0" w:type="dxa"/>
            <w:vAlign w:val="bottom"/>
            <w:gridSpan w:val="10"/>
          </w:tcPr>
          <w:p>
            <w:pPr>
              <w:jc w:val="center"/>
              <w:ind w:right="2660"/>
              <w:spacing w:after="0" w:line="202"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1020" w:type="dxa"/>
            <w:vAlign w:val="bottom"/>
          </w:tcPr>
          <w:p>
            <w:pPr>
              <w:spacing w:after="0"/>
              <w:rPr>
                <w:sz w:val="17"/>
                <w:szCs w:val="17"/>
                <w:color w:val="auto"/>
              </w:rPr>
            </w:pPr>
          </w:p>
        </w:tc>
      </w:tr>
      <w:tr>
        <w:trPr>
          <w:trHeight w:val="21"/>
        </w:trPr>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3"/>
        </w:trPr>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03"/>
        </w:trPr>
        <w:tc>
          <w:tcPr>
            <w:tcW w:w="600" w:type="dxa"/>
            <w:vAlign w:val="bottom"/>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1.</w:t>
              </w:r>
            </w:hyperlink>
          </w:p>
        </w:tc>
        <w:tc>
          <w:tcPr>
            <w:tcW w:w="120" w:type="dxa"/>
            <w:vAlign w:val="bottom"/>
          </w:tcPr>
          <w:p>
            <w:pPr>
              <w:spacing w:after="0"/>
              <w:rPr>
                <w:sz w:val="17"/>
                <w:szCs w:val="17"/>
                <w:color w:val="auto"/>
              </w:rPr>
            </w:pPr>
          </w:p>
        </w:tc>
        <w:tc>
          <w:tcPr>
            <w:tcW w:w="9680" w:type="dxa"/>
            <w:vAlign w:val="bottom"/>
            <w:gridSpan w:val="18"/>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89"/>
              </w:rPr>
              <w:t>27</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3"/>
        </w:trPr>
        <w:tc>
          <w:tcPr>
            <w:tcW w:w="10400" w:type="dxa"/>
            <w:vAlign w:val="bottom"/>
            <w:gridSpan w:val="20"/>
            <w:shd w:val="clear" w:color="auto" w:fill="CCEEFF"/>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Item 1A. Risk Factors</w:t>
              </w:r>
            </w:hyperlink>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27</w:t>
            </w:r>
          </w:p>
        </w:tc>
      </w:tr>
      <w:tr>
        <w:trPr>
          <w:trHeight w:val="21"/>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10400" w:type="dxa"/>
            <w:vAlign w:val="bottom"/>
            <w:gridSpan w:val="20"/>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2.   Unregistered Sales of Equity Securities and Use of Proceeds</w:t>
              </w:r>
            </w:hyperlink>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89"/>
              </w:rPr>
              <w:t>59</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3"/>
        </w:trPr>
        <w:tc>
          <w:tcPr>
            <w:tcW w:w="600" w:type="dxa"/>
            <w:vAlign w:val="bottom"/>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3.</w:t>
              </w:r>
            </w:hyperlink>
          </w:p>
        </w:tc>
        <w:tc>
          <w:tcPr>
            <w:tcW w:w="120" w:type="dxa"/>
            <w:vAlign w:val="bottom"/>
            <w:shd w:val="clear" w:color="auto" w:fill="CCEEFF"/>
          </w:tcPr>
          <w:p>
            <w:pPr>
              <w:spacing w:after="0"/>
              <w:rPr>
                <w:sz w:val="19"/>
                <w:szCs w:val="19"/>
                <w:color w:val="auto"/>
              </w:rPr>
            </w:pPr>
          </w:p>
        </w:tc>
        <w:tc>
          <w:tcPr>
            <w:tcW w:w="9680" w:type="dxa"/>
            <w:vAlign w:val="bottom"/>
            <w:gridSpan w:val="18"/>
            <w:shd w:val="clear" w:color="auto" w:fill="CCEEFF"/>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Defaults Upon Senior Secured Securities</w:t>
              </w:r>
            </w:hyperlink>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59</w:t>
            </w:r>
          </w:p>
        </w:tc>
      </w:tr>
      <w:tr>
        <w:trPr>
          <w:trHeight w:val="203"/>
        </w:trPr>
        <w:tc>
          <w:tcPr>
            <w:tcW w:w="600" w:type="dxa"/>
            <w:vAlign w:val="bottom"/>
            <w:tcBorders>
              <w:top w:val="single" w:sz="8" w:color="0000EE"/>
            </w:tcBorders>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Item 6.</w:t>
              </w:r>
            </w:hyperlink>
          </w:p>
        </w:tc>
        <w:tc>
          <w:tcPr>
            <w:tcW w:w="12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gridSpan w:val="8"/>
          </w:tcPr>
          <w:p>
            <w:pPr>
              <w:spacing w:after="0" w:line="202" w:lineRule="exact"/>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6800" w:type="dxa"/>
            <w:vAlign w:val="bottom"/>
            <w:tcBorders>
              <w:top w:val="single" w:sz="8" w:color="CCEEFF"/>
            </w:tcBorders>
            <w:gridSpan w:val="10"/>
          </w:tcPr>
          <w:p>
            <w:pPr>
              <w:spacing w:after="0"/>
              <w:rPr>
                <w:sz w:val="17"/>
                <w:szCs w:val="17"/>
                <w:color w:val="auto"/>
              </w:rPr>
            </w:pPr>
          </w:p>
        </w:tc>
        <w:tc>
          <w:tcPr>
            <w:tcW w:w="1020" w:type="dxa"/>
            <w:vAlign w:val="bottom"/>
            <w:tcBorders>
              <w:top w:val="single" w:sz="8" w:color="CCEEFF"/>
            </w:tcBorders>
          </w:tcPr>
          <w:p>
            <w:pPr>
              <w:jc w:val="center"/>
              <w:spacing w:after="0" w:line="202" w:lineRule="exact"/>
              <w:rPr>
                <w:sz w:val="20"/>
                <w:szCs w:val="20"/>
                <w:color w:val="auto"/>
              </w:rPr>
            </w:pPr>
            <w:r>
              <w:rPr>
                <w:rFonts w:ascii="Arial" w:cs="Arial" w:eastAsia="Arial" w:hAnsi="Arial"/>
                <w:sz w:val="18"/>
                <w:szCs w:val="18"/>
                <w:color w:val="auto"/>
                <w:w w:val="89"/>
              </w:rPr>
              <w:t>59</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43"/>
        </w:trPr>
        <w:tc>
          <w:tcPr>
            <w:tcW w:w="720" w:type="dxa"/>
            <w:vAlign w:val="bottom"/>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03"/>
        </w:trPr>
        <w:tc>
          <w:tcPr>
            <w:tcW w:w="10400" w:type="dxa"/>
            <w:vAlign w:val="bottom"/>
            <w:gridSpan w:val="20"/>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102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60</w:t>
            </w:r>
          </w:p>
        </w:tc>
      </w:tr>
      <w:tr>
        <w:trPr>
          <w:trHeight w:val="676"/>
        </w:trPr>
        <w:tc>
          <w:tcPr>
            <w:tcW w:w="6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w w:val="87"/>
              </w:rPr>
              <w:t>(Unaudited)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right"/>
              <w:ind w:right="4032"/>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563,300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2,617,500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jc w:val="right"/>
              <w:ind w:right="2012"/>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1,151,000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867,300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Current notes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Deferred rent liability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4,289,100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w w:val="98"/>
              </w:rPr>
              <w:t>Preferred stock, $0.001 par value; 10,000,000 shares authorized at September 30, 2017 and March 31, 2017: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2"/>
              </w:rPr>
              <w:t>Series A Preferred, 500,000 shares authorized, issued and outstanding at September 30, 2017 and March 31, 2017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w w:val="89"/>
              </w:rPr>
              <w:t>Series B Preferred; 4,000,000 shares authorized at September 30, 2017 and March 31, 2017; 1,160,240 shares issued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jc w:val="right"/>
              <w:ind w:right="4032"/>
              <w:spacing w:after="0"/>
              <w:rPr>
                <w:sz w:val="20"/>
                <w:szCs w:val="20"/>
                <w:color w:val="auto"/>
              </w:rPr>
            </w:pPr>
            <w:r>
              <w:rPr>
                <w:rFonts w:ascii="Arial" w:cs="Arial" w:eastAsia="Arial" w:hAnsi="Arial"/>
                <w:sz w:val="18"/>
                <w:szCs w:val="18"/>
                <w:color w:val="auto"/>
                <w:w w:val="96"/>
              </w:rPr>
              <w:t>and outstanding at September 30, 2017 and March 31, 2017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9"/>
              </w:rPr>
              <w:t>Series C Preferred; 3,000,000 shares authorized at September 30, 2017 and March 31, 2017; 2,318,012 shares issued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gridSpan w:val="2"/>
            <w:shd w:val="clear" w:color="auto" w:fill="CCEEFF"/>
          </w:tcPr>
          <w:p>
            <w:pPr>
              <w:jc w:val="right"/>
              <w:ind w:right="4032"/>
              <w:spacing w:after="0"/>
              <w:rPr>
                <w:sz w:val="20"/>
                <w:szCs w:val="20"/>
                <w:color w:val="auto"/>
              </w:rPr>
            </w:pPr>
            <w:r>
              <w:rPr>
                <w:rFonts w:ascii="Arial" w:cs="Arial" w:eastAsia="Arial" w:hAnsi="Arial"/>
                <w:sz w:val="18"/>
                <w:szCs w:val="18"/>
                <w:color w:val="auto"/>
                <w:w w:val="96"/>
              </w:rPr>
              <w:t>and outstanding at September 30, 2017 and March 31, 2017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w w:val="89"/>
              </w:rPr>
              <w:t>Common stock, $0.001 par value; 100,000,000 and 30,000,000 shares authorized at September 30, 2017 and March 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w w:val="91"/>
              </w:rPr>
              <w:t>2017, respectively; 11,764,639 and 8,974,386 shares issued and outstanding at September 30, 2017 and March 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2017, respectively</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151,541,700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146,569,600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Treasury stock, at cost, 135,665 shares of common stock held at September 30, 2017 and March 31, 2017</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(149,261,000)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(141,998,700)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(1,671,600)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 (deficit)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2,617,500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6"/>
          </w:tcPr>
          <w:p>
            <w:pPr>
              <w:ind w:left="20"/>
              <w:spacing w:after="0"/>
              <w:rPr>
                <w:sz w:val="20"/>
                <w:szCs w:val="20"/>
                <w:color w:val="auto"/>
              </w:rPr>
            </w:pPr>
            <w:r>
              <w:rPr>
                <w:rFonts w:ascii="Arial" w:cs="Arial" w:eastAsia="Arial" w:hAnsi="Arial"/>
                <w:sz w:val="18"/>
                <w:szCs w:val="18"/>
                <w:b w:val="1"/>
                <w:bCs w:val="1"/>
                <w:color w:val="auto"/>
                <w:w w:val="97"/>
              </w:rPr>
              <w:t>Three Months Ended September</w:t>
            </w:r>
          </w:p>
        </w:tc>
        <w:tc>
          <w:tcPr>
            <w:tcW w:w="120" w:type="dxa"/>
            <w:vAlign w:val="bottom"/>
          </w:tcPr>
          <w:p>
            <w:pPr>
              <w:spacing w:after="0"/>
              <w:rPr>
                <w:sz w:val="18"/>
                <w:szCs w:val="18"/>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Six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2,426,600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3,522,800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2,567,100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1,493,600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3,731,400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4,993,700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3,099,700</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7,254,200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(4,993,700)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(3,099,700)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(7,254,200)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(5,063,000)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(4,997,000)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(3,101,100)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(7,259,900)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(5,065,800)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(4,997,000)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(3,101,100)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(7,262,300)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(5,068,200)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(256,300)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(241,000)</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(503,600)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(780,800)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Deemed dividend on Series B Preferred Units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(5,253,300)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(3,342,100)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(7,765,900)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(5,960,100)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per common share</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(0.53)</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shares used in computing basic</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 net loss attributable to common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stockholders per common share</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9,892,016</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8,041,619</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9,465,459</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6,577,769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67"/>
        </w:trPr>
        <w:tc>
          <w:tcPr>
            <w:tcW w:w="1240" w:type="dxa"/>
            <w:vAlign w:val="bottom"/>
            <w:tcBorders>
              <w:top w:val="single" w:sz="8" w:color="0000EE"/>
            </w:tcBorders>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1240" w:type="dxa"/>
            <w:vAlign w:val="bottom"/>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96"/>
              </w:rPr>
              <w:t>CONDENSED CONSOLIDATED STATEMENTS OF CASH FLOWS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1240" w:type="dxa"/>
            <w:vAlign w:val="bottom"/>
          </w:tcPr>
          <w:p>
            <w:pPr>
              <w:spacing w:after="0"/>
              <w:rPr>
                <w:sz w:val="19"/>
                <w:szCs w:val="19"/>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9"/>
              </w:rPr>
              <w:t>(Amounts in Dollars)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12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Six Months Ended September</w:t>
            </w:r>
          </w:p>
        </w:tc>
      </w:tr>
      <w:tr>
        <w:trPr>
          <w:trHeight w:val="237"/>
        </w:trPr>
        <w:tc>
          <w:tcPr>
            <w:tcW w:w="12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r>
      <w:tr>
        <w:trPr>
          <w:trHeight w:val="215"/>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(7,262,300)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(5,068,200)</w:t>
            </w:r>
          </w:p>
        </w:tc>
      </w:tr>
      <w:tr>
        <w:trPr>
          <w:trHeight w:val="216"/>
        </w:trPr>
        <w:tc>
          <w:tcPr>
            <w:tcW w:w="8820" w:type="dxa"/>
            <w:vAlign w:val="bottom"/>
            <w:gridSpan w:val="2"/>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697,600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306,700</w:t>
            </w:r>
          </w:p>
        </w:tc>
        <w:tc>
          <w:tcPr>
            <w:tcW w:w="140" w:type="dxa"/>
            <w:vAlign w:val="bottom"/>
          </w:tcPr>
          <w:p>
            <w:pPr>
              <w:spacing w:after="0"/>
              <w:rPr>
                <w:sz w:val="18"/>
                <w:szCs w:val="18"/>
                <w:color w:val="auto"/>
              </w:rPr>
            </w:pPr>
          </w:p>
        </w:tc>
      </w:tr>
      <w:tr>
        <w:trPr>
          <w:trHeight w:val="208"/>
        </w:trPr>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Expense related to modification of warrants, including exchange of warrants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for common stock</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279,700</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57,400</w:t>
            </w:r>
          </w:p>
        </w:tc>
        <w:tc>
          <w:tcPr>
            <w:tcW w:w="140" w:type="dxa"/>
            <w:vAlign w:val="bottom"/>
            <w:shd w:val="clear" w:color="auto" w:fill="CCEEFF"/>
          </w:tcPr>
          <w:p>
            <w:pPr>
              <w:spacing w:after="0"/>
              <w:rPr>
                <w:sz w:val="19"/>
                <w:szCs w:val="19"/>
                <w:color w:val="auto"/>
              </w:rPr>
            </w:pPr>
          </w:p>
        </w:tc>
      </w:tr>
      <w:tr>
        <w:trPr>
          <w:trHeight w:val="216"/>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Amortization of deferred rent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173,500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(18,100)</w:t>
            </w:r>
          </w:p>
        </w:tc>
      </w:tr>
      <w:tr>
        <w:trPr>
          <w:trHeight w:val="216"/>
        </w:trPr>
        <w:tc>
          <w:tcPr>
            <w:tcW w:w="8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Fair value of common stock granted for services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Fair value of Series B Preferred stock granted for services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Fair value of warrants granted for services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500"/>
              <w:spacing w:after="0"/>
              <w:rPr>
                <w:sz w:val="20"/>
                <w:szCs w:val="20"/>
                <w:color w:val="auto"/>
              </w:rPr>
            </w:pPr>
            <w:r>
              <w:rPr>
                <w:rFonts w:ascii="Arial" w:cs="Arial" w:eastAsia="Arial" w:hAnsi="Arial"/>
                <w:sz w:val="18"/>
                <w:szCs w:val="18"/>
                <w:color w:val="auto"/>
              </w:rPr>
              <w:t>Accounts payable and accrued expenses, including accrued interest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466,400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(36,800)</w:t>
            </w:r>
          </w:p>
        </w:tc>
      </w:tr>
      <w:tr>
        <w:trPr>
          <w:trHeight w:val="27"/>
        </w:trPr>
        <w:tc>
          <w:tcPr>
            <w:tcW w:w="12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(4,009,900)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(3,873,100)</w:t>
            </w:r>
          </w:p>
        </w:tc>
      </w:tr>
      <w:tr>
        <w:trPr>
          <w:trHeight w:val="216"/>
        </w:trPr>
        <w:tc>
          <w:tcPr>
            <w:tcW w:w="124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flows from property and investing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60"/>
              <w:spacing w:after="0"/>
              <w:rPr>
                <w:sz w:val="20"/>
                <w:szCs w:val="20"/>
                <w:color w:val="auto"/>
              </w:rPr>
            </w:pPr>
            <w:r>
              <w:rPr>
                <w:rFonts w:ascii="Arial" w:cs="Arial" w:eastAsia="Arial" w:hAnsi="Arial"/>
                <w:sz w:val="18"/>
                <w:szCs w:val="18"/>
                <w:color w:val="auto"/>
              </w:rPr>
              <w:t>Purchases of equipment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(7,700)</w:t>
            </w:r>
          </w:p>
        </w:tc>
      </w:tr>
      <w:tr>
        <w:trPr>
          <w:trHeight w:val="27"/>
        </w:trPr>
        <w:tc>
          <w:tcPr>
            <w:tcW w:w="124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(7,700)</w:t>
            </w:r>
          </w:p>
        </w:tc>
      </w:tr>
      <w:tr>
        <w:trPr>
          <w:trHeight w:val="216"/>
        </w:trPr>
        <w:tc>
          <w:tcPr>
            <w:tcW w:w="124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6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2,947,700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9,537,100</w:t>
            </w: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proceeds from issuance of Series B Preferred Units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260"/>
              <w:spacing w:after="0"/>
              <w:rPr>
                <w:sz w:val="20"/>
                <w:szCs w:val="20"/>
                <w:color w:val="auto"/>
              </w:rPr>
            </w:pPr>
            <w:r>
              <w:rPr>
                <w:rFonts w:ascii="Arial" w:cs="Arial" w:eastAsia="Arial" w:hAnsi="Arial"/>
                <w:sz w:val="18"/>
                <w:szCs w:val="18"/>
                <w:color w:val="auto"/>
              </w:rPr>
              <w:t>Repayment of capital lease obligations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r>
        <w:trPr>
          <w:trHeight w:val="223"/>
        </w:trPr>
        <w:tc>
          <w:tcPr>
            <w:tcW w:w="8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Repayment of notes payable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(91,900)</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(105,200)</w:t>
            </w:r>
          </w:p>
        </w:tc>
      </w:tr>
      <w:tr>
        <w:trPr>
          <w:trHeight w:val="223"/>
        </w:trPr>
        <w:tc>
          <w:tcPr>
            <w:tcW w:w="8820" w:type="dxa"/>
            <w:vAlign w:val="bottom"/>
            <w:tcBorders>
              <w:top w:val="single" w:sz="8" w:color="CCEEFF"/>
            </w:tcBorders>
            <w:gridSpan w:val="2"/>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2,854,600</w:t>
            </w: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9,709,400</w:t>
            </w:r>
          </w:p>
        </w:tc>
        <w:tc>
          <w:tcPr>
            <w:tcW w:w="140" w:type="dxa"/>
            <w:vAlign w:val="bottom"/>
            <w:tcBorders>
              <w:top w:val="single" w:sz="8" w:color="CCEEFF"/>
            </w:tcBorders>
          </w:tcPr>
          <w:p>
            <w:pPr>
              <w:spacing w:after="0"/>
              <w:rPr>
                <w:sz w:val="19"/>
                <w:szCs w:val="19"/>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(1,156,900)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2,921,300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tcPr>
          <w:p>
            <w:pPr>
              <w:spacing w:after="0"/>
              <w:rPr>
                <w:sz w:val="19"/>
                <w:szCs w:val="19"/>
                <w:color w:val="auto"/>
              </w:rPr>
            </w:pPr>
          </w:p>
        </w:tc>
      </w:tr>
      <w:tr>
        <w:trPr>
          <w:trHeight w:val="257"/>
        </w:trPr>
        <w:tc>
          <w:tcPr>
            <w:tcW w:w="8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1,764,400</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6,257,100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gridSpan w:val="2"/>
          </w:tcPr>
          <w:p>
            <w:pPr>
              <w:ind w:left="340"/>
              <w:spacing w:after="0"/>
              <w:rPr>
                <w:sz w:val="20"/>
                <w:szCs w:val="20"/>
                <w:color w:val="auto"/>
              </w:rPr>
            </w:pPr>
            <w:r>
              <w:rPr>
                <w:rFonts w:ascii="Arial" w:cs="Arial" w:eastAsia="Arial" w:hAnsi="Arial"/>
                <w:sz w:val="18"/>
                <w:szCs w:val="18"/>
                <w:color w:val="auto"/>
              </w:rPr>
              <w:t>Insurance premiums settled by issuing note payable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142,400</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117,500</w:t>
            </w:r>
          </w:p>
        </w:tc>
        <w:tc>
          <w:tcPr>
            <w:tcW w:w="140" w:type="dxa"/>
            <w:vAlign w:val="bottom"/>
          </w:tcPr>
          <w:p>
            <w:pPr>
              <w:spacing w:after="0"/>
              <w:rPr>
                <w:sz w:val="18"/>
                <w:szCs w:val="18"/>
                <w:color w:val="auto"/>
              </w:rPr>
            </w:pPr>
          </w:p>
        </w:tc>
      </w:tr>
      <w:tr>
        <w:trPr>
          <w:trHeight w:val="21"/>
        </w:trPr>
        <w:tc>
          <w:tcPr>
            <w:tcW w:w="12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Accrued dividends on Series B Preferred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503,600</w:t>
            </w: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780,800</w:t>
            </w:r>
          </w:p>
        </w:tc>
        <w:tc>
          <w:tcPr>
            <w:tcW w:w="140" w:type="dxa"/>
            <w:vAlign w:val="bottom"/>
            <w:tcBorders>
              <w:bottom w:val="single" w:sz="8" w:color="CCEEFF"/>
            </w:tcBorders>
            <w:shd w:val="clear" w:color="auto" w:fill="CCEEFF"/>
          </w:tcPr>
          <w:p>
            <w:pPr>
              <w:spacing w:after="0"/>
              <w:rPr>
                <w:sz w:val="21"/>
                <w:szCs w:val="2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VistaGen Therapeutics, Inc. (NASDAQ: VTGN), a Nevada corporation, is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non-opioid treatment alternative for neuropathic pain, as well as several additional CNS indications </w:t>
      </w:r>
      <w:r>
        <w:rPr>
          <w:rFonts w:ascii="Arial" w:cs="Arial" w:eastAsia="Arial" w:hAnsi="Arial"/>
          <w:sz w:val="16"/>
          <w:szCs w:val="16"/>
          <w:color w:val="333333"/>
        </w:rPr>
        <w:t>where modulation of the NMDA receptors,</w:t>
      </w:r>
      <w:r>
        <w:rPr>
          <w:rFonts w:ascii="Arial" w:cs="Arial" w:eastAsia="Arial" w:hAnsi="Arial"/>
          <w:sz w:val="16"/>
          <w:szCs w:val="16"/>
          <w:color w:val="auto"/>
        </w:rPr>
        <w:t xml:space="preserve"> </w:t>
      </w:r>
      <w:r>
        <w:rPr>
          <w:rFonts w:ascii="Arial" w:cs="Arial" w:eastAsia="Arial" w:hAnsi="Arial"/>
          <w:sz w:val="16"/>
          <w:szCs w:val="16"/>
          <w:color w:val="333333"/>
        </w:rPr>
        <w:t>activation of AMPA pathways and/or key active metabolites of AV-101 may achieve therapeutic benefit</w:t>
      </w:r>
      <w:r>
        <w:rPr>
          <w:rFonts w:ascii="Arial" w:cs="Arial" w:eastAsia="Arial" w:hAnsi="Arial"/>
          <w:sz w:val="16"/>
          <w:szCs w:val="16"/>
          <w:color w:val="000000"/>
        </w:rPr>
        <w:t>, including Parkinson’s disease levodopa -induced</w:t>
      </w:r>
      <w:r>
        <w:rPr>
          <w:rFonts w:ascii="Arial" w:cs="Arial" w:eastAsia="Arial" w:hAnsi="Arial"/>
          <w:sz w:val="16"/>
          <w:szCs w:val="16"/>
          <w:color w:val="333333"/>
        </w:rPr>
        <w:t xml:space="preserve"> </w:t>
      </w:r>
      <w:r>
        <w:rPr>
          <w:rFonts w:ascii="Arial" w:cs="Arial" w:eastAsia="Arial" w:hAnsi="Arial"/>
          <w:sz w:val="16"/>
          <w:szCs w:val="16"/>
          <w:color w:val="000000"/>
        </w:rPr>
        <w:t>dyskinesia (</w:t>
      </w:r>
      <w:r>
        <w:rPr>
          <w:rFonts w:ascii="Arial" w:cs="Arial" w:eastAsia="Arial" w:hAnsi="Arial"/>
          <w:sz w:val="16"/>
          <w:szCs w:val="16"/>
          <w:i w:val="1"/>
          <w:iCs w:val="1"/>
          <w:color w:val="000000"/>
        </w:rPr>
        <w:t>PD LID</w:t>
      </w:r>
      <w:r>
        <w:rPr>
          <w:rFonts w:ascii="Arial" w:cs="Arial" w:eastAsia="Arial" w:hAnsi="Arial"/>
          <w:sz w:val="16"/>
          <w:szCs w:val="16"/>
          <w:color w:val="000000"/>
        </w:rPr>
        <w:t>), epilepsy and Huntington’s disease.</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approved by the FDA as an anesthetic, in MDD patients with inadequate therapeutic responses to multiple standard antidepressants. These NIMH studies, as well as clinical research at Yale University and other academic institutions, have demonstrated ketamine’s robust antidepressant effects in treatment-resistant MDD patients within twenty-four hours of a single sub-anesthetic dose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infusion.</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AV-101 may have potential to deliver ketamine-like antidepressant effects without the need for IV administration and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 prodrug 4-chlorokynurenine causes ketamine-like antidepressant effects, but not side effects, by NMDA/glycineB-site inhibition,</w:t>
      </w:r>
      <w:r>
        <w:rPr>
          <w:rFonts w:ascii="Arial" w:cs="Arial" w:eastAsia="Arial" w:hAnsi="Arial"/>
          <w:sz w:val="16"/>
          <w:szCs w:val="16"/>
          <w:color w:val="auto"/>
        </w:rPr>
        <w:t xml:space="preserve"> 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currently funding, and Dr. Zarate, as Principal Investigator, and his team are currently conducting, a small Phase 2 clinical study of AV-101 as a monotherapy in adult subjects with treatment-resistant MDD (the </w:t>
      </w:r>
      <w:r>
        <w:rPr>
          <w:rFonts w:ascii="Arial" w:cs="Arial" w:eastAsia="Arial" w:hAnsi="Arial"/>
          <w:sz w:val="16"/>
          <w:szCs w:val="16"/>
          <w:i w:val="1"/>
          <w:iCs w:val="1"/>
          <w:color w:val="auto"/>
        </w:rPr>
        <w:t>NIMH AV-101 MDD Phase 2 Monotherapy Study</w:t>
      </w:r>
      <w:r>
        <w:rPr>
          <w:rFonts w:ascii="Arial" w:cs="Arial" w:eastAsia="Arial" w:hAnsi="Arial"/>
          <w:sz w:val="16"/>
          <w:szCs w:val="16"/>
          <w:color w:val="auto"/>
        </w:rPr>
        <w:t xml:space="preserve">). In October 2017, we received FDA authorization to launch our 180-patient Phase 2 multi-center, multi-dose, double blind, placebo-controlled efficacy and safety study of AV-101 as a new generation adjunctive treatment of MDD in adult patients with an inadequate therapeutic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Subject to obtaining sufficient financing, we intend to launch the AV-101 MDD Phase 2 Adjunctive Treatment Study in the first quarter of 2018, with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as Principal Investigator.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JAMA</w:t>
      </w:r>
      <w:r>
        <w:rPr>
          <w:rFonts w:ascii="Arial" w:cs="Arial" w:eastAsia="Arial" w:hAnsi="Arial"/>
          <w:sz w:val="16"/>
          <w:szCs w:val="16"/>
          <w:color w:val="auto"/>
        </w:rPr>
        <w:t>). We expect to complete this study by the end of 2018, with top line results available in the first quarter of 2019.</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To advance potential RM applications of our cardiac stem cell technology, in December 2016, we exclusively sublicensed to BlueRock Therapeutics LP, a next generation RM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our exclusive sublicense agreement with BlueRock Therapeutics, we may pursue additional RM collaborations or licensing transactions involving blood, cartilage, and/or liver cells derived from hPSCs for (A) cell-based therapy, (B) cell repair therapy, and/or (C) tissue engineering.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VistaStem is our wholly-owned subsidiary.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w:t>
      </w:r>
      <w:r>
        <w:rPr>
          <w:rFonts w:ascii="Arial" w:cs="Arial" w:eastAsia="Arial" w:hAnsi="Arial"/>
          <w:sz w:val="18"/>
          <w:szCs w:val="18"/>
          <w:i w:val="1"/>
          <w:iCs w:val="1"/>
          <w:color w:val="auto"/>
        </w:rPr>
        <w:t>U.S. GAAP</w:t>
      </w:r>
      <w:r>
        <w:rPr>
          <w:rFonts w:ascii="Arial" w:cs="Arial" w:eastAsia="Arial" w:hAnsi="Arial"/>
          <w:sz w:val="18"/>
          <w:szCs w:val="18"/>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2017 has been derived from our audited consolidated financial statements at that date but does not include all disclosures required by U.S. GAAP. The operating results for the three and six months ended September 30, 2107 are not necessarily indicative of the operating results to be expected for our fiscal year ending March 31, 2018, or for any other future interim or other period.</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our audited Consolidated Financial Statements for our fiscal year ended March 31, 2017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29, 2017.</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accompanying unaudited Condensed Consolidated Financial Statements have been prepared assuming we will continue as a going concern. As a company having not yet developed commercial products or achieved sustainable revenues, we have experienced recurring losses and negative cash flows from operations resulting in a deficit of $149.3 million accumulated from inception (May 1998) through September 30, 2017. We expect losses and negative cash flows from operations to continue for the foreseeable future as we engage in further development of AV-101, initially as an adjunctive treatment for MDD, and subsequently as a new treatment alternative for other CNS-related conditions, as well as exploring and potentially executing drug rescue and development opportunities using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and potential RM programs related to VistaStem’s technology platform.</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our inception through September 30, 2017, we have financed our operations and technology acquisitions primarily through the issuance and sale of our equity and debt securities for cash proceeds of approximately $47.6 million, as well as from an aggregate of approximately $17.6 million of government research grant awards, strategic collaboration payments, intellectual property sublicensing and other revenues. We have also issued equity securities with an approximate value at issuance of $32.3 million in non-cash settlements of certain liabilities, including liabilities for professional services rendered to us or as compensation for such services. Additionally, pursuant to our February 2015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NIH, substantial ongoing Phase 2 clinical development activities relating to AV-101 as a potential new generation antidepressant are being sponsored in full, at no cost to us other than supplying clinical trial material, by the NIMH under the direction of Dr. Carlos Zarate Jr. as Principal Investigator.</w:t>
      </w:r>
    </w:p>
    <w:p>
      <w:pPr>
        <w:spacing w:after="0" w:line="17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At September 30, 2017, we had a cash and cash equivalents balance of $1.76 million. This amount was not sufficient to enable us to fund our planned operations, including expected cash expenditures of approximately $12 million for the twelve months following the issuance of these financial statements, including expenditures required to launch and satisfy a portion of the projected expenses associated with our proposed AV-101 MDD Phase 2 Adjunctive Treatment Study.</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Our limited cash position at September 30, 2017 considered with our recurring and anticipated losses and negative cash flows from operations make it probable, in the absence of additional financing, that we will not be able to meet our obligations as they come due within one year from the date of this Report, raising substantial doubt that we can continue as a going concern. However, to alleviate that doubt, we plan, as we have numerous times in the past, to raise additional financing when and as needed, primarily through the sale of our equity securities in one or more private placements to accredited investors or public offerings. In September 2017, we completed a firm commitment underwritten public offering pursuant to which we offered and sold shares of our common stock and warrants to two of our existing institutional investors, resulting in gross proceeds of approximately $2.4 million under our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xml:space="preserve">) that had been previously declared effective by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to cover potential future sales of our equity securities in one or more public offerings from time to time. (See Note 7,</w:t>
      </w:r>
      <w:r>
        <w:rPr>
          <w:rFonts w:ascii="Arial" w:cs="Arial" w:eastAsia="Arial" w:hAnsi="Arial"/>
          <w:sz w:val="16"/>
          <w:szCs w:val="16"/>
          <w:i w:val="1"/>
          <w:iCs w:val="1"/>
          <w:color w:val="auto"/>
        </w:rPr>
        <w:t xml:space="preserve"> Capital Stock</w:t>
      </w:r>
      <w:r>
        <w:rPr>
          <w:rFonts w:ascii="Arial" w:cs="Arial" w:eastAsia="Arial" w:hAnsi="Arial"/>
          <w:sz w:val="16"/>
          <w:szCs w:val="16"/>
          <w:color w:val="auto"/>
        </w:rPr>
        <w:t>, for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regarding the September 2017 public offering.) While we may make additional sales of our equity securities under the S-3 Registration Statement, we do not have an obligation to do so.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Additionally, in September 2017, to facilitate potential future issuances and sales of our equity securities for ordinary corporate finance and general corporate purposes and as recommended by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xml:space="preserve">), our stockholders approved an amendment to our Restated and Amended Articles of Incorporation to increase the number of shares of common stock available for issuance thereunder from 30 million shares to 100 million shares, an amount our Board determined is customary and appropriate for a Nasdaq-listed, clinical-stage biopharmaceutical company. Following that approval, in October 2017, we filed a Registration Statement on Form S-1 (Registration No. 333-221009) (the </w:t>
      </w:r>
      <w:r>
        <w:rPr>
          <w:rFonts w:ascii="Arial" w:cs="Arial" w:eastAsia="Arial" w:hAnsi="Arial"/>
          <w:sz w:val="16"/>
          <w:szCs w:val="16"/>
          <w:i w:val="1"/>
          <w:iCs w:val="1"/>
          <w:color w:val="auto"/>
        </w:rPr>
        <w:t>S-1 Registration Statement</w:t>
      </w:r>
      <w:r>
        <w:rPr>
          <w:rFonts w:ascii="Arial" w:cs="Arial" w:eastAsia="Arial" w:hAnsi="Arial"/>
          <w:sz w:val="16"/>
          <w:szCs w:val="16"/>
          <w:color w:val="auto"/>
        </w:rPr>
        <w:t>) pursuant to which we anticipate completing an offering of our equity securities with proceeds sufficient to enable the launch and completion of the AV-101 MDD Phase 2 Adjunctive Treatment Study and fund our internal operations for at least the next twelve months. There can be no assurance, however, that we will achieve effectiveness of the S-1 Registration Statement or successfully complete an offering thereunder.</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sale of our equity securities, we may also seek to enter research and development collaborations that could generate revenue or provide substantial funding for development of AV-101 and additional product candidates. We may also seek additional government grant awards or agreements similar to our current CRADA with the NIMH, which provides for the NIMH to fully fund the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with the U.S. government or other third-parties that could generate revenue and/or non-dilutive funding for development of AV-101 and other product candidates and technologies,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initially as an adjunctive treatment for MDD, and for other potential CNS conditions, as well as various potential applications of our stem cell technology platform, the availability of, and our ability to obtain, government grant awards and agreements, and our ability to enter into collaborations on terms acceptable to us. To further advance the clinical development of AV-101 and opportunities related to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Notwithstanding the foregoing, there can be no assurance that future financing will be available in sufficient amounts, in a timely manner, or on terms acceptable to us, if at all. If we are unable to obtain substantial additional financing on a timely basis when needed later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historically to value warrants and warrant modifications. With the exception of the $1.25 million of sublicense revenue recorded in the quarter ended December 31, 2016 under the BlueRock Agreement, we do not currently have, nor have we had during the periods covered by this report, any arrangements requiring the recognition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our scientific personnel and direct project costs. External research and development expenses consist primarily of costs associated with nonclinical and clinical development of AV-101, now in Phase 2 clinical development, initially for MDD, stem cell technology-related research and development costs, and costs related to the filing, maintenance and prosecution of patents and patent applications, technology licenses and protection of other intellectual property. All such costs are charged to expense as incurred.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change in value is recognized as an expense during the period over which the services are performed.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and six months ended September 30,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Six Months Ended</w:t>
            </w:r>
          </w:p>
        </w:tc>
      </w:tr>
      <w:tr>
        <w:trPr>
          <w:trHeight w:val="237"/>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7"/>
              </w:rPr>
              <w:t>September 30,</w:t>
            </w:r>
          </w:p>
        </w:tc>
      </w:tr>
      <w:tr>
        <w:trPr>
          <w:trHeight w:val="223"/>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r>
      <w:tr>
        <w:trPr>
          <w:trHeight w:val="431"/>
        </w:trPr>
        <w:tc>
          <w:tcPr>
            <w:tcW w:w="608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4"/>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140" w:type="dxa"/>
            <w:vAlign w:val="bottom"/>
            <w:shd w:val="clear" w:color="auto" w:fill="CCEEFF"/>
          </w:tcPr>
          <w:p>
            <w:pPr>
              <w:spacing w:after="0"/>
              <w:rPr>
                <w:sz w:val="19"/>
                <w:szCs w:val="19"/>
                <w:color w:val="auto"/>
              </w:rPr>
            </w:pPr>
          </w:p>
        </w:tc>
      </w:tr>
      <w:tr>
        <w:trPr>
          <w:trHeight w:val="223"/>
        </w:trPr>
        <w:tc>
          <w:tcPr>
            <w:tcW w:w="60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136,900</w:t>
            </w:r>
          </w:p>
        </w:tc>
        <w:tc>
          <w:tcPr>
            <w:tcW w:w="2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82,000</w:t>
            </w:r>
          </w:p>
        </w:tc>
        <w:tc>
          <w:tcPr>
            <w:tcW w:w="2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328,300</w:t>
            </w:r>
          </w:p>
        </w:tc>
        <w:tc>
          <w:tcPr>
            <w:tcW w:w="2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126,000</w:t>
            </w:r>
          </w:p>
        </w:tc>
        <w:tc>
          <w:tcPr>
            <w:tcW w:w="140" w:type="dxa"/>
            <w:vAlign w:val="bottom"/>
            <w:tcBorders>
              <w:top w:val="single" w:sz="8" w:color="CCEEFF"/>
            </w:tcBorders>
          </w:tcPr>
          <w:p>
            <w:pPr>
              <w:spacing w:after="0"/>
              <w:rPr>
                <w:sz w:val="19"/>
                <w:szCs w:val="19"/>
                <w:color w:val="auto"/>
              </w:rPr>
            </w:pPr>
          </w:p>
        </w:tc>
      </w:tr>
      <w:tr>
        <w:trPr>
          <w:trHeight w:val="216"/>
        </w:trPr>
        <w:tc>
          <w:tcPr>
            <w:tcW w:w="60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6080" w:type="dxa"/>
            <w:vAlign w:val="bottom"/>
          </w:tcPr>
          <w:p>
            <w:pPr>
              <w:ind w:left="220"/>
              <w:spacing w:after="0"/>
              <w:rPr>
                <w:sz w:val="20"/>
                <w:szCs w:val="20"/>
                <w:color w:val="auto"/>
              </w:rPr>
            </w:pPr>
            <w:r>
              <w:rPr>
                <w:rFonts w:ascii="Arial" w:cs="Arial" w:eastAsia="Arial" w:hAnsi="Arial"/>
                <w:sz w:val="18"/>
                <w:szCs w:val="18"/>
                <w:color w:val="auto"/>
              </w:rPr>
              <w:t>Stock option grants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193,700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116,800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180,700</w:t>
            </w:r>
          </w:p>
        </w:tc>
        <w:tc>
          <w:tcPr>
            <w:tcW w:w="140" w:type="dxa"/>
            <w:vAlign w:val="bottom"/>
          </w:tcPr>
          <w:p>
            <w:pPr>
              <w:spacing w:after="0"/>
              <w:rPr>
                <w:sz w:val="19"/>
                <w:szCs w:val="19"/>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330,600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198,800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697,600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306,700</w:t>
            </w:r>
          </w:p>
        </w:tc>
        <w:tc>
          <w:tcPr>
            <w:tcW w:w="140" w:type="dxa"/>
            <w:vAlign w:val="bottom"/>
          </w:tcPr>
          <w:p>
            <w:pPr>
              <w:spacing w:after="0"/>
              <w:rPr>
                <w:sz w:val="18"/>
                <w:szCs w:val="18"/>
                <w:color w:val="auto"/>
              </w:rPr>
            </w:pPr>
          </w:p>
        </w:tc>
      </w:tr>
      <w:tr>
        <w:trPr>
          <w:trHeight w:val="21"/>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April 2017, our Board approved the grant of options to purchase an aggregate of 880,000 shares of our common stock at an exercise price of $1.96 per share to the independent members of our Board, our officers and our employees. In September 2017, our stockholders approved an amendment to our 2016 Amended and Restated Stock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to increase the number of shares issuable thereunder from 3.0 million shares to 10.0 million shares. Following that approval, our Board authorized the grant of options to purchase an aggregate of 770,000 shares of our common stock at an exercise price of $1.56 per share to the independent members of our Board, our officers, employees and certain consultants. We valued the options granted in April 2017 and September 2017 using the Black-Scholes Option Pricing Model and the following weighted 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April 2017</w:t>
            </w:r>
          </w:p>
        </w:tc>
        <w:tc>
          <w:tcPr>
            <w:tcW w:w="100" w:type="dxa"/>
            <w:vAlign w:val="bottom"/>
          </w:tcPr>
          <w:p>
            <w:pPr>
              <w:spacing w:after="0"/>
              <w:rPr>
                <w:sz w:val="20"/>
                <w:szCs w:val="20"/>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June 2016, our Board approved the grant of options to purchase an aggregate of 655,000 shares of our common stock at an exercise price of $3.49 per share to the independent members of our Board and to our officers, including our then-newly-hired Chief Medical Officer. In September 2016, the Board approved the grant of an option to purchase 125,000 shares of our common stock at an exercise price of $4.27 per share to another then-newly-hired officer. We valued the options granted in June 2016 and September 2016 using the Black-Scholes Option Pricing Model and the following weighted average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June 2016</w:t>
            </w:r>
          </w:p>
        </w:tc>
        <w:tc>
          <w:tcPr>
            <w:tcW w:w="100" w:type="dxa"/>
            <w:vAlign w:val="bottom"/>
          </w:tcPr>
          <w:p>
            <w:pPr>
              <w:spacing w:after="0"/>
              <w:rPr>
                <w:sz w:val="20"/>
                <w:szCs w:val="20"/>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30, 2017, there were stock options outstanding to purchase 3,279,871 shares of our common stock at a weighted average exercise price of $3.23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Common Share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Basic net income (loss) per share of common stock excludes the effect of dilution and is computed by dividing net income (loss) by the weighted-average number of shares of common stock outstanding for the period. Diluted net income (loss) per share of common stock reflects the potential dilution that could occur if securities or other contracts to issue shares of common stock were exercised or converted into shares of common stock.</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our net loss for the periods presented, potentially dilutive securities were excluded from the computation of net loss per share, as their effect would be antidilutive. For the three and six-month periods ended September 30, 2017 and 2016, the accrual for dividends on our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and, in 2016, the deemed dividend attributable to our sale and issuance of Series B Preferred Units, each consisting of one share of Series B Preferred and a five-year warrant to purchase one share of our common stock for $7.00, represent deductions from our net loss to arrive at net loss attributable to common stockholders for those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excluded in determining diluted net loss attributable to common stockholders per common share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As of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Amended and Restated 2016 (formerly 2008) and 1999 Stock Incentive Plans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3,279,871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1,100,643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6,965,151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4,678,414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14,473,274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10,007,309</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95" w:lineRule="auto"/>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as amended</w:t>
      </w:r>
    </w:p>
    <w:p>
      <w:pPr>
        <w:spacing w:after="0" w:line="8" w:lineRule="exact"/>
        <w:rPr>
          <w:rFonts w:ascii="Arial" w:cs="Arial" w:eastAsia="Arial" w:hAnsi="Arial"/>
          <w:sz w:val="23"/>
          <w:szCs w:val="23"/>
          <w:color w:val="auto"/>
          <w:vertAlign w:val="superscript"/>
        </w:rPr>
      </w:pPr>
    </w:p>
    <w:p>
      <w:pPr>
        <w:ind w:right="180" w:firstLine="8"/>
        <w:spacing w:after="0" w:line="239" w:lineRule="auto"/>
        <w:tabs>
          <w:tab w:leader="none" w:pos="18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w:t>
      </w:r>
    </w:p>
    <w:p>
      <w:pPr>
        <w:ind w:right="560" w:firstLine="8"/>
        <w:spacing w:after="0" w:line="248" w:lineRule="auto"/>
        <w:tabs>
          <w:tab w:leader="none" w:pos="18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C Convertible Preferred Stock, effective January 25,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We carried no assets or liabilities at fair value at September 30, 2017 or March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below, there have been no recent accounting pronouncements or changes in accounting pronouncements during the six months ended September 30, 2017, as compared to the recent accounting pronouncements described in our Form 10-K for the fiscal year ended March 31, 2017, that are of significance or potential significance to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July 2017,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i w:val="1"/>
          <w:iCs w:val="1"/>
          <w:color w:val="auto"/>
        </w:rPr>
        <w:t>ASU 2017-11</w:t>
      </w:r>
      <w:r>
        <w:rPr>
          <w:rFonts w:ascii="Arial" w:cs="Arial" w:eastAsia="Arial" w:hAnsi="Arial"/>
          <w:sz w:val="16"/>
          <w:szCs w:val="16"/>
          <w:color w:val="auto"/>
        </w:rPr>
        <w:t>). Part I of this ASU provides that an entity will no longer have to consider “down round” features (i.e., a provision in an equity-linked financial instrument, such as a free-standing warrant, or an embedded feature, such as a conversion option in a convertible instrument, that reduces the exercise price of such instrument if the entity subsequently sells stock for a lower price or issues an equity-linked instrument with a lower exercise price) when determining whether certain equity-linked financial instruments or embedded features are indexed to its own stock. The definition of a down round feature in ASU 2017-11 excludes standard antidilution provisions related to changes in an entity’s capital structure. Accounting Standards Codification Topic 815-40, “Derivatives and Hedging–Contracts in Entity’s Own Equity” (</w:t>
      </w:r>
      <w:r>
        <w:rPr>
          <w:rFonts w:ascii="Arial" w:cs="Arial" w:eastAsia="Arial" w:hAnsi="Arial"/>
          <w:sz w:val="16"/>
          <w:szCs w:val="16"/>
          <w:i w:val="1"/>
          <w:iCs w:val="1"/>
          <w:color w:val="auto"/>
        </w:rPr>
        <w:t>ASC 815-40</w:t>
      </w:r>
      <w:r>
        <w:rPr>
          <w:rFonts w:ascii="Arial" w:cs="Arial" w:eastAsia="Arial" w:hAnsi="Arial"/>
          <w:sz w:val="16"/>
          <w:szCs w:val="16"/>
          <w:color w:val="auto"/>
        </w:rPr>
        <w:t>) requires that a freestanding equity-linked financial instrument be indexed to the issuer’s own stock to be classified as equity. An equity-linked embedded feature that meets the definition of a derivative may avoid bifurcation and derivative accounting if it is indexed to the issuer’s own stock. Under the terms of prior guidance, a freestanding financial instrument or embedded feature was not considered indexed to the issuer’s own stock if it had a down round provision. Consequently, the freestanding financial instrument was classified as a liability (or asset), and if it met the definition of a derivative, was measured at fair value with changes in fair value recorded through earnings. Similarly, an embedded feature was bifurcated and separately accounted for as a derivative if it met all other criteria for bifurcation under ASC 815-40. The bifurcated embedded feature was also measured at fair value through earnings. Under the provisions of ASU 2017-11, an entity that presents earnings per share (</w:t>
      </w:r>
      <w:r>
        <w:rPr>
          <w:rFonts w:ascii="Arial" w:cs="Arial" w:eastAsia="Arial" w:hAnsi="Arial"/>
          <w:sz w:val="16"/>
          <w:szCs w:val="16"/>
          <w:i w:val="1"/>
          <w:iCs w:val="1"/>
          <w:color w:val="auto"/>
        </w:rPr>
        <w:t>EPS</w:t>
      </w:r>
      <w:r>
        <w:rPr>
          <w:rFonts w:ascii="Arial" w:cs="Arial" w:eastAsia="Arial" w:hAnsi="Arial"/>
          <w:sz w:val="16"/>
          <w:szCs w:val="16"/>
          <w:color w:val="auto"/>
        </w:rPr>
        <w:t xml:space="preserve">) under Accounting Standards Codification Topic 260, “Earnings Per Share” will recognize the effect of a down round feature in a freestanding equity-classified financial instrument only when it is triggered. The effect of triggering such a feature will be recognized as a dividend and a reduction to income available to common shareholders in basic EPS. The new guidance requires new disclosures for financial instruments with down round features and other terms that change conversion or exercise prices. Part I of ASU 2017-11 is effective for fiscal years beginning after December 15, 2018, and interim periods therein, however early adoption is permitted. We early-adopted ASU 2017-11 effective for the quarter ended September 30, 2017 and applied its guidance to certain of the warrants issued in the September 2017 Public Offering, as described more completely in Note 7, </w:t>
      </w:r>
      <w:r>
        <w:rPr>
          <w:rFonts w:ascii="Arial" w:cs="Arial" w:eastAsia="Arial" w:hAnsi="Arial"/>
          <w:sz w:val="16"/>
          <w:szCs w:val="16"/>
          <w:i w:val="1"/>
          <w:iCs w:val="1"/>
          <w:color w:val="auto"/>
        </w:rPr>
        <w:t>Capital Stock</w:t>
      </w:r>
      <w:r>
        <w:rPr>
          <w:rFonts w:ascii="Arial" w:cs="Arial" w:eastAsia="Arial" w:hAnsi="Arial"/>
          <w:sz w:val="16"/>
          <w:szCs w:val="16"/>
          <w:color w:val="auto"/>
        </w:rPr>
        <w:t>. No retrospective adjustments to our financial statements were required as a result of our adoption of ASU 2017-11.</w:t>
      </w:r>
    </w:p>
    <w:p>
      <w:pPr>
        <w:spacing w:after="0" w:line="18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February 2016, the FASB issued ASU No. 2016-2, “Leases.” This ASU requires substantially all leases, including operating leases, to be recognized by lessees on their balance sheet as a right-of-use asset and corresponding lease liability. This ASU is effective for our interim and annual reporting periods beginning April 1, 2019 and early adoption is permitted. We are currently evaluating the impact that the adoption of this ASU will have on our financial statements.</w:t>
      </w:r>
    </w:p>
    <w:p>
      <w:pPr>
        <w:spacing w:after="0" w:line="14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2016, the FASB issued ASU No. 2016-09, “Improvements to Employee Share-Based Payment Accounting,” which simplified several aspects of the accounting for share-based payments, including immediate recognition of all excess tax benefits and deficiencies in the income statement,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for the excess tax benefit and employee taxes paid when an employer withholds shares for tax-withholding purposes. This ASU became effective for our interim and annual reporting periods beginning April 1, 2017, and the adoption of this standard did not have a material impact on our financial statements. Pursuant to our adoption of this standard, we elected to account for the impact of option forfeitures as they occur.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w w:val="93"/>
              </w:rPr>
              <w:t>Prepaid expenses and other current assets are composed of the following at September 30, 2017 and March 31, 2017:</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5"/>
              </w:rPr>
              <w:t>September</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r>
      <w:tr>
        <w:trPr>
          <w:trHeight w:val="237"/>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AV-101 materials and services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357,000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352,800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Public offering expenses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140" w:type="dxa"/>
            <w:vAlign w:val="bottom"/>
          </w:tcPr>
          <w:p>
            <w:pPr>
              <w:spacing w:after="0"/>
              <w:rPr>
                <w:sz w:val="19"/>
                <w:szCs w:val="19"/>
                <w:color w:val="auto"/>
              </w:rPr>
            </w:pPr>
          </w:p>
        </w:tc>
      </w:tr>
      <w:tr>
        <w:trPr>
          <w:trHeight w:val="257"/>
        </w:trPr>
        <w:tc>
          <w:tcPr>
            <w:tcW w:w="88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shd w:val="clear" w:color="auto" w:fill="CCEEFF"/>
          </w:tcPr>
          <w:p>
            <w:pPr>
              <w:spacing w:after="0"/>
              <w:rPr>
                <w:sz w:val="22"/>
                <w:szCs w:val="22"/>
                <w:color w:val="auto"/>
              </w:rPr>
            </w:pPr>
          </w:p>
        </w:tc>
      </w:tr>
      <w:tr>
        <w:trPr>
          <w:trHeight w:val="424"/>
        </w:trPr>
        <w:tc>
          <w:tcPr>
            <w:tcW w:w="88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5. Accrued Expenses</w:t>
            </w: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Accrued expenses are composed of the following at September 30, 2017 and March 31, 2017:</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7"/>
        </w:trPr>
        <w:tc>
          <w:tcPr>
            <w:tcW w:w="8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5"/>
              </w:rPr>
              <w:t>September</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r>
      <w:tr>
        <w:trPr>
          <w:trHeight w:val="237"/>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Accrued AV-101 development and related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402,400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9"/>
                <w:szCs w:val="19"/>
                <w:color w:val="auto"/>
              </w:rPr>
            </w:pPr>
          </w:p>
        </w:tc>
      </w:tr>
      <w:tr>
        <w:trPr>
          <w:trHeight w:val="237"/>
        </w:trPr>
        <w:tc>
          <w:tcPr>
            <w:tcW w:w="88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40" w:type="dxa"/>
            <w:vAlign w:val="bottom"/>
            <w:shd w:val="clear" w:color="auto" w:fill="CCEEFF"/>
          </w:tcPr>
          <w:p>
            <w:pPr>
              <w:spacing w:after="0"/>
              <w:rPr>
                <w:sz w:val="20"/>
                <w:szCs w:val="20"/>
                <w:color w:val="auto"/>
              </w:rPr>
            </w:pP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Notes Payable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unsecured promissory notes at September 30, 2017 and March 31,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7"/>
          </w:tcPr>
          <w:p>
            <w:pPr>
              <w:jc w:val="center"/>
              <w:ind w:left="532"/>
              <w:spacing w:after="0"/>
              <w:rPr>
                <w:sz w:val="20"/>
                <w:szCs w:val="20"/>
                <w:color w:val="auto"/>
              </w:rPr>
            </w:pPr>
            <w:r>
              <w:rPr>
                <w:rFonts w:ascii="Arial" w:cs="Arial" w:eastAsia="Arial" w:hAnsi="Arial"/>
                <w:sz w:val="18"/>
                <w:szCs w:val="18"/>
                <w:b w:val="1"/>
                <w:bCs w:val="1"/>
                <w:color w:val="auto"/>
                <w:w w:val="88"/>
              </w:rPr>
              <w:t>September 30, 2017</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0"/>
              </w:rPr>
              <w:t>March 31, 2017</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1" w:lineRule="exact"/>
              <w:rPr>
                <w:sz w:val="20"/>
                <w:szCs w:val="20"/>
                <w:color w:val="auto"/>
              </w:rPr>
            </w:pPr>
            <w:r>
              <w:rPr>
                <w:rFonts w:ascii="Arial" w:cs="Arial" w:eastAsia="Arial" w:hAnsi="Arial"/>
                <w:sz w:val="18"/>
                <w:szCs w:val="18"/>
                <w:b w:val="1"/>
                <w:bCs w:val="1"/>
                <w:color w:val="auto"/>
                <w:w w:val="89"/>
              </w:rPr>
              <w:t>Principal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6"/>
              </w:rPr>
              <w:t>Accrued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80"/>
              <w:spacing w:after="0" w:line="201" w:lineRule="exact"/>
              <w:rPr>
                <w:sz w:val="20"/>
                <w:szCs w:val="20"/>
                <w:color w:val="auto"/>
              </w:rPr>
            </w:pPr>
            <w:r>
              <w:rPr>
                <w:rFonts w:ascii="Arial" w:cs="Arial" w:eastAsia="Arial" w:hAnsi="Arial"/>
                <w:sz w:val="18"/>
                <w:szCs w:val="18"/>
                <w:b w:val="1"/>
                <w:bCs w:val="1"/>
                <w:color w:val="auto"/>
                <w:w w:val="92"/>
              </w:rPr>
              <w:t>Principal</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40"/>
              <w:spacing w:after="0" w:line="201" w:lineRule="exact"/>
              <w:rPr>
                <w:sz w:val="20"/>
                <w:szCs w:val="20"/>
                <w:color w:val="auto"/>
              </w:rPr>
            </w:pPr>
            <w:r>
              <w:rPr>
                <w:rFonts w:ascii="Arial" w:cs="Arial" w:eastAsia="Arial" w:hAnsi="Arial"/>
                <w:sz w:val="18"/>
                <w:szCs w:val="18"/>
                <w:b w:val="1"/>
                <w:bCs w:val="1"/>
                <w:color w:val="auto"/>
                <w:w w:val="88"/>
              </w:rPr>
              <w:t>Accrued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Interest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Balance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Interest</w:t>
            </w:r>
          </w:p>
        </w:tc>
        <w:tc>
          <w:tcPr>
            <w:tcW w:w="180" w:type="dxa"/>
            <w:vAlign w:val="bottom"/>
          </w:tcPr>
          <w:p>
            <w:pPr>
              <w:spacing w:after="0"/>
              <w:rPr>
                <w:sz w:val="20"/>
                <w:szCs w:val="20"/>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7.95% and 8.25% Notes payable to insurance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premium financing company (current)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105,200</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 to unrelated parties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(105,200)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(105,200)</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(54,800)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portion</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May 2017, we executed a 7.95% promissory note in the principal amount of $142,400 in connection with insurance policy premiums. The note is payable in monthly installments of $14,800, including principal and interest, through March 2018, and had a remaining outstanding balance of $86,600 at September 30, 2017. In February 2017, we executed a promissory note in the principal amount of $60,700 in connection with other insurance policy premiums. That note is payable in monthly installments of $6,300, including principal and interest, and had an outstanding balance of $18,600 at September 30,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Capital Stock</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our Annual Meeting of Stockholders on September 15, 2017, as approved by and recommended to our stockholders by our Board, our stockholders approved an amendment to our Restated and Amended Articles of Incorporation to increase the authorized number of shares of common stock that the Company may issue from 30.0 million shares to 100.0 million shares. The amendment became effective on September 15, 2017, upon our filing of a certificate of amendment with the Secretary of State of the state of Nevada.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Firm Commitment Underwritten Public Offering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On September 6, 2017, we completed a firm commitment underwritten public offering pursuant to which we offered and sold shares of our common stock and warrants to two of our existing institutional investors, resulting in gross proceeds of approximately $2.4 million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xml:space="preserve">). We issued an aggregate of 1,371,430 shares of our common stock, Series A1 Warrants to purchase up to 1,388,931 shares of common stock and Series A2 Warrants to purchase up to 503,641 of common stock (collectively, the </w:t>
      </w:r>
      <w:r>
        <w:rPr>
          <w:rFonts w:ascii="Arial" w:cs="Arial" w:eastAsia="Arial" w:hAnsi="Arial"/>
          <w:sz w:val="16"/>
          <w:szCs w:val="16"/>
          <w:i w:val="1"/>
          <w:iCs w:val="1"/>
          <w:color w:val="auto"/>
        </w:rPr>
        <w:t>Warrants</w:t>
      </w:r>
      <w:r>
        <w:rPr>
          <w:rFonts w:ascii="Arial" w:cs="Arial" w:eastAsia="Arial" w:hAnsi="Arial"/>
          <w:sz w:val="16"/>
          <w:szCs w:val="16"/>
          <w:color w:val="auto"/>
        </w:rPr>
        <w:t xml:space="preserve">), each exercisable for $1.82 per share in the September 2017 Public Offering. The Series A1 Warrants will be exercisable by the investors for a five-year period commencing on March 7, 2018, and the Series A2 Warrants are exercisable at any time through September 6, 2022. The common stock and the shares of common stock underlying the Warrants issued in the September 2017 Public Offering were offered, issued and sold pursuant to our S-3 Registration Statement that had previously been declared effective by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to cover this and potential future sales of our equity securities in one or more public offerings from time to time. We received net proceeds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$2.0 million from the September 2017 Public Offering, after deducting underwriter’s commission and other expenses related to the offering.</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1,388,931 Series A1 Warrants issued in the September 2017 Public Offering have no anti-dilution or other exercise price or share reset features, except as is customary with respect to a change in our capital structure in the event of a stock split or dividend, and, accordingly, we have accounted for them as equity warrants. The 503,641 Series A2 Warrants contain anti-dilution protection provisions that will take effect upon the issuance of any common stock, securities convertible into common stock or certain other issuances at a price below the then-current (currently $1.82 per share) exercise price of the Series A2 Warrants, with certain exceptions; provided, however, that such anti-dilution protection will terminate automatically on the trading day following the date on which we have raised at least $20.0 million in aggregate gross proceeds through one or more issuances of common stock or equity-linked securities. The anti-dilution protection provisions in the Series A2 Warrants constitute a down round feature subject to the guidance in ASU 2017-11. Since the Series A2 Warrants contain no other provisions which require their treatment as liability warrants rather than equity warrants, including the exercise price or share reset features, except as is customary with respect to a change in our capital structure in the event of a stock split or dividend and which are also present in the Series A1 Warrants, we have also accounted for the Series A2 Warrants as equity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quarter ended June 30, 2017, in self-placed private placement transactions, we accepted subscription agreements from individual accredited investors, pursuant to which we sold to such investors units, at a weighted average purchase price of $2.00 per unit, consisting of an aggregate of 437,751 unregistered shares of our common stock and warrants, exercisable through April 30, 2021, to purchase an aggregate of 218,875 unregistered shares of our common stock at a weighted average exercise price of $3.99 per share. The purchasers of the units have no registration rights with respect to the shares of common stock, warrants or the shares of common stock issuable upon exercise of the warrants comprising the units sold. The warrants are not exercisable until six months and one day following the date of issuance. We received aggregate cash proceeds of $873,300 in connection with these self-placed private placement transactions, and the entire amount of the proceeds was credited to stockholders’ equity.</w:t>
      </w:r>
    </w:p>
    <w:p>
      <w:pPr>
        <w:sectPr>
          <w:pgSz w:w="11900" w:h="16838" w:orient="portrait"/>
          <w:cols w:equalWidth="0" w:num="1">
            <w:col w:w="11420"/>
          </w:cols>
          <w:pgMar w:left="240" w:top="131"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August 2017, in a self-placed private placement transaction, we sold to an accredited investor units consisting of 28,572 shares of our unregistered common stock and warrants exercisable through April 30, 2021 to purchase 28,572 unregistered shares of our common stock at an exercise price of $4.00 per share. The purchaser of the units has no registration rights with respect to the shares of common stock, warrants or the shares of common stock issuable upon exercise of the warrants comprising the units sold. The warrants are not exercisable until six months and one day following the date of issuance. We received cash proceeds of $50,000 from this sale of our securities, and the entire amount of the proceeds was credited to stockholders’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quarter ended June 30, 2017, we issued 25,000 shares of our unregistered common stock having a fair value on the date of issuance of $49,800 as partial compensation to an investor relations service provider.</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quarter ended September 30, 2017, our Board of Directors (</w:t>
      </w:r>
      <w:r>
        <w:rPr>
          <w:rFonts w:ascii="Arial" w:cs="Arial" w:eastAsia="Arial" w:hAnsi="Arial"/>
          <w:sz w:val="18"/>
          <w:szCs w:val="18"/>
          <w:i w:val="1"/>
          <w:iCs w:val="1"/>
          <w:color w:val="auto"/>
        </w:rPr>
        <w:t>Board</w:t>
      </w:r>
      <w:r>
        <w:rPr>
          <w:rFonts w:ascii="Arial" w:cs="Arial" w:eastAsia="Arial" w:hAnsi="Arial"/>
          <w:sz w:val="18"/>
          <w:szCs w:val="18"/>
          <w:color w:val="auto"/>
        </w:rPr>
        <w:t>) approved the issuance of an aggregate of 927,500 unregistered shares of our common stock, of which 477,500 shares were issued from our 2016 Amended and Restated Stock Incentive Plan, for various professional services, including contract research, legal, investor relations and financial advisory services. The common stock issued had an aggregate fair value of $1,503,600 on the dates issued, of which all but $161,300 has been recognized as noncash expense during the quarter ended September 30, 2017. The un-expensed portion at September 30, 2017 is being recognized in expense ratably through July 2019 in accordance with the terms of work orders for certain contract research services to be provided through that period.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Warrants Issued in Private Placements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September 2017, the Board authorized the modification of outstanding warrants issued in private placement transactions between March 2017 and June 2017 to reduce the exercise prices and increase the number of shares for which the warrants were exercisable. We calculated the fair value of the warrant immediately before and after the modification using the Black Scholes Option Pricing Model and the weighted average assumptions indicated in the table below. We recognized the additional fair value, $279,700, as warrant modification expense, included as a component of general and administrative expenses, in our Condensed Consolidated Statement of Operations and Comprehensive Loss for the quarter ended September 30, 2017.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4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48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Dividend rate</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495,001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48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jc w:val="right"/>
              <w:ind w:right="2712"/>
              <w:spacing w:after="0"/>
              <w:rPr>
                <w:sz w:val="20"/>
                <w:szCs w:val="20"/>
                <w:color w:val="auto"/>
              </w:rPr>
            </w:pPr>
            <w:r>
              <w:rPr>
                <w:rFonts w:ascii="Arial" w:cs="Arial" w:eastAsia="Arial" w:hAnsi="Arial"/>
                <w:sz w:val="18"/>
                <w:szCs w:val="18"/>
                <w:color w:val="auto"/>
              </w:rPr>
              <w:t>- 11 -</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warrant issuances in the September 2017 Public Offering and in the self-placed private placement transactions and the warrant modifications described above, at September 30, 2017, we had outstanding warrants to purchase shares of our common stock at a weighted average exercise price of $4.77 per share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Warrants</w:t>
            </w: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Outstanding</w:t>
            </w:r>
          </w:p>
        </w:tc>
      </w:tr>
      <w:tr>
        <w:trPr>
          <w:trHeight w:val="216"/>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at</w:t>
            </w:r>
          </w:p>
        </w:tc>
      </w:tr>
      <w:tr>
        <w:trPr>
          <w:trHeight w:val="216"/>
        </w:trPr>
        <w:tc>
          <w:tcPr>
            <w:tcW w:w="14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Exercise Price</w:t>
            </w:r>
          </w:p>
        </w:tc>
        <w:tc>
          <w:tcPr>
            <w:tcW w:w="8680" w:type="dxa"/>
            <w:vAlign w:val="bottom"/>
          </w:tcPr>
          <w:p>
            <w:pPr>
              <w:ind w:left="3940"/>
              <w:spacing w:after="0"/>
              <w:rPr>
                <w:sz w:val="20"/>
                <w:szCs w:val="20"/>
                <w:color w:val="auto"/>
              </w:rPr>
            </w:pPr>
            <w:r>
              <w:rPr>
                <w:rFonts w:ascii="Arial" w:cs="Arial" w:eastAsia="Arial" w:hAnsi="Arial"/>
                <w:sz w:val="18"/>
                <w:szCs w:val="18"/>
                <w:b w:val="1"/>
                <w:bCs w:val="1"/>
                <w:color w:val="auto"/>
              </w:rPr>
              <w:t>Expiration</w:t>
            </w:r>
          </w:p>
        </w:tc>
        <w:tc>
          <w:tcPr>
            <w:tcW w:w="14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September 30,</w:t>
            </w:r>
          </w:p>
        </w:tc>
      </w:tr>
      <w:tr>
        <w:trPr>
          <w:trHeight w:val="237"/>
        </w:trPr>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per Share</w:t>
            </w:r>
          </w:p>
        </w:tc>
        <w:tc>
          <w:tcPr>
            <w:tcW w:w="8680" w:type="dxa"/>
            <w:vAlign w:val="bottom"/>
          </w:tcPr>
          <w:p>
            <w:pPr>
              <w:ind w:left="4160"/>
              <w:spacing w:after="0"/>
              <w:rPr>
                <w:sz w:val="20"/>
                <w:szCs w:val="20"/>
                <w:color w:val="auto"/>
              </w:rPr>
            </w:pPr>
            <w:r>
              <w:rPr>
                <w:rFonts w:ascii="Arial" w:cs="Arial" w:eastAsia="Arial" w:hAnsi="Arial"/>
                <w:sz w:val="18"/>
                <w:szCs w:val="18"/>
                <w:b w:val="1"/>
                <w:bCs w:val="1"/>
                <w:color w:val="auto"/>
              </w:rPr>
              <w:t>Date</w:t>
            </w:r>
          </w:p>
        </w:tc>
        <w:tc>
          <w:tcPr>
            <w:tcW w:w="122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r>
      <w:tr>
        <w:trPr>
          <w:trHeight w:val="216"/>
        </w:trPr>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9/6/2022 to 3/7/2023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1,892,572</w:t>
            </w:r>
          </w:p>
        </w:tc>
        <w:tc>
          <w:tcPr>
            <w:tcW w:w="140" w:type="dxa"/>
            <w:vAlign w:val="bottom"/>
            <w:shd w:val="clear" w:color="auto" w:fill="CCEEFF"/>
          </w:tcPr>
          <w:p>
            <w:pPr>
              <w:spacing w:after="0"/>
              <w:rPr>
                <w:sz w:val="18"/>
                <w:szCs w:val="18"/>
                <w:color w:val="auto"/>
              </w:rPr>
            </w:pPr>
          </w:p>
        </w:tc>
      </w:tr>
      <w:tr>
        <w:trPr>
          <w:trHeight w:val="216"/>
        </w:trPr>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4/30/2021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495,001</w:t>
            </w:r>
          </w:p>
        </w:tc>
        <w:tc>
          <w:tcPr>
            <w:tcW w:w="140" w:type="dxa"/>
            <w:vAlign w:val="bottom"/>
          </w:tcPr>
          <w:p>
            <w:pPr>
              <w:spacing w:after="0"/>
              <w:rPr>
                <w:sz w:val="18"/>
                <w:szCs w:val="18"/>
                <w:color w:val="auto"/>
              </w:rPr>
            </w:pPr>
          </w:p>
        </w:tc>
      </w:tr>
      <w:tr>
        <w:trPr>
          <w:trHeight w:val="216"/>
        </w:trPr>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12/31/2021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r>
      <w:tr>
        <w:trPr>
          <w:trHeight w:val="216"/>
        </w:trPr>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4/30/2021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28,572</w:t>
            </w:r>
          </w:p>
        </w:tc>
        <w:tc>
          <w:tcPr>
            <w:tcW w:w="140" w:type="dxa"/>
            <w:vAlign w:val="bottom"/>
          </w:tcPr>
          <w:p>
            <w:pPr>
              <w:spacing w:after="0"/>
              <w:rPr>
                <w:sz w:val="18"/>
                <w:szCs w:val="18"/>
                <w:color w:val="auto"/>
              </w:rPr>
            </w:pPr>
          </w:p>
        </w:tc>
      </w:tr>
      <w:tr>
        <w:trPr>
          <w:trHeight w:val="216"/>
        </w:trPr>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9/26/2019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r>
      <w:tr>
        <w:trPr>
          <w:trHeight w:val="216"/>
        </w:trPr>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5/16/2021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2,705,883</w:t>
            </w:r>
          </w:p>
        </w:tc>
        <w:tc>
          <w:tcPr>
            <w:tcW w:w="140" w:type="dxa"/>
            <w:vAlign w:val="bottom"/>
          </w:tcPr>
          <w:p>
            <w:pPr>
              <w:spacing w:after="0"/>
              <w:rPr>
                <w:sz w:val="18"/>
                <w:szCs w:val="18"/>
                <w:color w:val="auto"/>
              </w:rPr>
            </w:pPr>
          </w:p>
        </w:tc>
      </w:tr>
      <w:tr>
        <w:trPr>
          <w:trHeight w:val="216"/>
        </w:trPr>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9/26/2019 to 11/30/2019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97,750</w:t>
            </w:r>
          </w:p>
        </w:tc>
        <w:tc>
          <w:tcPr>
            <w:tcW w:w="140" w:type="dxa"/>
            <w:vAlign w:val="bottom"/>
            <w:shd w:val="clear" w:color="auto" w:fill="CCEEFF"/>
          </w:tcPr>
          <w:p>
            <w:pPr>
              <w:spacing w:after="0"/>
              <w:rPr>
                <w:sz w:val="18"/>
                <w:szCs w:val="18"/>
                <w:color w:val="auto"/>
              </w:rPr>
            </w:pPr>
          </w:p>
        </w:tc>
      </w:tr>
      <w:tr>
        <w:trPr>
          <w:trHeight w:val="216"/>
        </w:trPr>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12/11/2018 to 3/3/2023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1,346,931</w:t>
            </w:r>
          </w:p>
        </w:tc>
        <w:tc>
          <w:tcPr>
            <w:tcW w:w="140" w:type="dxa"/>
            <w:vAlign w:val="bottom"/>
          </w:tcPr>
          <w:p>
            <w:pPr>
              <w:spacing w:after="0"/>
              <w:rPr>
                <w:sz w:val="18"/>
                <w:szCs w:val="18"/>
                <w:color w:val="auto"/>
              </w:rPr>
            </w:pPr>
          </w:p>
        </w:tc>
      </w:tr>
      <w:tr>
        <w:trPr>
          <w:trHeight w:val="216"/>
        </w:trPr>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3/25/2021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40" w:type="dxa"/>
            <w:vAlign w:val="bottom"/>
            <w:shd w:val="clear" w:color="auto" w:fill="CCEEFF"/>
          </w:tcPr>
          <w:p>
            <w:pPr>
              <w:spacing w:after="0"/>
              <w:rPr>
                <w:sz w:val="18"/>
                <w:szCs w:val="18"/>
                <w:color w:val="auto"/>
              </w:rPr>
            </w:pPr>
          </w:p>
        </w:tc>
      </w:tr>
      <w:tr>
        <w:trPr>
          <w:trHeight w:val="216"/>
        </w:trPr>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11/15/2017 to 1/11/2020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24,394</w:t>
            </w:r>
          </w:p>
        </w:tc>
        <w:tc>
          <w:tcPr>
            <w:tcW w:w="140" w:type="dxa"/>
            <w:vAlign w:val="bottom"/>
          </w:tcPr>
          <w:p>
            <w:pPr>
              <w:spacing w:after="0"/>
              <w:rPr>
                <w:sz w:val="18"/>
                <w:szCs w:val="18"/>
                <w:color w:val="auto"/>
              </w:rPr>
            </w:pPr>
          </w:p>
        </w:tc>
      </w:tr>
      <w:tr>
        <w:trPr>
          <w:trHeight w:val="216"/>
        </w:trPr>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9/15/2019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140" w:type="dxa"/>
            <w:vAlign w:val="bottom"/>
            <w:shd w:val="clear" w:color="auto" w:fill="CCEEFF"/>
          </w:tcPr>
          <w:p>
            <w:pPr>
              <w:spacing w:after="0"/>
              <w:rPr>
                <w:sz w:val="18"/>
                <w:szCs w:val="18"/>
                <w:color w:val="auto"/>
              </w:rPr>
            </w:pPr>
          </w:p>
        </w:tc>
      </w:tr>
      <w:tr>
        <w:trPr>
          <w:trHeight w:val="223"/>
        </w:trPr>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11/20/2017</w:t>
            </w:r>
          </w:p>
        </w:tc>
        <w:tc>
          <w:tcPr>
            <w:tcW w:w="1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9"/>
                <w:szCs w:val="19"/>
                <w:color w:val="auto"/>
              </w:rPr>
            </w:pPr>
          </w:p>
        </w:tc>
      </w:tr>
      <w:tr>
        <w:trPr>
          <w:trHeight w:val="257"/>
        </w:trPr>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6,965,151</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the exception of 2,705,883 shares of common stock underlying the warrants exercisable at $5.30 per share issued in our May 2016 public offering and 1,892,572 shares of common stock underlying the warrants exercisable at $1.82 per share issued in our September 2017 Public Offering, all of the common shares issuable upon exercise of our outstanding warrants are unregistered.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xml:space="preserve">) recently engaged by us for a wide range of material aspects related to the nonclinical and clinical development and regulatory affairs associated with our efforts to develop and commercialize AV-101 for MDD and other potential CNS indications. CBV is among our largest institutional stockholders at September 30, 2017, holding approximately 7.8% of our outstanding common stock. In October 2012, we issued certain unsecured promissory notes in the aggregate principal amount of approximately $1.3 million to CBV and CRL (the </w:t>
      </w:r>
      <w:r>
        <w:rPr>
          <w:rFonts w:ascii="Arial" w:cs="Arial" w:eastAsia="Arial" w:hAnsi="Arial"/>
          <w:sz w:val="16"/>
          <w:szCs w:val="16"/>
          <w:i w:val="1"/>
          <w:iCs w:val="1"/>
          <w:color w:val="auto"/>
        </w:rPr>
        <w:t>Cato Notes</w:t>
      </w:r>
      <w:r>
        <w:rPr>
          <w:rFonts w:ascii="Arial" w:cs="Arial" w:eastAsia="Arial" w:hAnsi="Arial"/>
          <w:sz w:val="16"/>
          <w:szCs w:val="16"/>
          <w:color w:val="auto"/>
        </w:rPr>
        <w:t>) as payment in full for all contract research and development services and regulatory advice previously rendered to us by CRL for nonclinical and Phase 1 development of AV-101. In June 2015, the Cato Notes and additional amounts payable to CRL for CRO services related to AV-101 were extinguished in exchange for our issuance of an aggregate of 328,571 shares of Series B Preferred stock to CBV, which shares of Series B Preferred stock were automatically converted in accordance with their terms into an equal number of registered shares of our common stock as a result of our May 2016 public offering.</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2017, we entered into a Master Services Agreement (</w:t>
      </w:r>
      <w:r>
        <w:rPr>
          <w:rFonts w:ascii="Arial" w:cs="Arial" w:eastAsia="Arial" w:hAnsi="Arial"/>
          <w:sz w:val="16"/>
          <w:szCs w:val="16"/>
          <w:i w:val="1"/>
          <w:iCs w:val="1"/>
          <w:color w:val="auto"/>
        </w:rPr>
        <w:t>MSA</w:t>
      </w:r>
      <w:r>
        <w:rPr>
          <w:rFonts w:ascii="Arial" w:cs="Arial" w:eastAsia="Arial" w:hAnsi="Arial"/>
          <w:sz w:val="16"/>
          <w:szCs w:val="16"/>
          <w:color w:val="auto"/>
        </w:rPr>
        <w:t>) with CRL, which replaced a substantially similar May 2007 master services agreement, pursuant to which CRL may assist us in the evaluation, development, commercialization and marketing of our potential product candidates, including AV-101, and provide regulatory and strategic consulting services as requested from time to time. Specific projects or services are and will be delineated in individual work orders negotiated from time-to-time under the MSA. Under the terms of work orders issued pursuant to the July 2017 MSA and our May 2007 master services agreement with CRL, we incurred expenses of $484,000 and $27,800 during the quarters ended September 30, 2017 and 2016, respectively, and $612,200 and $78,200 in the six-month periods ended September 30, 2017 and 2016, respectively. During the quarter ended September 30, 2017, we issued an aggregate of 300,000 unregistered shares of our common stock to CRL under the terms of certain work orders for current and future CRO services relating to our development of AV-101 for MDD, the fair value of which represented approximately $364,000 of the reported CRO expense for the quarter then ended. We anticipate periodic expenses for CRO services from CRL related to nonclinical and clinical development of, and regulatory affairs related to, AV-101 and other potential product candidates will increase in future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November 9, 2017 and have identified the following matters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October 2017, we issued an aggregate of 70,000 shares of our unregistered common stock having an aggregate fair value of $83,800 to certain professional service providers.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“believe,” “may,”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 of regulation by the U.S.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and stockholders.</w:t>
      </w:r>
    </w:p>
    <w:p>
      <w:pPr>
        <w:spacing w:after="0" w:line="3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 All references to future quarters and years in this Item 2 refer to calendar quarters and calendar years, unless reference is made otherwise.</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non-opioid treatment alternative for neuropathic pain, as well as several additional CNS indications </w:t>
      </w:r>
      <w:r>
        <w:rPr>
          <w:rFonts w:ascii="Arial" w:cs="Arial" w:eastAsia="Arial" w:hAnsi="Arial"/>
          <w:sz w:val="16"/>
          <w:szCs w:val="16"/>
          <w:color w:val="333333"/>
        </w:rPr>
        <w:t>where modulation of the NMDA receptors,</w:t>
      </w:r>
      <w:r>
        <w:rPr>
          <w:rFonts w:ascii="Arial" w:cs="Arial" w:eastAsia="Arial" w:hAnsi="Arial"/>
          <w:sz w:val="16"/>
          <w:szCs w:val="16"/>
          <w:color w:val="auto"/>
        </w:rPr>
        <w:t xml:space="preserve"> </w:t>
      </w:r>
      <w:r>
        <w:rPr>
          <w:rFonts w:ascii="Arial" w:cs="Arial" w:eastAsia="Arial" w:hAnsi="Arial"/>
          <w:sz w:val="16"/>
          <w:szCs w:val="16"/>
          <w:color w:val="333333"/>
        </w:rPr>
        <w:t>activation of AMPA pathways and/or key active metabolites of AV-101 may achieve therapeutic benefit</w:t>
      </w:r>
      <w:r>
        <w:rPr>
          <w:rFonts w:ascii="Arial" w:cs="Arial" w:eastAsia="Arial" w:hAnsi="Arial"/>
          <w:sz w:val="16"/>
          <w:szCs w:val="16"/>
          <w:color w:val="000000"/>
        </w:rPr>
        <w:t>, including Parkinson’s disease levodopa -induced</w:t>
      </w:r>
      <w:r>
        <w:rPr>
          <w:rFonts w:ascii="Arial" w:cs="Arial" w:eastAsia="Arial" w:hAnsi="Arial"/>
          <w:sz w:val="16"/>
          <w:szCs w:val="16"/>
          <w:color w:val="333333"/>
        </w:rPr>
        <w:t xml:space="preserve"> </w:t>
      </w:r>
      <w:r>
        <w:rPr>
          <w:rFonts w:ascii="Arial" w:cs="Arial" w:eastAsia="Arial" w:hAnsi="Arial"/>
          <w:sz w:val="16"/>
          <w:szCs w:val="16"/>
          <w:color w:val="000000"/>
        </w:rPr>
        <w:t>dyskinesia (</w:t>
      </w:r>
      <w:r>
        <w:rPr>
          <w:rFonts w:ascii="Arial" w:cs="Arial" w:eastAsia="Arial" w:hAnsi="Arial"/>
          <w:sz w:val="16"/>
          <w:szCs w:val="16"/>
          <w:i w:val="1"/>
          <w:iCs w:val="1"/>
          <w:color w:val="000000"/>
        </w:rPr>
        <w:t>PD LID</w:t>
      </w:r>
      <w:r>
        <w:rPr>
          <w:rFonts w:ascii="Arial" w:cs="Arial" w:eastAsia="Arial" w:hAnsi="Arial"/>
          <w:sz w:val="16"/>
          <w:szCs w:val="16"/>
          <w:color w:val="000000"/>
        </w:rPr>
        <w:t>), epilepsy and Huntington’s disease.</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approved by the FDA as an anesthetic, in MDD patients with inadequate responses to multiple standard antidepressants. These NIMH studies, as well as clinical research at Yale University and other academic institutions, have demonstrated ketamine’s robust antidepressant effects in treatment-resistant MDD patients within twenty-four hours of a single sub-anesthetic dose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AV-101 may have potential to deliver ketamine-like antidepressant effects, without the need for IV administration and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 prodrug 4-chlorokynurenine causes ketamine-like antidepressant effects, but not side effects, by NMDA/glycineB-site inhibition,</w:t>
      </w:r>
      <w:r>
        <w:rPr>
          <w:rFonts w:ascii="Arial" w:cs="Arial" w:eastAsia="Arial" w:hAnsi="Arial"/>
          <w:sz w:val="16"/>
          <w:szCs w:val="16"/>
          <w:color w:val="auto"/>
        </w:rPr>
        <w:t xml:space="preserve"> using well-established preclinical 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currently funding, and Dr. Zarate, as Principal Investigator, and his team are currently conducting, a small Phase 2 clinical study of AV-101 as a monotherapy in subjects with treatment-resistant MDD (the </w:t>
      </w:r>
      <w:r>
        <w:rPr>
          <w:rFonts w:ascii="Arial" w:cs="Arial" w:eastAsia="Arial" w:hAnsi="Arial"/>
          <w:sz w:val="16"/>
          <w:szCs w:val="16"/>
          <w:i w:val="1"/>
          <w:iCs w:val="1"/>
          <w:color w:val="auto"/>
        </w:rPr>
        <w:t>NIMH AV-101 MDD Phase 2 Monotherapy Study</w:t>
      </w:r>
      <w:r>
        <w:rPr>
          <w:rFonts w:ascii="Arial" w:cs="Arial" w:eastAsia="Arial" w:hAnsi="Arial"/>
          <w:sz w:val="16"/>
          <w:szCs w:val="16"/>
          <w:color w:val="auto"/>
        </w:rPr>
        <w:t xml:space="preserve">). In October 2017, we received FDA authorization to launch our 180-patient Phase 2 multi-center, multi-dose, double blind, placebo-controlled efficacy and safety study of AV-101 as a new generation adjunctive treatment of MDD in adult patients with an inadequate therapeutic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Subject to obtaining sufficient financing, we intend to launch the AV-101 MDD Phase 2 Adjunctive Treatment Study in the first quarter of 2018 with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xml:space="preserve">) Research Institute, as Principal Investigator. Dr. Fava was the co-Principal Investigator with Dr. A. John Rush of the STAR*D study, the largest clinical trial conducted in depression to date, whose findings were published in journals such as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w:t>
      </w:r>
      <w:r>
        <w:rPr>
          <w:rFonts w:ascii="Arial" w:cs="Arial" w:eastAsia="Arial" w:hAnsi="Arial"/>
          <w:sz w:val="16"/>
          <w:szCs w:val="16"/>
          <w:i w:val="1"/>
          <w:iCs w:val="1"/>
          <w:color w:val="auto"/>
        </w:rPr>
        <w:t>NEJM</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Journal of the American Medical Association</w:t>
      </w:r>
      <w:r>
        <w:rPr>
          <w:rFonts w:ascii="Arial" w:cs="Arial" w:eastAsia="Arial" w:hAnsi="Arial"/>
          <w:sz w:val="16"/>
          <w:szCs w:val="16"/>
          <w:color w:val="auto"/>
        </w:rPr>
        <w:t xml:space="preserve"> (</w:t>
      </w:r>
      <w:r>
        <w:rPr>
          <w:rFonts w:ascii="Arial" w:cs="Arial" w:eastAsia="Arial" w:hAnsi="Arial"/>
          <w:sz w:val="16"/>
          <w:szCs w:val="16"/>
          <w:i w:val="1"/>
          <w:iCs w:val="1"/>
          <w:color w:val="auto"/>
        </w:rPr>
        <w:t>JAMA</w:t>
      </w:r>
      <w:r>
        <w:rPr>
          <w:rFonts w:ascii="Arial" w:cs="Arial" w:eastAsia="Arial" w:hAnsi="Arial"/>
          <w:sz w:val="16"/>
          <w:szCs w:val="16"/>
          <w:color w:val="auto"/>
        </w:rPr>
        <w:t>). If started in the first quarter of 2018, we expect to complete this study by the end of 2018, with top line results available in the first quarter of 2019.</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To advance potential RM applications of our cardiac stem cell technology, in December 2016, we exclusively sublicensed to BlueRock Therapeutics LP, a next generation RM company established by Bayer AG and Versant Ventures (</w:t>
      </w:r>
      <w:r>
        <w:rPr>
          <w:rFonts w:ascii="Arial" w:cs="Arial" w:eastAsia="Arial" w:hAnsi="Arial"/>
          <w:sz w:val="16"/>
          <w:szCs w:val="16"/>
          <w:i w:val="1"/>
          <w:iCs w:val="1"/>
          <w:color w:val="auto"/>
        </w:rPr>
        <w:t>BlueRock Therapeutics</w:t>
      </w:r>
      <w:r>
        <w:rPr>
          <w:rFonts w:ascii="Arial" w:cs="Arial" w:eastAsia="Arial" w:hAnsi="Arial"/>
          <w:sz w:val="16"/>
          <w:szCs w:val="16"/>
          <w:color w:val="auto"/>
        </w:rPr>
        <w:t xml:space="preserve">),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our exclusive sublicense agreement with BlueRock Therapeutics, we may pursue additional RM collaborations or licensing transactions involving blood, cartilage, and/or liver cells derived from hPSCs for (A) cell-based therapy, (B) cell repair therapy, and/or (C) tissue engineering.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World Health Organization (</w:t>
      </w:r>
      <w:r>
        <w:rPr>
          <w:rFonts w:ascii="Arial" w:cs="Arial" w:eastAsia="Arial" w:hAnsi="Arial"/>
          <w:sz w:val="18"/>
          <w:szCs w:val="18"/>
          <w:i w:val="1"/>
          <w:iCs w:val="1"/>
          <w:color w:val="auto"/>
        </w:rPr>
        <w:t>WHO</w:t>
      </w:r>
      <w:r>
        <w:rPr>
          <w:rFonts w:ascii="Arial" w:cs="Arial" w:eastAsia="Arial" w:hAnsi="Arial"/>
          <w:sz w:val="18"/>
          <w:szCs w:val="18"/>
          <w:color w:val="auto"/>
        </w:rPr>
        <w:t>) estimates that 300 million people worldwide are affected by depression. According to the NIH, major depression is one of the most common mental disorders in the U.S. The NIMH reports that, in 2014, approximately 16 million adults in the U.S. had at least one major depressive episode in the past year. According to the U.S. Centers for Disease Control and Prevention (</w:t>
      </w:r>
      <w:r>
        <w:rPr>
          <w:rFonts w:ascii="Arial" w:cs="Arial" w:eastAsia="Arial" w:hAnsi="Arial"/>
          <w:sz w:val="18"/>
          <w:szCs w:val="18"/>
          <w:i w:val="1"/>
          <w:iCs w:val="1"/>
          <w:color w:val="auto"/>
        </w:rPr>
        <w:t>CDC</w:t>
      </w:r>
      <w:r>
        <w:rPr>
          <w:rFonts w:ascii="Arial" w:cs="Arial" w:eastAsia="Arial" w:hAnsi="Arial"/>
          <w:sz w:val="18"/>
          <w:szCs w:val="18"/>
          <w:color w:val="auto"/>
        </w:rPr>
        <w:t>) one in 10 Americans over the age of 12 takes a standard, FDA-approved antidepressant.</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Most standard antidepressants target neurotransmitter reuptake inhibition – either serotonin (antidepressants known as </w:t>
      </w:r>
      <w:r>
        <w:rPr>
          <w:rFonts w:ascii="Arial" w:cs="Arial" w:eastAsia="Arial" w:hAnsi="Arial"/>
          <w:sz w:val="18"/>
          <w:szCs w:val="18"/>
          <w:i w:val="1"/>
          <w:iCs w:val="1"/>
          <w:color w:val="auto"/>
        </w:rPr>
        <w:t>SSRIs</w:t>
      </w:r>
      <w:r>
        <w:rPr>
          <w:rFonts w:ascii="Arial" w:cs="Arial" w:eastAsia="Arial" w:hAnsi="Arial"/>
          <w:sz w:val="18"/>
          <w:szCs w:val="18"/>
          <w:color w:val="auto"/>
        </w:rPr>
        <w:t xml:space="preserve">) or serotonin/norepinephrine (antidepressants known as </w:t>
      </w:r>
      <w:r>
        <w:rPr>
          <w:rFonts w:ascii="Arial" w:cs="Arial" w:eastAsia="Arial" w:hAnsi="Arial"/>
          <w:sz w:val="18"/>
          <w:szCs w:val="18"/>
          <w:i w:val="1"/>
          <w:iCs w:val="1"/>
          <w:color w:val="auto"/>
        </w:rPr>
        <w:t>SNRIs</w:t>
      </w:r>
      <w:r>
        <w:rPr>
          <w:rFonts w:ascii="Arial" w:cs="Arial" w:eastAsia="Arial" w:hAnsi="Arial"/>
          <w:sz w:val="18"/>
          <w:szCs w:val="18"/>
          <w:color w:val="auto"/>
        </w:rPr>
        <w:t>). Even when effective, these standard antidepressants take many weeks to achieve adequate therapeutic effects. Nearly two out of every three drug-treated depression patients do not obtain adequate therapeutic benefit from initial treatment with a standard antidepressant.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aripiprazole), despite only modest potential therapeutic benefit and the significant risk of additional side effects.</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All standard antidepressants have risks of side effects, including, among others, anxiety, metabolic syndrome, sleep disturbance and sexual dysfunction. Adjunctive use of atypical antipsychotics to augment inadequately performing standard antidepressants may increase the risk of significant side effects, including, tardive dyskinesia, substantial weight gain, diabetes and heart disease, while offering only a modest potential increase in therapeutic benefit.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AV-101 is our oral CNS product candidate in Phase 2 development in the United States, initially focused as a new generation antidepressant for the adjunctive treatment of MDD patients with an inadequate response to standard, FDA-approved antidepressants.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“The prodrug 4-chlorokynurenine causes ketamine-like antidepressant effects, but not side effects, by NMDA/glycineB-site inhibition,” using well-established preclinical models of depression, AV-101 was shown to induce fast-acting, dose-dependent, persistent and statistically significant ketamine-like antidepressant effects following a single treatment, responses equivalent to those seen with a single sub-anesthetic control dose of ketamine,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antidepressants such as ketamine and AV-101, each with a MOA that is fundamentally different from all standard antidepressants and atypical antipsychotics used adjunctively to augment them.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completed two NIH-funded, randomized, double blind, placebo-controlled AV-101 Phase 1 safety studies. Currently, pursuant to our CRADA with the NIMH and Dr. Carlos Zarate, Jr., the NIMH is currently funding, and Dr. Zarate, as Principal Investigator, and his team are currently conducting, the NIMH AV-101 MDD Phase 2 Monotherapy Study. Although we are not involved in conducting this study, we currently anticipate that the NIMH will complete the NIMH AV-101 MDD Phase 2 Monotherapy Study during the first half of 2018.</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preparing to begin the AV-101 MDD Phase 2 Adjunctive Treatment Study, which will test the safety, efficacy and tolerability of AV-101 as an adjunctive treatment of MDD in adult patients with an inadequate response to standard, FDA-approved antidepressants. Subject to receiving sufficient financing, we intend to launch the AV-101 MDD Phase 2 Adjunctive Treatment Study in the first quarter of 2018. In connection with our preparation for this study, as well as potential Phase 3 development and commercialization of AV-101, we, together with our contract manufacturing organization (</w:t>
      </w:r>
      <w:r>
        <w:rPr>
          <w:rFonts w:ascii="Arial" w:cs="Arial" w:eastAsia="Arial" w:hAnsi="Arial"/>
          <w:sz w:val="16"/>
          <w:szCs w:val="16"/>
          <w:i w:val="1"/>
          <w:iCs w:val="1"/>
          <w:color w:val="auto"/>
        </w:rPr>
        <w:t>CMO</w:t>
      </w:r>
      <w:r>
        <w:rPr>
          <w:rFonts w:ascii="Arial" w:cs="Arial" w:eastAsia="Arial" w:hAnsi="Arial"/>
          <w:sz w:val="16"/>
          <w:szCs w:val="16"/>
          <w:color w:val="auto"/>
        </w:rPr>
        <w:t>), developed a novel process for the production of AV-101 drug substance. We believe our new proprietary production process will significantly improve AV-101 manufacturing efficiency, thereby reducing the current and future cost of manufacturing AV-101 drug substance and improving the yield of AV-101 drug substance manufactured. While developing our new manufacturing process, our CMO produced a batch of AV-101 drug substance that contained certain impurities not within the limits set out by the International Conference on Harmonisation of Technical Requirements for Registration of Pharmaceuticals for Human Use (</w:t>
      </w:r>
      <w:r>
        <w:rPr>
          <w:rFonts w:ascii="Arial" w:cs="Arial" w:eastAsia="Arial" w:hAnsi="Arial"/>
          <w:sz w:val="16"/>
          <w:szCs w:val="16"/>
          <w:i w:val="1"/>
          <w:iCs w:val="1"/>
          <w:color w:val="auto"/>
        </w:rPr>
        <w:t>the ICH Guidelines</w:t>
      </w:r>
      <w:r>
        <w:rPr>
          <w:rFonts w:ascii="Arial" w:cs="Arial" w:eastAsia="Arial" w:hAnsi="Arial"/>
          <w:sz w:val="16"/>
          <w:szCs w:val="16"/>
          <w:color w:val="auto"/>
        </w:rPr>
        <w:t>). The FDA routinely utilizes the ICH Guidelines as an industry standard for development stage programs such as our AV-101 Phase 2 program. Consequently, the FDA placed a clinical hold on the launch of the AV-101 MDD Phase 2 Adjunctive Treatment Study until we either (a) further improved our AV-101 manufacturing process to remove the impurities or reduce the impurities below applicable limits in the ICH Guidelines, or (b) conducted a bridging toxicology study to qualify the impurities as safe for clinical use. In response to the FDA’s requests, we did both. We further improved our AV-101 manufacturing process, produced a new batch of AV-101 drug substance using the improved process, and now have analytical results from that batch showing that the impurities were reduced to a level below the limits of the ICH Guidelines. In addition, we conducted a bridging toxicology study, the results of which confirmed that the impurities found in the AV-101 drug substance tested were safe for clinical use.</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also requested additional contraceptive protection in the upcoming clinical study until we complete preclinical reproductive toxicology studies that are routinely conducted later in stages of clinical development. Although previous toxicology studies for AV-101 do not suggest any reproductive organ involvement, and we have confirmed with the FDA that our proposed study is a Phase 2 study, we have implemented additional contraceptive measures in the revised protocol for the AV-101 MDD Phase 2 Adjunctive Treatment Study that will remain in effect until standard reproductive toxicology studies are completed in the ordinary course prior to commencement of Phase 3 development. We have confirmed with the FDA that our recently implemented contraceptive measures are appropriate for the current stage of development of AV-101.</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September 2017, we requested, and were granted, a pre-IND Type A meeting with the FDA’s Division of Psychiatry to discuss certain matters pertaining to our AV-101 development program and the AV-101 MDD Phase 2 Adjunctive Treatment Study. Subsequent to our Type A Meeting with the FDA, we submitted the supplemental data from our new manufacturing process, the bridging toxicology report and our study protocol, revised to address the FDA’s comments. These documents adequately addressed all concerns raised by the FDA to date. Consequently, on October 26, 2017, FDA authorized us to proceed, under our Investigational New Drug (</w:t>
      </w:r>
      <w:r>
        <w:rPr>
          <w:rFonts w:ascii="Arial" w:cs="Arial" w:eastAsia="Arial" w:hAnsi="Arial"/>
          <w:sz w:val="16"/>
          <w:szCs w:val="16"/>
          <w:i w:val="1"/>
          <w:iCs w:val="1"/>
          <w:color w:val="auto"/>
        </w:rPr>
        <w:t>IND</w:t>
      </w:r>
      <w:r>
        <w:rPr>
          <w:rFonts w:ascii="Arial" w:cs="Arial" w:eastAsia="Arial" w:hAnsi="Arial"/>
          <w:sz w:val="16"/>
          <w:szCs w:val="16"/>
          <w:color w:val="auto"/>
        </w:rPr>
        <w:t>) application, with the AV-101 MDD Phase 2 Adjunctive Treatment Study.</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believe preclinical studies and Phase 1 safety studies support our hypothesis that AV-101 also has potential as a non-opioid treatment alternative for neuropathic pain, as well as several additional CNS indications </w:t>
      </w:r>
      <w:r>
        <w:rPr>
          <w:rFonts w:ascii="Arial" w:cs="Arial" w:eastAsia="Arial" w:hAnsi="Arial"/>
          <w:sz w:val="18"/>
          <w:szCs w:val="18"/>
          <w:color w:val="333333"/>
        </w:rPr>
        <w:t>where modulation of the NMDA receptors, activation of AMPA pathways and/or key active</w:t>
      </w:r>
      <w:r>
        <w:rPr>
          <w:rFonts w:ascii="Arial" w:cs="Arial" w:eastAsia="Arial" w:hAnsi="Arial"/>
          <w:sz w:val="18"/>
          <w:szCs w:val="18"/>
          <w:color w:val="auto"/>
        </w:rPr>
        <w:t xml:space="preserve"> </w:t>
      </w:r>
      <w:r>
        <w:rPr>
          <w:rFonts w:ascii="Arial" w:cs="Arial" w:eastAsia="Arial" w:hAnsi="Arial"/>
          <w:sz w:val="18"/>
          <w:szCs w:val="18"/>
          <w:color w:val="333333"/>
        </w:rPr>
        <w:t>metabolites of AV-101 may achieve therapeutic benefit</w:t>
      </w:r>
      <w:r>
        <w:rPr>
          <w:rFonts w:ascii="Arial" w:cs="Arial" w:eastAsia="Arial" w:hAnsi="Arial"/>
          <w:sz w:val="18"/>
          <w:szCs w:val="18"/>
          <w:color w:val="000000"/>
        </w:rPr>
        <w:t>, including PD LID, epilepsy, and Huntington’s disease. We are beginning to plan additional Phase 2</w:t>
      </w:r>
      <w:r>
        <w:rPr>
          <w:rFonts w:ascii="Arial" w:cs="Arial" w:eastAsia="Arial" w:hAnsi="Arial"/>
          <w:sz w:val="18"/>
          <w:szCs w:val="18"/>
          <w:color w:val="333333"/>
        </w:rPr>
        <w:t xml:space="preserve"> </w:t>
      </w:r>
      <w:r>
        <w:rPr>
          <w:rFonts w:ascii="Arial" w:cs="Arial" w:eastAsia="Arial" w:hAnsi="Arial"/>
          <w:sz w:val="18"/>
          <w:szCs w:val="18"/>
          <w:color w:val="000000"/>
        </w:rPr>
        <w:t>clinical studies to further evaluate the therapeutic potential of AV-101 beyond MDD.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 long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they are ever tested in animal and human studies. Potential commercial applications of our stem cell technology platform involve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RM and cellular therapies. To advance potential RM applications of our cardiac stem cell technology,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In a manner similar to the BlueRock Agreement,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2017, as filed with the SEC on June 29, 2017, and in Note 3 to the accompanying unaudited Condensed Consolidated Financial Statements included in Part 1, Item 1 of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Despite generating $1.25 million of sublicense revenue from the BlueRock Agreement in December 2016, we have not yet achieved recurring revenue-generating status from any of our product candidates or technologies. Since our inception in May 1998, we have devoted substantially all of our time and efforts to developing our lead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related to our product candidates and technologies, with the corollary initiatives of recruiting and retaining personnel and raising working capital. As of September 30, 2017, we had an accumulated deficit of approximately $149.3 million. Our net loss for the six months ended September 30, 2017 and 2016 was approximately $7.3 million and $5.1 million, respectively. We expect losses to continue for the foreseeable future, primarily related to our further development of AV-101 for the adjunctive treatment of MDD, as well as other CNS indications.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Six Months Ended September 30, 2017</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six months ended September 30, 2017, we have continued to (i) advance nonclinical, including manufacturing, and clinical development of AV-101 as a potential new generation antidepressant and as a potential new therapeutic alternative for several other CNS indications with significant unmet medical need,</w:t>
      </w:r>
    </w:p>
    <w:p>
      <w:pPr>
        <w:jc w:val="both"/>
        <w:ind w:firstLine="8"/>
        <w:spacing w:after="0" w:line="302" w:lineRule="auto"/>
        <w:tabs>
          <w:tab w:leader="none" w:pos="259"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expand the regulatory and intellectual property foundation to support broad clinical development and, ultimately, commercialization of AV-101 in the U.S. and foreign markets, and (iii) on a limited basis, advance the predictive toxicology capabilities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small molecule new chemical entity drug rescue and development applications and collaborative regenerative medicine opportunities related to our cardiac stem cell technology platform.</w:t>
      </w:r>
    </w:p>
    <w:p>
      <w:pPr>
        <w:spacing w:after="0" w:line="16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Pursuant to our CRADA with the NIH, the NIH continues to fund, and Dr. Carlos Zarate Jr. of the NIMH continues to conduct, the NIMH AV-101 MDD Phase 2 Monotherapy Study at no cost to us other than supplying clinical trial material. Although we do not direct or control the progress of this study, we currently anticipate that the NIMH will complete the NIMH AV-101 MDD Phase 2 Monotherapy Study during the first half of 2018.</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prepare for the launch of our AV-101 MDD Phase 2 Adjunctive Treatment Study with initiatives that have significantly improved the efficiency of our AV-101 manufacturing processes and production of sufficient quantities of AV-101 to enable a more comprehensive initiation of the study. We currently anticipate the launch of the AV-101 MDD Phase 2 Adjunctive Treatment Study, with Dr. Maurizio Fava of Harvard Medical School serving as Principal Investigator, in the first quarter of 2018.</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333333"/>
        </w:rPr>
        <w:t>Additionally, we are pursuing initiatives to secure a broad spectrum of intellectual property protection for AV-101 covering multiple CNS indications. W</w:t>
      </w:r>
      <w:r>
        <w:rPr>
          <w:rFonts w:ascii="Arial" w:cs="Arial" w:eastAsia="Arial" w:hAnsi="Arial"/>
          <w:sz w:val="16"/>
          <w:szCs w:val="16"/>
          <w:color w:val="000000"/>
        </w:rPr>
        <w:t>e have</w:t>
      </w:r>
      <w:r>
        <w:rPr>
          <w:rFonts w:ascii="Arial" w:cs="Arial" w:eastAsia="Arial" w:hAnsi="Arial"/>
          <w:sz w:val="16"/>
          <w:szCs w:val="16"/>
          <w:color w:val="333333"/>
        </w:rPr>
        <w:t xml:space="preserve"> </w:t>
      </w:r>
      <w:r>
        <w:rPr>
          <w:rFonts w:ascii="Arial" w:cs="Arial" w:eastAsia="Arial" w:hAnsi="Arial"/>
          <w:sz w:val="16"/>
          <w:szCs w:val="16"/>
          <w:color w:val="000000"/>
        </w:rPr>
        <w:t>filed and are pursuing several patent applications in Europe, the U.S. and other selected regions. Several of these patent applications have already been granted or allowed, on both (i) certain novel therapeutic methods of use of AV-101, including depression, and (ii) certain novel methods of producing AV-101. In Europe, the European Patent Office (</w:t>
      </w:r>
      <w:r>
        <w:rPr>
          <w:rFonts w:ascii="Arial" w:cs="Arial" w:eastAsia="Arial" w:hAnsi="Arial"/>
          <w:sz w:val="16"/>
          <w:szCs w:val="16"/>
          <w:i w:val="1"/>
          <w:iCs w:val="1"/>
          <w:color w:val="000000"/>
        </w:rPr>
        <w:t>EPO</w:t>
      </w:r>
      <w:r>
        <w:rPr>
          <w:rFonts w:ascii="Arial" w:cs="Arial" w:eastAsia="Arial" w:hAnsi="Arial"/>
          <w:sz w:val="16"/>
          <w:szCs w:val="16"/>
          <w:color w:val="000000"/>
        </w:rPr>
        <w:t>) recently granted our patent related to methods of treating depression with AV-101 and certain other neurological indications. In the U.S. and other selected regional markets, we are currently pursuing a counterpart AV-101 patent application similar to the patent granted by the EPO. Although the U.S. Patent and Trademark Office (</w:t>
      </w:r>
      <w:r>
        <w:rPr>
          <w:rFonts w:ascii="Arial" w:cs="Arial" w:eastAsia="Arial" w:hAnsi="Arial"/>
          <w:sz w:val="16"/>
          <w:szCs w:val="16"/>
          <w:i w:val="1"/>
          <w:iCs w:val="1"/>
          <w:color w:val="000000"/>
        </w:rPr>
        <w:t>USPTO</w:t>
      </w:r>
      <w:r>
        <w:rPr>
          <w:rFonts w:ascii="Arial" w:cs="Arial" w:eastAsia="Arial" w:hAnsi="Arial"/>
          <w:sz w:val="16"/>
          <w:szCs w:val="16"/>
          <w:color w:val="000000"/>
        </w:rPr>
        <w:t>) has not yet allowed the counterpart application filed in the U.S., we believe that our counterpart patent applications under review by the USPTO and other countries ultimately will be granted.</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Europe, the U.S. and other selected regional markets, we are also prosecuting patent applications related to novel methods of producing AV-101. We recently received a Notice of Allowance for the patent application regarding our manufacturing process from the USPTO and the Chinese counterpart has been granted. We have submitted a counterpart application to the EPO, which has not yet been approved. However, given that our application at the USPTO was sufficient to obtain an allowed patent in the U.S., we believe our counterpart patent application at the EPO ultimately will be granted.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Between late-March 2017 and June 2017, we entered into self-placed private placement transactions with individual accredited investors, pursuant to which we sold units consisting of an aggregate of 495,001 shares of our unregistered common stock and warrants which are not exercisable until six months and one day following issuance and expire on April 30, 2021, to purchase an aggregate of 247,500 shares of our common stock at a weighted average fixed exercise price of $3.99 per share, subject to adjustment only for customary stock dividends, reclassifications, splits and similar transactions. We received aggregate cash proceeds of approximately $1 million in these self-placed private placement transactions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 In September 2017, we reduced the exercise price of each of the warrants issued in the Spring 2017 Private Placement to $2.00 per share and issued additional warrants, also exercisable six months and one day following issuance at an exercise price of $2.00 per share, to purchase an aggregate of 247,501 unregistered shares of our common stock. In August 2017, in a self-placed private placement transaction, we sold units consisting of 28,572 shares of our unregistered common stock and warrants exercisable six months and one day following the date of issuance through April 30, 2021 to purchase 28,572 unregistered shares of our common stock at an exercise price of $4.00 per share. We received cash proceeds of $50,000 from this private placement transaction.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September 2017, we completed a firm commitment underwritten public offering, pursuant to which we sold 1,371,430 shares of our common stock and Series A1 Warrants to purchase up to 1,388,931 shares of common stock and Series A2 Warrants to purchase up to 503,641 of common stock (collectively, the </w:t>
      </w:r>
      <w:r>
        <w:rPr>
          <w:rFonts w:ascii="Arial" w:cs="Arial" w:eastAsia="Arial" w:hAnsi="Arial"/>
          <w:sz w:val="16"/>
          <w:szCs w:val="16"/>
          <w:i w:val="1"/>
          <w:iCs w:val="1"/>
          <w:color w:val="auto"/>
        </w:rPr>
        <w:t>Warrants</w:t>
      </w:r>
      <w:r>
        <w:rPr>
          <w:rFonts w:ascii="Arial" w:cs="Arial" w:eastAsia="Arial" w:hAnsi="Arial"/>
          <w:sz w:val="16"/>
          <w:szCs w:val="16"/>
          <w:color w:val="auto"/>
        </w:rPr>
        <w:t>), each exercisable for $1.82 per share warrants to two of our existing institutional investors, resulting in net proceeds of approximately $2.0 million (the</w:t>
      </w:r>
      <w:r>
        <w:rPr>
          <w:rFonts w:ascii="Arial" w:cs="Arial" w:eastAsia="Arial" w:hAnsi="Arial"/>
          <w:sz w:val="16"/>
          <w:szCs w:val="16"/>
          <w:i w:val="1"/>
          <w:iCs w:val="1"/>
          <w:color w:val="auto"/>
        </w:rPr>
        <w:t xml:space="preserve"> September 2017 Public Offering</w:t>
      </w:r>
      <w:r>
        <w:rPr>
          <w:rFonts w:ascii="Arial" w:cs="Arial" w:eastAsia="Arial" w:hAnsi="Arial"/>
          <w:sz w:val="16"/>
          <w:szCs w:val="16"/>
          <w:color w:val="auto"/>
        </w:rPr>
        <w:t>). The Series A1 Warrants will be exercisable for a five-year period commencing on March 7, 2018, and the Series A2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are exercisable at any time and expire on September 6, 2022. The common stock and the shares of common stock underlying the Warrants issued in the September 2017 Public Offering were sold pursuant to our effective Registration Statement on Form S-3 (Registration No. 333-215671) to cover this and potential future sales of our equity securities in one or more public offerings from time to time.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July 2017, we appointed </w:t>
      </w:r>
      <w:r>
        <w:rPr>
          <w:rFonts w:ascii="Arial" w:cs="Arial" w:eastAsia="Arial" w:hAnsi="Arial"/>
          <w:sz w:val="18"/>
          <w:szCs w:val="18"/>
          <w:color w:val="333333"/>
        </w:rPr>
        <w:t>Mark Wallace, M.D., Distinguished Professor of Clinical Anesthesiology at the University of California, San Diego, to our Clinical</w:t>
      </w:r>
      <w:r>
        <w:rPr>
          <w:rFonts w:ascii="Arial" w:cs="Arial" w:eastAsia="Arial" w:hAnsi="Arial"/>
          <w:sz w:val="18"/>
          <w:szCs w:val="18"/>
          <w:color w:val="auto"/>
        </w:rPr>
        <w:t xml:space="preserve"> </w:t>
      </w:r>
      <w:r>
        <w:rPr>
          <w:rFonts w:ascii="Arial" w:cs="Arial" w:eastAsia="Arial" w:hAnsi="Arial"/>
          <w:sz w:val="18"/>
          <w:szCs w:val="18"/>
          <w:color w:val="333333"/>
        </w:rPr>
        <w:t>and Regulatory Advisory Board to assist us in advancing development of AV-101 as a potential non-opioid treatment alternative for neuropathic pain. Dr. Wallace is an internationally recognized leader in the field of multi-modal pain management, with over 30 years of professional experience, board certifications, licensures, honors/awards, grants, articles and abstracts.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2017 and 2016</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summarizes the results of our operations, including both cash and noncash components, for the three months ended September 30, 2017 and 2016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(4,997)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Deemed dividend on Series B Preferred Stock</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reported no revenue for the quarters ended September 30, 2017 or 2016 and we presently have no recurring revenue generating arrangements with respect to AV-101 or other potential product candidates. While we may potentially receive future milestone payments and royalties under the BlueRock Agreement upon achievement of certain performance-based milestones and commercial sales. However, there can be no assurance that the BlueRock Agreement will provide additional revenue to us in the near term or at all.</w:t>
      </w:r>
    </w:p>
    <w:p>
      <w:pPr>
        <w:sectPr>
          <w:pgSz w:w="11900" w:h="16838" w:orient="portrait"/>
          <w:cols w:equalWidth="0" w:num="1">
            <w:col w:w="11420"/>
          </w:cols>
          <w:pgMar w:left="240" w:top="131" w:right="239" w:bottom="5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589"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 including both cash and noncash components, totaled $2.4 million for the quarter ended September 30, 2017, an increase of approximately 51% compared to the $1.6 million reported for the quarter ended September 30, 2016. Noncash expenses, including stock compensation, depreciation and a portion of rent expense in both periods and a portion of AV-101 project expenses in the quarter ended September 30, 2017, totaled approximately $592,000 and $83,000 in the quarters ended September 30, 2017 and 2016, respectively. The increase in research and development expense in 2017 reflects our continued focus on nonclinical and clinical development of AV-101, particularly our preparations for the launch of the AV-101 MDD Phase 2 Adjunctive Treatment Study, which is currently anticipated in the first quarter of 2018, subject to securing additional financing. The following table indicates the primary components of research and development expense for each of the periods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Three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increase in salaries and benefits expense reflects the impact of salary increases granted to our Chief Medical Officer (</w:t>
      </w:r>
      <w:r>
        <w:rPr>
          <w:rFonts w:ascii="Arial" w:cs="Arial" w:eastAsia="Arial" w:hAnsi="Arial"/>
          <w:sz w:val="16"/>
          <w:szCs w:val="16"/>
          <w:i w:val="1"/>
          <w:iCs w:val="1"/>
          <w:color w:val="auto"/>
        </w:rPr>
        <w:t>CMO</w:t>
      </w:r>
      <w:r>
        <w:rPr>
          <w:rFonts w:ascii="Arial" w:cs="Arial" w:eastAsia="Arial" w:hAnsi="Arial"/>
          <w:sz w:val="16"/>
          <w:szCs w:val="16"/>
          <w:color w:val="auto"/>
        </w:rPr>
        <w:t>) and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in July 2017 and to the non-officer members of our scientific staff in June 2017. Additionally, our then-newly-hired CMO did not receive a bonus payment in July 2016; however, both our CMO and CSO were granted a bonus in September 2017. The full amount of each officer’s 2017 bonus was accrued at the time it was granted, but only 25% of the total amount was paid by September 30, 2017, with the remaining balance to be paid ratably through March 31, 2018.</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Noncash stock based compensation expense increased in the current period primarily from the routine amortization of option grants made to our CSO, CMO and scientific staff in September 2017, April 2017 and November 2016, which grants, in the aggregate, account for approximately $105,000 of 2017 expense. Expense attributable to these grants is being amortized over two-year to four-year vesting periods, based on the terms of the respective grants. Substantially all option grants made prior to September 2015 were fully-vested and fully-expensed prior to June 30, 2017.</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the current period primarily reflects the change in terms of consulting agreements with our stem cell-related scientific advisory board members.</w:t>
      </w:r>
    </w:p>
    <w:p>
      <w:pPr>
        <w:spacing w:after="0" w:line="194"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Technology license expense reflects both recurring annual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this expense includes legal counsel and other costs we have incurred to advance pending patent applications in the U.S. and numerous foreign countries with respect to AV-101 and our stem cell technology platform.</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AV-101 project expense for the quarter ended September 30, 2017 includes continuing costs incurred to develop more efficient and cost-effective proprietary manufacturing methods for AV-101, and to produce clinical trial material for the AV-101 MDD Phase 2 Adjunctive Treatment Study, as well as costs incurred for certain other nonclinical studies to facilitate further clinical development of AV-101 in MDD and potentially for other indications, and to comply with applicable FDA regulations. Stem cell and other project related expenses reflects costs associated with our in-house stem cell technology-related initiatives, and, in 2016, our participation in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project.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for the quarter ended September 30,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 and administrative expense, including both cash and noncash components, increased by 72% to approximately $2.6 million from $1.5 million for the quarters ended September 30, 2017 and 2016, respectively. Noncash expense aggregated approximately $1,494,000 and $579,000 for the quarters ended September 30, 2017 and 2016, respectively, including, in both periods, stock compensation expense, a portion of investor relations and investment banking expenses, warrant modification expense, and a portion of rent expense. The overall increase in general and administrative expenses resulted primarily from increased professional services expenses, including noncash expense attributable to the grant of common stock for services, noncash warrant modification expense and, to a lesser extent, salary and benefits and noncash stock compensation expenses. The following table indicates the primary components of general and administrative expenses, including the cash and noncash components, for each of the periods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Three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increase in salaries and benefits primarily reflects the impact of the hiring of our Vice President of Corporate Development </w:t>
      </w:r>
      <w:r>
        <w:rPr>
          <w:rFonts w:ascii="Arial" w:cs="Arial" w:eastAsia="Arial" w:hAnsi="Arial"/>
          <w:sz w:val="18"/>
          <w:szCs w:val="18"/>
          <w:i w:val="1"/>
          <w:iCs w:val="1"/>
          <w:color w:val="auto"/>
        </w:rPr>
        <w:t>(VP-Corporate Development</w:t>
      </w:r>
      <w:r>
        <w:rPr>
          <w:rFonts w:ascii="Arial" w:cs="Arial" w:eastAsia="Arial" w:hAnsi="Arial"/>
          <w:sz w:val="18"/>
          <w:szCs w:val="18"/>
          <w:color w:val="auto"/>
        </w:rPr>
        <w:t>) in September 2016 and salary increases granted in July 2017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VP-Corporate Development and, in June 2017, to a non-officer member of our administrative staff. Additionally, each of our officers was granted a bonus in September 2017, but our VP-Corporate Development had not yet joined the Company in July 2016, when our CEO and CFO received a bonus payment. The full amount of each officer’s 2017 bonus was accrued at the time it was granted, but only 25% of the total amount was paid by September 30, 2017, with the remaining balance to be paid ratably through March 31, 2018.</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 based compensation expense increased in the current period primarily as a result of the routine amortization of option grants to independent members of our Board and our CEO, CFO and administrative staff in September 2017, April 2017 and November 2016, plus the new-hire grant made to our VP-Corporate Development in September 2016, which grants account for approximately $117,000 of 2017 expense. Expense attributable to these grants is being amortized over a two-year to four-year vesting period, based on the terms of the respective grants. Substantially all option grants made prior to September 2015 were fully-vested and fully-expensed prior to June 30, 2017.</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The Board modified committee assignments effective in April 2017, resulting in the slight increase in expense.</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Legal, accounting and other professional fees for the quarters ended September 30, 2017 and 2016 includes cash expense related to routine legal services as well as accounting expense related to the review of the financial statements for the second quarter of each fiscal year. In the quarter ended September 30, 2017, additionally, we granted an aggregate of 20,000 unregistered shares of our common stock having an aggregate fair value of $30,800 to legal services providers as compensation for services and an aggregate of 150,000 unregistered shares of our common stock having an aggregate fair value of $234,000 to two investment banking firms pursuant to financial advisory agreements. In the quarter ended September 30, 2016, we granted an aggregate of 25,000 unregistered shares of our common stock having a fair value of $108,500 to a legal services provider as compensation for services.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Investor relations expense includes the fees of our various external service providers for a broad spectrum of investor relations, market awareness and strategic advisory and support functions, as well as initiatives that included numerous meetings in multiple U.S. markets and other communication activities focused on expanding market awareness of the Company, including among registered investment professionals and investment advisors, and individual and institutional investors. In the quarter ended September 30, 2017, in addition to cash fees and expenses we incurred, we granted an aggregate of 457,000 unregistered shares of our common stock to various corporate development, investor relations, market awareness and strategic business advisory service providers for their services and recognized noncash expense of $713,300, representing the fair value of the stock at the time of issuance. In the quarter ended September 30, 2016, we granted an aggregate of 25,000 unregistered shares of our common stock having a fair value at the time of issuance of $108,500 to an investor relations service provider as compensation for services.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both periods, travel expense reflects costs associated with management presentations to and meetings in multiple U.S. markets with existing and potential individual and institutional investors, investment professionals and advisors, media, and securities analysts, as well as various investor relations, market awareness and corporate development initiatives.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for the quarter ended September 30, 2017 reflects higher commercial property rents prevalent in the local real estate market and recognized in our November 2016 lease amendment extending the lease of our headquarters facilities by five years from July 31, 2017 to July 31, 2022 and the related accounting for the extension amendment.</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September 2017, we reduced the exercise price of 247,500 warrants issued in the Spring 2017 Private Placement from a weighted average exercise price of $3.99 per share to $2.00 per share. We also issued to each of the Spring 2017 Private Placement investors additional warrants to purchase an aggregate total of 247,501 shares of common stock, with an exercise price of $2.00 per share. We recognized noncash expense of $279,700 in the quarter ended September 30, 2017 representing the increase in fair value of the warrants granted initially before and after the modification and the fair value of the additional warrants granted. In August 2016, we entered into warrant exchange agreements with certain warrant holders pursuant to which the warrant holders exchanged outstanding warrants to purchase an aggregate of 20,000 shares of our common stock for an aggregate of 15,000 shares of our unregistered common stock. As we had with similar prior transactions, we accounted for these transactions as warrant modifications, resulting in our recognition of $17,100 in noncash expense in the quarter ended September 30,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totaled $3,300 for the quarter ended September 30, 2017 compared to $1,400 reported for the quarter ended September 30, 2016. Interest expense in both periods relates to interest paid on insurance premium financing and on a capital lease of office equipment.</w:t>
      </w:r>
    </w:p>
    <w:p>
      <w:pPr>
        <w:spacing w:after="0" w:line="18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recognized $256,300 and $241,000 for the quarters ended September 30, 2017 and 2016, respectively, representing the 10% cumulative dividend payable on our Series B Preferred as an additional deduction in arriving at net loss attributable to common stockholders in the accompanying Condensed Consolidated Statement of Operations and Comprehensive Loss included in Part I of this Report. There have been no conversions of outstanding shares of our Series B Preferred stock into shares of our common stock since August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September 30, 2017 and 2016</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table summarizes the results of our operations, including both cash and noncash components, for the six months ended September 30, 2017 and 2016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Six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(7,262)</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80"/>
              <w:spacing w:after="0"/>
              <w:rPr>
                <w:sz w:val="20"/>
                <w:szCs w:val="20"/>
                <w:color w:val="auto"/>
              </w:rPr>
            </w:pPr>
            <w:r>
              <w:rPr>
                <w:rFonts w:ascii="Arial" w:cs="Arial" w:eastAsia="Arial" w:hAnsi="Arial"/>
                <w:sz w:val="18"/>
                <w:szCs w:val="18"/>
                <w:color w:val="auto"/>
              </w:rPr>
              <w:t>Deemed dividend on Series B Preferred Stock</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reported no revenue for the six-month periods ended September 30, 2017 or 2016 and we presently have no recurring revenue generating arrangements with respect to AV-101 or other potential product candidates. While we may potentially receive future milestone payments and royalties under the BlueRock Agreement upon the achievement of certain performance-based milestones and commercial sales, there can be no assurance that the BlueRock Agreement will provide additional revenue to us in the near term or at 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 including both cash and noncash components, totaled $3.5 million for the six months ended September 30, 2017, an increase of approximately 45% compared to the $2.4 million reported for the six months ended September 30, 2016. Noncash expenses totaled approximately $843,000 and $131,000 in the six months ended September 30, 2017 and 2016, respectively, including stock compensation, depreciation and a portion of rent expense in both periods, and a portion of AV-101 project expenses in the six months ended September 30, 2017. The increase in research and development expense in 2017 reflects our continued focus on nonclinical and clinical development of AV-101, particularly our preparations for the launch of the AV-101 MDD Phase 2 Adjunctive Treatment Study, which is currently anticipated in the first quarter of 2018, subject to securing additional financing. The following table indicates the primary cash and noncash components of research and development expense for each of the periods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Six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AV-101</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Stem cell and all other</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3,523</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salaries and benefits reflects the hiring of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in June 2016, and salary increases granted to our CMO in July 2017, to our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to the non-officer members of our scientific staff in June 2016 and June 2017. Additionally, our then-newly-hired CMO did not receive a bonus payment in July 2016; however, both our CMO and CSO were granted a bonus in September 2017. The full amount of each officer’s September 2017 bonus was accrued at the time it was granted, but only 25% of the total amount was paid by September 30, 2017, with the remaining balance to be paid ratably through March 31, 2018.</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Stock based compensation expense increased in the current period primarily as a result of the routine amortization of option grants made to our CSO, CMO and scientific staff in September 2017, April 2017 and November 2016, plus the new-hire grant made to our CMO in June 2016, which grants account for approximately $193,000 of 2017 expense. The expense attributable to these grants is being amortized over a two-year to four-year vesting period, based on the terms of the respective grants. Substantially all option grants made prior to September 2015 were fully-vested and fully-expensed prior to June 30, 2017.</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2017 primarily reflects the change in terms of consulting agreements with our stem cell-related scientific advisory board members.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Technology license expense reflects both recurring annual fees as well as legal counsel and other costs related to patent prosecution and protection pursuant to our stem cell technology license agreements or that we have elected to pursue for commercial purposes. We recognize these costs as they are invoiced to us by the licensors or counsel and they do not occur ratably throughout the year or between years. In both periods, but to a greater extent in 2016, this expense includes legal counsel and other costs we have incurred to advance numerous pending patent applications in the U.S. and various foreign countries with respect to AV-101 and our stem cell technology platform.</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AV-101 project expense for both periods includes continuing costs incurred to develop more efficient and cost-effective proprietary manufacturing methods for AV-101, and to produce clinical trial material enabling the AV-101 MDD Phase 2 Adjunctive Treatment Study, and, primarily in 2017, costs incurred for certain other nonclinical studies to facilitate further clinical development of AV-101 in MDD and potentially for other indications and to comply with applicable FDA regulations. Stem cell and other project related expenses reflects costs associated with our in-house stem cell technology-related initiatives, and, in 2016, our participation in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project.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for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expense, including both cash and noncash components, increased approximately 42% to $3.7 million for the six months ended September 30, 2017 from $2.6 million for the six months ended September 30, 2016. Noncash expense aggregated approximately $1.7 million and $1.0 million for the six months ended September 30, 2017 and 2016, respectively, including, in both periods, stock compensation expense, a portion of investor relations and investment banking expenses, warrant modification expense, and a portion of rent expense. The overall increase in general and administrative expenses was primarily attributable to increased salary and benefits expense and noncash stock compensation, professional services and warrant modification expenses. The following table indicates the primary components of general and administrative expenses, including noncash components, for each of the periods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Six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increase in salaries and benefits reflects the impact of the hiring of our Vice President of Corporate Development </w:t>
      </w:r>
      <w:r>
        <w:rPr>
          <w:rFonts w:ascii="Arial" w:cs="Arial" w:eastAsia="Arial" w:hAnsi="Arial"/>
          <w:sz w:val="18"/>
          <w:szCs w:val="18"/>
          <w:i w:val="1"/>
          <w:iCs w:val="1"/>
          <w:color w:val="auto"/>
        </w:rPr>
        <w:t>(VP-Corporate Development</w:t>
      </w:r>
      <w:r>
        <w:rPr>
          <w:rFonts w:ascii="Arial" w:cs="Arial" w:eastAsia="Arial" w:hAnsi="Arial"/>
          <w:sz w:val="18"/>
          <w:szCs w:val="18"/>
          <w:color w:val="auto"/>
        </w:rPr>
        <w:t>) in September 2016 and salary increases granted in June 2016 and July 2017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and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in June 2016 and June 2017 to a non-officer member of our administrative staff. Additionally, each of our officers was granted a bonus in September 2017, but our VP-Corporate Development had not yet joined the Company in July 2016, when our CEO and CFO received a bonus payment. The full amount of each officer’s 2017 bonus was accrued at the time it was granted, but only 25% of the total amount was paid by September 30, 2017, with the remaining balance to be paid ratably through March 31, 2018.</w:t>
      </w:r>
    </w:p>
    <w:p>
      <w:pPr>
        <w:spacing w:after="0" w:line="19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Stock based compensation expense increased in the current period primarily as a result of the routine amortization of option grants to independent members of our Board of Directors and our CEO, CFO and administrative staff in September 2017, April 2017 and November 2016, plus the new-hire grant made to our VP-Corporate Development in September 2016 in September 2016, which grants account for approximately $232,000 of 2017 expense. The expense attributable to these grants is being amortized over a two-year to four-year vesting period based on the terms of the respective grants. Substantially all option grants made prior to September 2015 were fully-vested and fully-expensed prior to June 30, 2017.</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The Board modified committee assignments effective in April 2017, resulting in the slight increase in expense.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Legal, accounting and other professional fees for the six months ended September 30, 2017 and 2016 includes expense related to routine legal services as well as the accounting expense related to the annual audit of the prior year’s financial statements and the review of the financial statements for the first and second quarters of the current fiscal year. In addition to cash fees incurred, during the six months ended September 30, 2017, we granted an aggregate of 20,000 unregistered shares of our common stock having an aggregate fair value of $30,800 to legal services providers as compensation for services and an aggregate of 150,000 unregistered shares of our common stock having an aggregate fair value of $234,000 to two investment banking firms pursuant to financial advisory agreements. Noncash expense for the six months ended September 30, 2016 included approximately $338,000 recognized in the quarter ended June 30, 2016 pursuant to the June 30, 2015 grant of an aggregate of 90,000 shares of our Series B 10% convertible preferred stock having an aggregate fair value of $1,350,000 as compensation for financial advisory and corporate development service contracts with two independent providers for services to be performed through June 30, 2016 and $108,500 recognized in the quarter ended September 30, 2016 representing the fair value of 25,000 unregistered shares of our common stock granted to a legal services provider as compensation for services.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Investor relations expense includes the fees of our various external service providers for a broad spectrum of investor relations, market awareness and strategic advisory and support functions, as well as initiatives that included numerous meetings in multiple U.S. markets and other communication activities focused on expanding market awareness of the Company, including among registered investment professionals and investment advisors, and individual and institutional investors. In the six months ended September 30, 2017, in addition to cash fees and expenses we incurred, in the quarter ended June 30, 2017, we granted 25,000 unregistered shares of our common stock to an investor relations and awareness service provider as partial compensation for its services and recognized noncash expense of approximately $50,000 representing the fair value of the stock at the time of issuance; additionally, in the quarter ended September 30, 2017, we granted an aggregate of 457,000 unregistered shares of our common stock to various corporate development, investor relations, market awareness and business advisory service providers as compensation for their services and recognized noncash expense of $713,300, representing the fair value of the stock at the time of issuance. In the six months ended September 30, 2016, we granted an aggregate of 25,000 unregistered shares of our common stock having a fair value at the time of issuance of $108,500 to an investor relations service provider as compensation for its services.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both periods, travel expense reflects costs associated with management presentations to and meetings in multiple U.S. markets with existing and potential individual and institutional investors, investment professionals and advisors, media, and securities analysts, as well as various investor relations, market awareness and corporate development initiatives.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for 2017 reflects higher commercial property rents prevalent in the South San Francisco real estate market and recognized in our November 2016 lease amendment extending the lease of our headquarters facilities in South San Francisco by five years, from July 31, 2017 to July 31, 2022, and the related accounting for the extension amendment.</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September 2017, we reduced the exercise price of 247,500 warrants issued in the Spring 2017 Private Placement from a weighted average exercise price of $3.99 per share to $2.00 per share. We also issued to each of the Spring 2017 Private Placement investors additional warrants to purchase an aggregate total of 247,501 shares of common stock, with an exercise price of $2.00 per share. We recognized noncash expense of $279,700 in the six months ended September 30, 2017, representing the increase in fair value of the warrants granted initially before and after the modification and the fair value of the additional warrants granted. Between April 2016 and August 2016, we entered into warrant exchange agreements with certain warrant holders pursuant to which the warrant holders exchanged outstanding warrants to purchase an aggregate of 61,649 shares of our common stock for an aggregate of 46,238 shares of our unregistered common stock. As with similar prior transactions, we accounted for these transactions as warrant modifications, resulting in our recognition of an aggregate of $57,400 in noncash expense during the six-month period ended September 30,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Interest expense totaled $5,700 for the six months ended September 30, 2017 compared to $2,800 reported for the six months ended September 30, 2016. Interest expense in both periods relates to interest paid on insurance premium financing and on a capital lease of office equipment.</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recognized $503,600 and $780,800 for the six months ended September 30, 2017 and 2016, respectively, representing the 10% cumulative noncash dividend payable on our Series B Preferred as an additional deduction in arriving at net loss attributable to common stockholders in the accompanying Condensed Consolidated Statement of Operations and Comprehensive Loss included in Part I of this Report. The reduction in the dividend accrual results from the automatic conversion of an aggregate of 2,403,051 shares of Series B Preferred into an equal number of shares of our common stock upon our completion of our May 2016 public offering of shares of our common stock and warrants, and a subsequent voluntary conversion of 87,500 shares of our Series B Preferred in August 2016. There have been no conversions of outstanding shares of Series B Preferred into common shares since August 2016.</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quarter ended June 30, 2016, we allocated the proceeds from our self-placed private placement sales of Series B Preferred Units to the Series B Preferred stock and the Series B Warrants based on their relative fair values on the dates of the sales. The difference between the relative fair value per share of the Series B Preferred, approximately $4.20 per share, and its Conversion Price (or stated value) of $7.00 per share represented a deemed dividend to the purchasers of the Series B Preferred Units. Accordingly, we recognized a deemed dividend in the aggregate amount of $111,100 in arriving at net loss attributable to common stockholders for the six months ended September 30, 2016 in the accompanying Condensed Consolidated Statement of Operations and Comprehensive Loss included in Part I of this Report.</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From our inception in May 1998 through September 30, 2017, we have financed our operations and technology acquisitions primarily through the issuance and sale of our equity and debt securities, including convertible promissory notes and short-term promissory notes, for cash proceeds of approximately $47.6 million, as well as from an aggregate of approximately $17.6 million of government research grant awards, strategic collaboration payments, intellectual property sublicensing and other revenues. We have also issued equity securities with an approximate aggregate value at issuance of $32.3 million in non-cash settlements of certain liabilities, including liabilities for professional services rendered to us or as compensation for such services. Additionally, pursuant to our CRADA with the NIH, the NIMH continues to conduct Phase 2 clinical development activities relating to AV-101 as a potential new generation antidepressant. The NIMH AV-101 MDD Phase 2 Monotherapy Study is being sponsored in full, at no cost to us other than supplying clinical trial material, by the NIMH under the direction of Dr. Carlos Zarate Jr. as Principal Investigator.</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Between late-March 2017 and June 30, 2017, we sold to accredited investors, in self-placed private placement transactions, units consisting of an aggregate of 495,001 unregistered shares of our common stock and warrants to purchase an aggregate of 247,500 unregistered shares of our common stock pursuant to which we received proceeds of approximately $1.0 million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 In August 2017, in a self-placed private placement transaction, we sold to an accredited investor units consisting of 28,572 shares of our unregistered common stock and warrants to purchase 28,572 unregistered shares of our common stock. We received cash proceeds of $50,000 from this sale of our securities.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September 2017, we completed a firm commitment underwritten public offering, pursuant to which we offered and sold an aggregate of 1,371,430 shares of our common stock and warrants to purchase an aggregate of 1,892,572 shares of our common stock to two of our existing institutional investors, resulting in gross proceeds of approximately $2.4 million under our Registration Statement on Form S-3 (Registration No. 333-215671) (the </w:t>
      </w:r>
      <w:r>
        <w:rPr>
          <w:rFonts w:ascii="Arial" w:cs="Arial" w:eastAsia="Arial" w:hAnsi="Arial"/>
          <w:sz w:val="18"/>
          <w:szCs w:val="18"/>
          <w:i w:val="1"/>
          <w:iCs w:val="1"/>
          <w:color w:val="auto"/>
        </w:rPr>
        <w:t>S-3 Registration Statement</w:t>
      </w:r>
      <w:r>
        <w:rPr>
          <w:rFonts w:ascii="Arial" w:cs="Arial" w:eastAsia="Arial" w:hAnsi="Arial"/>
          <w:sz w:val="18"/>
          <w:szCs w:val="18"/>
          <w:color w:val="auto"/>
        </w:rPr>
        <w:t>) that had been previously declared effective by the Securities and Exchange Commission to cover potential future sales of our equity securities in one or more public offerings from time to time. While we may make additional sales of our equity securities under the S-3 Registration Statement, we do not have an obligation to do so.</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Additionally, in September 2017, to facilitate potential future issuances and sales of our equity securities for ordinary corporate finance and general corporate purposes and as recommended by our Board, our stockholders approved an amendment to our Restated and Amended Articles of Incorporation to increase the number of shares of common stock available for issuance from 30 million shares to 100 million shares, an amount our Board determined is customary and appropriate for a Nasdaq-listed, clinical-stage biopharmaceutical company. Following that approval, in October 2017, we filed a Registration Statement on Form S-1 (Registration No. 333-221009) (the </w:t>
      </w:r>
      <w:r>
        <w:rPr>
          <w:rFonts w:ascii="Arial" w:cs="Arial" w:eastAsia="Arial" w:hAnsi="Arial"/>
          <w:sz w:val="18"/>
          <w:szCs w:val="18"/>
          <w:i w:val="1"/>
          <w:iCs w:val="1"/>
          <w:color w:val="auto"/>
        </w:rPr>
        <w:t>S-1 Registration Statement</w:t>
      </w:r>
      <w:r>
        <w:rPr>
          <w:rFonts w:ascii="Arial" w:cs="Arial" w:eastAsia="Arial" w:hAnsi="Arial"/>
          <w:sz w:val="18"/>
          <w:szCs w:val="18"/>
          <w:color w:val="auto"/>
        </w:rPr>
        <w:t>) pursuant to which we anticipate completing an offering of our equity securities with proceeds sufficient to enable the launch and completion of the AV-101 MDD Phase 2 Adjunctive Treatment Study and fund our internal operations for at least the next twelve months. There can be no assurance, however, that we will achieve effectiveness of the S-1 Registration Statement or successfully complete an offering thereunder.</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 at September 30, 2017 was not sufficient to enable us to fund our planned operations, including expected cash expenditures of approximately $12 million for the next twelve months, required to further prepare for, launch and satisfy a significant portion of the projected expenses associated with our proposed AV-101 MDD Phase 2 Adjunctive Treatment Study.</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Although our current financial resources are not yet sufficient to fully fund completion of the AV-101 MDD Phase 2 Adjunctive Treatment Study, we expect, as we have numerous times in the past, to raise additional capital as and when necessary and advisable, potentially including through an offering under the S-1 Registration Statement, one or more offerings under the S-3 Registration Statement or other capital raising activity, to sustain our operations and achieve our key corporate objectives through at least the next twelve months, including initiating and conducting the AV-101 MDD Phase 2 Adjunctive Treatment Study. There can, however, be no assurance that future financing will be available in sufficient amounts, in a timely manner, or on terms acceptable to us, if at all.</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also seek research and development collaborations that could generate revenue, funding for development of AV-101 and additional product candidates, and/or additional government grant awards and agreements similar to our current CRADA with the NIMH.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the timing of and projected costs relating to key research and development projects, including our expenses associated with our proposed AV-101 MDD Phase 2 Adjunctive Treatment Study, regulatory consulting, CRO services, investor relations and corporate development, legal, acquisition and protection of intellectual property, public company compliance and other professional services and working capital costs.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when needed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Six Months Ended September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(4,010)</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Annual Report on Form 10-K for our fiscal year ended March 31, 2017 filed with the Securities and Exchange Commission on June 29, 2017, we identified two material weaknesses in our internal control over financial reporting relating to (i) segregation of duties and (ii) the functionality of our accounting software. Management has determined that current resources would be more appropriately applied elsewhere and when resources permit, they will alleviate such material weaknesses through various steps, which may include the addition of qualified financial personnel and/or the acquisition and implementation of alternative accounting software. Accordingly, 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Quarterly Report on Form 10-Q (Report) and in our Annual Report on Form 10-K filed with the Securities and Exchange Commission for the fiscal year ended March 31, 2017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potentially, various other diseases and disorders involving the CNS, as well as, but to a more limited extent, our ability to produce, develop and commercialize NCEs from our drug rescue programs. AV-101 will require substantial additional nonclinical and clinical testing and regulatory approval before it may be commercialized. It is unlikely to achieve regulatory approval, if at all, until at least 2021. Each drug rescue NCE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Drug development is a long, expensive and uncertain process, and delay or failure can occur at any stage of any of our nonclinical or clinical studies. This process takes many years and may also include post-marketing studies and surveillance obligations, which would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we cannot assure you that AV-101, any drug rescue NCE, or any other future product candidate will be successfully developed or commercialized.</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We expect the FDA to require us to complete the planned AV-101 MDD Phase 2 Adjunctive Treatment Study and at least two pivotal Phase 3 clinical trials in order to submit an NDA for AV-101 as an adjunctive treatment for MDD patients with an inadequate response to standard, FDA-approved antidepressants. Also, we anticipate that the FDA will require that we conduct additional toxicology studies, additional nonclinical and certain small clinical studies before submitting an NDA for AV-101. The results of all of these studies are not known until after the studies are concluded.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other product candidate we may seek to develop for many reasons, including, among others:</w:t>
      </w:r>
    </w:p>
    <w:p>
      <w:pPr>
        <w:spacing w:after="0" w:line="186" w:lineRule="exact"/>
        <w:rPr>
          <w:sz w:val="20"/>
          <w:szCs w:val="20"/>
          <w:color w:val="auto"/>
        </w:rPr>
      </w:pPr>
    </w:p>
    <w:p>
      <w:pPr>
        <w:jc w:val="both"/>
        <w:ind w:left="220" w:hanging="210"/>
        <w:spacing w:after="0" w:line="259"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submit an NDA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94" w:lineRule="exact"/>
        <w:rPr>
          <w:rFonts w:ascii="Arial" w:cs="Arial" w:eastAsia="Arial" w:hAnsi="Arial"/>
          <w:sz w:val="18"/>
          <w:szCs w:val="18"/>
          <w:color w:val="auto"/>
        </w:rPr>
      </w:pPr>
    </w:p>
    <w:p>
      <w:pPr>
        <w:ind w:left="220" w:hanging="210"/>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FDA may require development of a Risk Evaluation and Mitigation Strategy ( </w:t>
      </w:r>
      <w:r>
        <w:rPr>
          <w:rFonts w:ascii="Arial" w:cs="Arial" w:eastAsia="Arial" w:hAnsi="Arial"/>
          <w:sz w:val="18"/>
          <w:szCs w:val="18"/>
          <w:i w:val="1"/>
          <w:iCs w:val="1"/>
          <w:color w:val="auto"/>
        </w:rPr>
        <w:t>REMS</w:t>
      </w:r>
      <w:r>
        <w:rPr>
          <w:rFonts w:ascii="Arial" w:cs="Arial" w:eastAsia="Arial" w:hAnsi="Arial"/>
          <w:sz w:val="18"/>
          <w:szCs w:val="18"/>
          <w:color w:val="auto"/>
        </w:rPr>
        <w:t>) as a condition of approval or post-approval;</w:t>
      </w:r>
    </w:p>
    <w:p>
      <w:pPr>
        <w:spacing w:after="0" w:line="225" w:lineRule="exact"/>
        <w:rPr>
          <w:rFonts w:ascii="Arial" w:cs="Arial" w:eastAsia="Arial" w:hAnsi="Arial"/>
          <w:sz w:val="18"/>
          <w:szCs w:val="18"/>
          <w:color w:val="auto"/>
        </w:rPr>
      </w:pPr>
    </w:p>
    <w:p>
      <w:pPr>
        <w:ind w:left="220" w:hanging="210"/>
        <w:spacing w:after="0" w:line="332" w:lineRule="auto"/>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the FDA or the applicable foreign regulatory agency may determine that the manufacturing processes or facilities of third-party contract manufacturers with which we contract do not conform to applicable requirements, including current Good Manufacturing Practices (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200" w:lineRule="exact"/>
        <w:rPr>
          <w:rFonts w:ascii="Arial" w:cs="Arial" w:eastAsia="Arial" w:hAnsi="Arial"/>
          <w:sz w:val="16"/>
          <w:szCs w:val="16"/>
          <w:color w:val="auto"/>
        </w:rPr>
      </w:pPr>
    </w:p>
    <w:p>
      <w:pPr>
        <w:spacing w:after="0" w:line="371" w:lineRule="exact"/>
        <w:rPr>
          <w:rFonts w:ascii="Arial" w:cs="Arial" w:eastAsia="Arial" w:hAnsi="Arial"/>
          <w:sz w:val="16"/>
          <w:szCs w:val="16"/>
          <w:color w:val="auto"/>
        </w:rPr>
      </w:pPr>
    </w:p>
    <w:p>
      <w:pPr>
        <w:ind w:left="5620" w:hanging="96"/>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FDA or applicable foreign regulatory agency may change its approval policies or adopt new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for any product candidate would have a material adverse effect on our business and prospects.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applied for a Fast Track designation from the FDA for AV-101, initially for adjunctive treatment of MDD patients with an inadequate response to standard antidepressants. Even if the FDA approves Fast Track designation for AV-101 for this indication, it may not actually lead to a faster development or regulatory review or approval process.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2017 we applied for FDA Fast Track designation for AV-101, initially for adjunctive treatment of MDD patients with an inadequate response to standard antidepressants, and we may do so for other CNS indications, as well as for other product candidates. The FDA has broad discretion whether or not to grant a Fast Track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the NIMH AV-101 MDD Phase 2 Monotherapy Study and our planned AV-101 MDD Phase 2 Adjunctive Treatment Study, thereby delaying completion such studies or preventing additional clinical development. Further, if AV-101 is approved for adjunctive treatment of MDD patients with an inadequate response to standard antidepressants, and the market for this indication is smaller than we anticipate, our ability to achieve profitability could be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AV-101 and/or other product candidates, including positive results,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the NIMH AV-101 MDD Phase 2 Monotherapy Study and/or our AV-101 MDD Phase 2 Adjunctive Treatment Study fail(s) to produce positive results, the development timeline and regulatory approval and commercialization prospects for AV-101 and, correspondingly, our business and financial prospects, could be materially adversely affected.</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affect our development of AV-101 for MDD and other CNS indications.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AV-101 as a monotherapy is currently being tested by the NIMH in the NIMH AV-101 MDD Phase 2 Monotherapy Study and may be subjected to testing in the future for other CNS indications in additional investigator sponsored clinical trials. If serious adverse events or other undesirable side effects, or unexpected characteristics of AV-101 are observed in investigator-sponsored clinical trials of AV-101 or our clinical trials of AV-101, it may adversely affect or delay our clinical development of AV-101, and the occurrence of these events would have a material adverse effect on our business and financial prospects.</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our CRADA with the NIMH, the NIMH is conducting and funding the NIMH AV-101 MDD Phase 2 Monotherapy Study. We will need to complete the planned AV-101 MDD Phase 2 Adjunctive Treatment Study, at least two additional large Phase 3 pivotal clinical trials, additional toxicology and other nonclinical studies and certain smaller clinical studies prior to the submission of an NDA for AV-101 as a new generation adjunctive treatment for MDD. Successful completion of our nonclinical and clinical trials is a prerequisite to submitting an NDA to the FDA and, consequently, the ultimate approval required before commercial marketing of AV-101 for MDD and any other product candidates we may develop. Except as disclosed herein, we do not know whether the NIMH AV-101 MDD Phase 2 Monotherapy Study, our AV-101 MDD Phase 2 Adjunctive Treatment Study or any of our future-planned nonclinical and clinical trials will be completed on schedule, if at all, as the commencement and completion of nonclinical and clinical trials can be delayed or prevented for a number of reasons, including, among others:</w:t>
      </w:r>
    </w:p>
    <w:p>
      <w:pPr>
        <w:spacing w:after="0" w:line="199" w:lineRule="exact"/>
        <w:rPr>
          <w:sz w:val="20"/>
          <w:szCs w:val="20"/>
          <w:color w:val="auto"/>
        </w:rPr>
      </w:pPr>
    </w:p>
    <w:p>
      <w:pPr>
        <w:ind w:left="220" w:hanging="210"/>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25" w:lineRule="exact"/>
        <w:rPr>
          <w:rFonts w:ascii="Arial" w:cs="Arial" w:eastAsia="Arial" w:hAnsi="Arial"/>
          <w:sz w:val="18"/>
          <w:szCs w:val="18"/>
          <w:color w:val="auto"/>
        </w:rPr>
      </w:pPr>
    </w:p>
    <w:p>
      <w:pPr>
        <w:ind w:left="220" w:hanging="210"/>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85" w:lineRule="exact"/>
        <w:rPr>
          <w:rFonts w:ascii="Arial" w:cs="Arial" w:eastAsia="Arial" w:hAnsi="Arial"/>
          <w:sz w:val="18"/>
          <w:szCs w:val="18"/>
          <w:color w:val="auto"/>
        </w:rPr>
      </w:pPr>
    </w:p>
    <w:p>
      <w:pPr>
        <w:ind w:left="220" w:hanging="210"/>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AV-101 or other product candidates necessary to conduct nonclinical or clinical trials, including delays in the manufacturing of sufficient supply or finished drug product resulting from our new manufacturing process for AV-101;</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difficulties obtaining Institutional Review Board (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220" w:hanging="210"/>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280" w:hanging="260"/>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220" w:hanging="210"/>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hanging="96"/>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20" w:hanging="210"/>
        <w:spacing w:after="0" w:line="268"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220" w:hanging="210"/>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25" w:lineRule="exact"/>
        <w:rPr>
          <w:rFonts w:ascii="Arial" w:cs="Arial" w:eastAsia="Arial" w:hAnsi="Arial"/>
          <w:sz w:val="18"/>
          <w:szCs w:val="18"/>
          <w:color w:val="auto"/>
        </w:rPr>
      </w:pPr>
    </w:p>
    <w:p>
      <w:pPr>
        <w:ind w:left="220" w:hanging="210"/>
        <w:spacing w:after="0" w:line="268"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our ongoing nonclinical carcinogenicity studies, adverse side effects or lack of effectiveness;</w:t>
      </w:r>
    </w:p>
    <w:p>
      <w:pPr>
        <w:spacing w:after="0" w:line="248" w:lineRule="exact"/>
        <w:rPr>
          <w:rFonts w:ascii="Arial" w:cs="Arial" w:eastAsia="Arial" w:hAnsi="Arial"/>
          <w:sz w:val="16"/>
          <w:szCs w:val="16"/>
          <w:color w:val="auto"/>
        </w:rPr>
      </w:pPr>
    </w:p>
    <w:p>
      <w:pPr>
        <w:ind w:left="220" w:hanging="210"/>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regulatory requirements, FDA guidance or unanticipated events during our nonclinical studies and clinical trials of AV-101 or other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AV-101 or other product candidates may be harmed and our ability to generate product revenue will be delayed.</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non-clinical and clinical trials of AV-101 and any other product candidates. If these third parties do not successfully carry out their contractual duties or meet expected deadlines, completion of non-clinical and clinical trials and development of AV-101 and other product candidates may be delayed and we may not be able to obtain regulatory approval for or commercialize AV-101 or other product candidates and our business could be substantially harmed.</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have the internal staff resources to independently conduct nonclinical and clinical trials completely on our own. We rely on our network of strategic relationships with various medical institutions, nonclinical and clinical investigators, contract laboratories and other third parties, such as contract research and development organizations (</w:t>
      </w:r>
      <w:r>
        <w:rPr>
          <w:rFonts w:ascii="Arial" w:cs="Arial" w:eastAsia="Arial" w:hAnsi="Arial"/>
          <w:sz w:val="16"/>
          <w:szCs w:val="16"/>
          <w:i w:val="1"/>
          <w:iCs w:val="1"/>
          <w:color w:val="auto"/>
        </w:rPr>
        <w:t>CROs</w:t>
      </w:r>
      <w:r>
        <w:rPr>
          <w:rFonts w:ascii="Arial" w:cs="Arial" w:eastAsia="Arial" w:hAnsi="Arial"/>
          <w:sz w:val="16"/>
          <w:szCs w:val="16"/>
          <w:color w:val="auto"/>
        </w:rPr>
        <w:t>), to conduct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2" w:lineRule="exact"/>
        <w:rPr>
          <w:sz w:val="20"/>
          <w:szCs w:val="20"/>
          <w:color w:val="auto"/>
        </w:rPr>
      </w:pPr>
    </w:p>
    <w:p>
      <w:pPr>
        <w:ind w:left="220" w:hanging="210"/>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hanging="96"/>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20" w:hanging="210"/>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in accordance with the applicable protocol, legal, regulatory and scientific requirements and standards, and our reliance on CROs or the NIH does not relieve us of our regulatory responsibilities. We and our CROs and the NIMH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any of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3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design our clinical trials for our product candidates, we plan to have CROs, and in the case of the NIMH AV-101 MDD Phase 2 Monotherapy Study, the NIMH, conduct the AV-101 Phase 2 and Phase 3 clinical trials. As a result, many important aspects of our drug development programs are outside of our direct control. In addition, the CROs or the NIMH,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NIMH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NIMH devote to our program or our clinical products. If we are unable to rely on non-clinical and clinical data collected by our CROs or the NIMH, we could be required to repeat, extend the duration of, or increase the size of our clinical trials and this could significantly delay commercialization and require significantly greater expenditures.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any of our relationships with these third-party CROs or the NIMH terminate, we may not be able to enter into arrangements with alternative CROs or collaborators. If CROs or the NIMH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NIMH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completely on third-parties to manufacture and prepare supplies of AV-101 for all nonclinical and clinical studies of AV-101, and we intend to continue to rely on third-parties to produce all nonclinical, clinical and commercial supplies of AV-101 in the future.</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currently have, nor do we plan to acquire or develop, the necessary infrastructure internal resources or technical capabilities to manufacture and prepare supplies of AV-101, or any future product candidates, for use in nonclinical and clinical studies, and we lack the internal resources and the capability to manufacture any product candidate on a clinical or commercial scale. As a result, we rely completely on third-party contract manufacturing organizations (</w:t>
      </w:r>
      <w:r>
        <w:rPr>
          <w:rFonts w:ascii="Arial" w:cs="Arial" w:eastAsia="Arial" w:hAnsi="Arial"/>
          <w:sz w:val="18"/>
          <w:szCs w:val="18"/>
          <w:i w:val="1"/>
          <w:iCs w:val="1"/>
          <w:color w:val="auto"/>
        </w:rPr>
        <w:t>CMO</w:t>
      </w:r>
      <w:r>
        <w:rPr>
          <w:rFonts w:ascii="Arial" w:cs="Arial" w:eastAsia="Arial" w:hAnsi="Arial"/>
          <w:sz w:val="18"/>
          <w:szCs w:val="18"/>
          <w:color w:val="auto"/>
        </w:rPr>
        <w:t>s) to manufacture AV-101 active pharmaceutical ingredient (</w:t>
      </w:r>
      <w:r>
        <w:rPr>
          <w:rFonts w:ascii="Arial" w:cs="Arial" w:eastAsia="Arial" w:hAnsi="Arial"/>
          <w:sz w:val="18"/>
          <w:szCs w:val="18"/>
          <w:i w:val="1"/>
          <w:iCs w:val="1"/>
          <w:color w:val="auto"/>
        </w:rPr>
        <w:t>API</w:t>
      </w:r>
      <w:r>
        <w:rPr>
          <w:rFonts w:ascii="Arial" w:cs="Arial" w:eastAsia="Arial" w:hAnsi="Arial"/>
          <w:sz w:val="18"/>
          <w:szCs w:val="18"/>
          <w:color w:val="auto"/>
        </w:rPr>
        <w:t>) and prepare AV-101 final drug product. The facilities used by our CMOs to manufacture AV-101 API and final drug product must complete a pre-approval inspection by the FDA and other comparable foreign regulatory agencies to assess compliance with applicable requirements, including cGMPs, after we submit our AV-101 INDs, NDAs or relevant foreign regulatory submission equivalent to the applicable regulatory agency.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directly control either the supply or quality of materials used in the manufacturing and preparation of AV-101 or the AV-101 manufacturing process, and we are completely dependent on our CMOs to comply with all cGMPs for manufacture of both AV-101 API and AV-101 finished drug product. If our CMOs cannot secure adequate supplies of suitable raw materials or successfully manufacture AV-101 API that conforms to our specifications and the strict regulatory requirements of the FDA or applicable foreign regulatory agencies, production of sufficient supplies of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AV-101 for required or planned nonclinical and/or clinical studies of AV-101. If the FDA or an applicable foreign regulatory agency determines now or in the future that our CMOs’ facilities are noncompliant, we may need to find alternative manufacturing facilities, which would adversely impact our ability to develop, obtain regulatory approval for or market AV-101. Our reliance on CMOs also exposes us to the possibility that they, or third parties with access to their facilities, will have access to and may appropriate our trade secrets or other proprietary information.</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yet have long-term AV-101 supply agreements in place with our CMOs and each batch of AV-101 is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development and, if approved, commercial quantities of AV-101 and any other product candidates we may seek to develop in the future. Although we believe our current scale of manufacturing for AV-101 and current and projected supply of AV-101 API and finished drug product will be adequate to support our planned nonclinical and clinical studies of AV-101, no assurance can be given that unanticipated AV-101 supply shortages, CMO-related delays in manufacture and production of AV-101 API and finished drug product will not occur in the future.</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AV-101 or any other product candidate in the United States, we may never receive regulatory approval to market AV-101 or any other product candidate outside of the United States.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If any of our product candidates are ultimately regulated as controlled substances, we, our contract manufacturers,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Before we can commercialize our product candidates, the United States Drug Enforcement Administration (</w:t>
      </w:r>
      <w:r>
        <w:rPr>
          <w:rFonts w:ascii="Arial" w:cs="Arial" w:eastAsia="Arial" w:hAnsi="Arial"/>
          <w:sz w:val="16"/>
          <w:szCs w:val="16"/>
          <w:i w:val="1"/>
          <w:iCs w:val="1"/>
          <w:color w:val="auto"/>
        </w:rPr>
        <w:t>DEA</w:t>
      </w:r>
      <w:r>
        <w:rPr>
          <w:rFonts w:ascii="Arial" w:cs="Arial" w:eastAsia="Arial" w:hAnsi="Arial"/>
          <w:sz w:val="16"/>
          <w:szCs w:val="16"/>
          <w:color w:val="auto"/>
        </w:rPr>
        <w:t>) may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While we currently do not know whether any of our product candidates will be considered to be controlled substances, certain of our product candidates, including AV-101, may be regulated as controlled substances.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jc w:val="both"/>
        <w:spacing w:after="0" w:line="290" w:lineRule="auto"/>
        <w:rPr>
          <w:sz w:val="20"/>
          <w:szCs w:val="20"/>
          <w:color w:val="auto"/>
        </w:rPr>
      </w:pPr>
      <w:r>
        <w:rPr>
          <w:rFonts w:ascii="Arial" w:cs="Arial" w:eastAsia="Arial" w:hAnsi="Arial"/>
          <w:sz w:val="16"/>
          <w:szCs w:val="16"/>
          <w:color w:val="auto"/>
        </w:rPr>
        <w:t>If any of our product candidates are regulated as controlled substances, depending on the controlled substance schedule in which the product candidates are placed, we, our contract manufacturers,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Moreover, if any of our product candidates are regulated as controlled substances, we and our contract manufacturers would be subject to initial and periodic DEA inspection. If we or our contract manufacturers are not able to obtain or maintain any necessary DEA registrations, we may not be able to commercialize any product candidates that are deemed to be controlled substances or we may need to find alternative contract manufacturers, which would take time and cause us to incur additional costs, delaying or limit our commercialization efforts.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an infrastructure for the sale, marketing and distribution of pharmaceutical products, nor do we intend to create such capabilities. Therefore, in order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220" w:hanging="210"/>
        <w:spacing w:after="0" w:line="332" w:lineRule="auto"/>
        <w:tabs>
          <w:tab w:leader="none" w:pos="2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200" w:lineRule="exact"/>
        <w:rPr>
          <w:rFonts w:ascii="Arial" w:cs="Arial" w:eastAsia="Arial" w:hAnsi="Arial"/>
          <w:sz w:val="16"/>
          <w:szCs w:val="16"/>
          <w:color w:val="auto"/>
        </w:rPr>
      </w:pPr>
    </w:p>
    <w:p>
      <w:pPr>
        <w:spacing w:after="0" w:line="371" w:lineRule="exact"/>
        <w:rPr>
          <w:rFonts w:ascii="Arial" w:cs="Arial" w:eastAsia="Arial" w:hAnsi="Arial"/>
          <w:sz w:val="16"/>
          <w:szCs w:val="16"/>
          <w:color w:val="auto"/>
        </w:rPr>
      </w:pPr>
    </w:p>
    <w:p>
      <w:pPr>
        <w:ind w:left="5620" w:hanging="96"/>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20" w:hanging="21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 or other applicable regulatory authorities;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220" w:hanging="210"/>
        <w:spacing w:after="0" w:line="268" w:lineRule="auto"/>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52" w:lineRule="exact"/>
        <w:rPr>
          <w:rFonts w:ascii="Arial" w:cs="Arial" w:eastAsia="Arial" w:hAnsi="Arial"/>
          <w:sz w:val="18"/>
          <w:szCs w:val="18"/>
          <w:color w:val="auto"/>
        </w:rPr>
      </w:pPr>
    </w:p>
    <w:p>
      <w:pPr>
        <w:ind w:left="360" w:hanging="350"/>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220" w:hanging="210"/>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220" w:right="20" w:hanging="210"/>
        <w:spacing w:after="0" w:line="268" w:lineRule="auto"/>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360" w:hanging="350"/>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hanging="96"/>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20" w:hanging="210"/>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220" w:hanging="21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pharmaceuticals industry is highly competitive. There are many public and private pharmaceutical companies, universities, governmental agencies and other research organizations actively engaged in the research and development of product candidates that may be similar to our product candidates or address similar markets. It is probable that the number of companies seeking to develop product candidates similar to our product candidates will increase.</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action and safety profile as AV-101. However, new antidepressant products with other mechanisms of action or products approved for other indications, including the anesthetic ketamine hydrochloride,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sometimes used before or instead of standard antidepressant medications to treat patients with MDD.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field of new generation, orally available, adjunctive treatments of adult MDD patients with an inadequate response to standard antidepressants, we believe our principal competitor is Alkermes’ orally available drug candidate in Phase 3 development, ALKS-5461.</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Parkinson’s disease levodopa induced dyskinesia, neuropathic pain, epilepsy, and other neurological conditions and diseases, including, but not limited to, Abbott Laboratories, Acadia, Allergan, Alkermes, Astra Zeneca, Eli Lilly, GlaxoSmithKline, IntraCellular, Johnson &amp; Johnson/Janssen, Lundbeck, Merck, Novartis, Ono, Otsuka, Pfizer,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depression,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220" w:hanging="210"/>
        <w:spacing w:after="0" w:line="306"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220" w:hanging="210"/>
        <w:spacing w:after="0" w:line="259"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4" w:lineRule="exact"/>
        <w:rPr>
          <w:rFonts w:ascii="Arial" w:cs="Arial" w:eastAsia="Arial" w:hAnsi="Arial"/>
          <w:sz w:val="18"/>
          <w:szCs w:val="18"/>
          <w:color w:val="auto"/>
        </w:rPr>
      </w:pPr>
    </w:p>
    <w:p>
      <w:pPr>
        <w:jc w:val="both"/>
        <w:ind w:left="220" w:hanging="210"/>
        <w:spacing w:after="0" w:line="306"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60" w:lineRule="exact"/>
        <w:rPr>
          <w:rFonts w:ascii="Arial" w:cs="Arial" w:eastAsia="Arial" w:hAnsi="Arial"/>
          <w:sz w:val="16"/>
          <w:szCs w:val="16"/>
          <w:color w:val="auto"/>
        </w:rPr>
      </w:pPr>
    </w:p>
    <w:p>
      <w:pPr>
        <w:ind w:left="220" w:hanging="210"/>
        <w:spacing w:after="0" w:line="268"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220" w:hanging="210"/>
        <w:spacing w:after="0" w:line="256"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220" w:right="20" w:hanging="210"/>
        <w:spacing w:after="0" w:line="306" w:lineRule="auto"/>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60" w:lineRule="exact"/>
        <w:rPr>
          <w:rFonts w:ascii="Arial" w:cs="Arial" w:eastAsia="Arial" w:hAnsi="Arial"/>
          <w:sz w:val="16"/>
          <w:szCs w:val="16"/>
          <w:color w:val="auto"/>
        </w:rPr>
      </w:pPr>
    </w:p>
    <w:p>
      <w:pPr>
        <w:ind w:left="220" w:hanging="210"/>
        <w:spacing w:after="0" w:line="268"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adjunctive treatment of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may seek FDA Orphan Drug designation for one or more of our product candidates, including AV-101. Even if we have obtained FDA Orphan Drug designation for AV-101 of other product candidates, there may be limits to the regulatory exclusivity afforded by such designation.</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product candidates, including AV-101. Even if we obtain Orphan Drug designation from the FDA for AV-101 or any other product candidates, there are limitations to the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220" w:hanging="21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67" w:lineRule="exact"/>
        <w:rPr>
          <w:sz w:val="20"/>
          <w:szCs w:val="20"/>
          <w:color w:val="auto"/>
        </w:rPr>
      </w:pPr>
    </w:p>
    <w:p>
      <w:pPr>
        <w:ind w:left="220" w:hanging="210"/>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 candidates we produce;</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hanging="96"/>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20" w:hanging="210"/>
        <w:spacing w:after="0"/>
        <w:tabs>
          <w:tab w:leader="none" w:pos="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220" w:hanging="210"/>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220" w:right="20" w:hanging="210"/>
        <w:spacing w:after="0" w:line="26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1" w:lineRule="exact"/>
        <w:rPr>
          <w:sz w:val="20"/>
          <w:szCs w:val="20"/>
          <w:color w:val="auto"/>
        </w:rPr>
      </w:pPr>
    </w:p>
    <w:p>
      <w:pPr>
        <w:ind w:left="220" w:hanging="210"/>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drug rescue research and development methodology may not be successful in identifying and developing potential drug rescue NCEs;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220" w:hanging="210"/>
        <w:spacing w:after="0" w:line="268"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7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86" w:lineRule="exact"/>
        <w:rPr>
          <w:sz w:val="20"/>
          <w:szCs w:val="20"/>
          <w:color w:val="auto"/>
        </w:rPr>
      </w:pPr>
    </w:p>
    <w:p>
      <w:pPr>
        <w:ind w:left="220" w:hanging="210"/>
        <w:spacing w:after="0"/>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identify potential drug rescue candidates in the public domain, obtain sufficient quantities of them, and assess them using our bioassay systems;</w:t>
      </w:r>
    </w:p>
    <w:p>
      <w:pPr>
        <w:spacing w:after="0" w:line="248" w:lineRule="exact"/>
        <w:rPr>
          <w:rFonts w:ascii="Arial" w:cs="Arial" w:eastAsia="Arial" w:hAnsi="Arial"/>
          <w:sz w:val="16"/>
          <w:szCs w:val="16"/>
          <w:color w:val="auto"/>
        </w:rPr>
      </w:pPr>
    </w:p>
    <w:p>
      <w:pPr>
        <w:ind w:left="220" w:right="20" w:hanging="210"/>
        <w:spacing w:after="0" w:line="268"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5620" w:hanging="96"/>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20" w:hanging="210"/>
        <w:spacing w:after="0" w:line="268"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220" w:hanging="210"/>
        <w:spacing w:after="0" w:line="332"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collaboration with others. Before we generate any revenues from AV-101 and/or additional drug rescue NCEs we or our potential collaborators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success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$10.3 million and $47.2 million, which includes $26.7 million of non-cash expense related to the extinguishment of essentially all of our outstanding promissory notes and certain other indebtedness, during the fiscal years ended March 31, 2017 and 2016, respectively. We incurred a net loss of approximately $7.3 million in the six months ended September 30, 2017 and, as of that date, we had an accumulated deficit of approximately $149.3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not including the fair market value of the ongoing NIMH AV-101 MDD Phase 2 Monotherapy Study under our NIMH CRADA.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201" w:lineRule="exact"/>
        <w:rPr>
          <w:sz w:val="20"/>
          <w:szCs w:val="20"/>
          <w:color w:val="auto"/>
        </w:rPr>
      </w:pPr>
    </w:p>
    <w:p>
      <w:pPr>
        <w:ind w:left="220" w:hanging="210"/>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product candidates;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and</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2017, as well as the unaudited condensed consolidated financial statements for the period ended September 30, 2017 included elsewhere in this Report, have been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our cardiac stem cell technology for drug rescue and potential regenerative medicine applications, and we will continue to expend substantial resources for the foreseeable future developing and commercializing AV-101 for multiple CNS indications, and, potentially, developing drug rescue NCEs and RM therapies, on our own or in collaborations similar to the BlueRock Agreement.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At September 30, 2017, our existing cash and cash equivalents were not sufficient to fund our current operations for the next 12 months or to complete our proposed AV-101 MDD Phase 2 Adjunctive Treatment Study. Further,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2017 and beyond.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220" w:hanging="210"/>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conducting preclinical and clinical studies;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220" w:hanging="210"/>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225" w:lineRule="exact"/>
        <w:rPr>
          <w:rFonts w:ascii="Arial" w:cs="Arial" w:eastAsia="Arial" w:hAnsi="Arial"/>
          <w:sz w:val="18"/>
          <w:szCs w:val="18"/>
          <w:color w:val="auto"/>
        </w:rPr>
      </w:pPr>
    </w:p>
    <w:p>
      <w:pPr>
        <w:ind w:left="280" w:hanging="260"/>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280" w:hanging="260"/>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25" w:lineRule="exact"/>
        <w:rPr>
          <w:rFonts w:ascii="Arial" w:cs="Arial" w:eastAsia="Arial" w:hAnsi="Arial"/>
          <w:sz w:val="18"/>
          <w:szCs w:val="18"/>
          <w:color w:val="auto"/>
        </w:rPr>
      </w:pPr>
    </w:p>
    <w:p>
      <w:pPr>
        <w:ind w:left="220" w:hanging="210"/>
        <w:spacing w:after="0" w:line="268"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220" w:hanging="210"/>
        <w:spacing w:after="0" w:line="268" w:lineRule="auto"/>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identified material weaknesses in our internal control over financial reporting. In particular, we concluded that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auditing trail of entries made in the accounting software.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2017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2017, we had federal and state net operating loss carryforwards of $77.1 million and $67.6 million, respectively, which begin to expire in fiscal 2018.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stem cell technology-related drug rescue and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05" w:lineRule="exact"/>
        <w:rPr>
          <w:sz w:val="20"/>
          <w:szCs w:val="20"/>
          <w:color w:val="auto"/>
        </w:rPr>
      </w:pPr>
    </w:p>
    <w:p>
      <w:pPr>
        <w:ind w:left="280" w:hanging="260"/>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280" w:hanging="260"/>
        <w:spacing w:after="0"/>
        <w:tabs>
          <w:tab w:leader="none" w:pos="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20" w:hanging="210"/>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have an issued patent relating to AV-101 in the European Union, we cannot yet provide any assurances that any of our numerous pending U.S. and additional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patent positions of biotechnology and pharmaceutical companies, including our patent position, involve complex legal and factual questions, and, therefore, the issuance, scope, validity and enforceability of any additional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 </w:t>
      </w:r>
      <w:r>
        <w:rPr>
          <w:rFonts w:ascii="Arial" w:cs="Arial" w:eastAsia="Arial" w:hAnsi="Arial"/>
          <w:sz w:val="16"/>
          <w:szCs w:val="16"/>
          <w:color w:val="auto"/>
        </w:rPr>
        <w:t>reexamination, or</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though a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220" w:hanging="210"/>
        <w:spacing w:after="0" w:line="268"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25" w:lineRule="exact"/>
        <w:rPr>
          <w:rFonts w:ascii="Arial" w:cs="Arial" w:eastAsia="Arial" w:hAnsi="Arial"/>
          <w:sz w:val="18"/>
          <w:szCs w:val="18"/>
          <w:color w:val="auto"/>
        </w:rPr>
      </w:pPr>
    </w:p>
    <w:p>
      <w:pPr>
        <w:ind w:left="220" w:hanging="210"/>
        <w:spacing w:after="0" w:line="268" w:lineRule="auto"/>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220" w:hanging="210"/>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 license from the holder of the asserted intellectual property, which license may not be available on reasonable terms, if at all; and</w:t>
      </w:r>
    </w:p>
    <w:p>
      <w:pPr>
        <w:spacing w:after="0" w:line="225" w:lineRule="exact"/>
        <w:rPr>
          <w:rFonts w:ascii="Arial" w:cs="Arial" w:eastAsia="Arial" w:hAnsi="Arial"/>
          <w:sz w:val="18"/>
          <w:szCs w:val="18"/>
          <w:color w:val="auto"/>
        </w:rPr>
      </w:pPr>
    </w:p>
    <w:p>
      <w:pPr>
        <w:ind w:left="220" w:hanging="210"/>
        <w:spacing w:after="0" w:line="268"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 material adverse effect on the success of our business. Any lawsuit we are engaged in to protect or enforce our patents or the patents of our licensors could be expensive, time-consuming and unsuccessful.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ectPr>
          <w:pgSz w:w="11900" w:h="16838" w:orient="portrait"/>
          <w:cols w:equalWidth="0" w:num="1">
            <w:col w:w="11420"/>
          </w:cols>
          <w:pgMar w:left="240" w:top="131" w:right="239" w:bottom="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before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 can.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6"/>
          <w:szCs w:val="16"/>
          <w:i w:val="1"/>
          <w:iCs w:val="1"/>
          <w:color w:val="auto"/>
        </w:rPr>
        <w:t>Business —Intellectual Property</w:t>
      </w:r>
      <w:r>
        <w:rPr>
          <w:rFonts w:ascii="Arial" w:cs="Arial" w:eastAsia="Arial" w:hAnsi="Arial"/>
          <w:sz w:val="16"/>
          <w:szCs w:val="16"/>
          <w:color w:val="auto"/>
        </w:rPr>
        <w:t>” herein for a description of our license agreements, which includes a description of the termination provisions of these agreements.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220" w:hanging="210"/>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248" w:lineRule="exact"/>
        <w:rPr>
          <w:rFonts w:ascii="Arial" w:cs="Arial" w:eastAsia="Arial" w:hAnsi="Arial"/>
          <w:sz w:val="16"/>
          <w:szCs w:val="16"/>
          <w:color w:val="auto"/>
        </w:rPr>
      </w:pPr>
    </w:p>
    <w:p>
      <w:pPr>
        <w:ind w:left="220" w:hanging="210"/>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220" w:hanging="210"/>
        <w:spacing w:after="0" w:line="268" w:lineRule="auto"/>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220" w:hanging="210"/>
        <w:spacing w:after="0" w:line="268"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hanging="96"/>
        <w:spacing w:after="0"/>
        <w:tabs>
          <w:tab w:leader="none" w:pos="5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20" w:hanging="210"/>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220" w:right="20" w:hanging="210"/>
        <w:spacing w:after="0" w:line="268" w:lineRule="auto"/>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5" w:lineRule="exact"/>
        <w:rPr>
          <w:rFonts w:ascii="Arial" w:cs="Arial" w:eastAsia="Arial" w:hAnsi="Arial"/>
          <w:sz w:val="18"/>
          <w:szCs w:val="18"/>
          <w:color w:val="auto"/>
        </w:rPr>
      </w:pPr>
    </w:p>
    <w:p>
      <w:pPr>
        <w:ind w:left="220" w:hanging="210"/>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public market for our securities may adversely affect an investor’s ability to liquidate an investment in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currently quoted on the NASDAQ Capital Market and there is presently limited trading activity. We can give no assurance that an active market will develop, or if developed, that it will be sustained. If an investor acquires shares of our common stock, the investor may not be able to liquidate the shares should there be a need or desire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highly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220" w:hanging="210"/>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20" w:hanging="96"/>
        <w:spacing w:after="0"/>
        <w:tabs>
          <w:tab w:leader="none" w:pos="5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220" w:hanging="210"/>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220" w:hanging="210"/>
        <w:spacing w:after="0"/>
        <w:tabs>
          <w:tab w:leader="none" w:pos="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our current institutional stockholders own a substantial portion of our outstanding capital stock, including our common stock, Series A Preferred, Series B Preferred, and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Restated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(i) 500,000 shares of Series A Preferred, all of which shares are issued and outstanding at September 30, 2017; (ii) 4.0 million shares of Series B 10% Convertible Preferred stock, of which approximately 1.2 million shares remain issued and outstanding at September 30, 2017; and (iii) 3.0 million shares of Series C Convertible Preferred Stock, of which approximately 2.3 million shares are issued and outstanding at September 30, 2017. Our Board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becoming a public company by means of a reverse merger in 2011, we have been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September 2017, we reduced the exercise price of all warrants issued in private placement transactions completed between April 1 and June 27, 2017 (the </w:t>
      </w:r>
      <w:r>
        <w:rPr>
          <w:rFonts w:ascii="Arial" w:cs="Arial" w:eastAsia="Arial" w:hAnsi="Arial"/>
          <w:sz w:val="18"/>
          <w:szCs w:val="18"/>
          <w:i w:val="1"/>
          <w:iCs w:val="1"/>
          <w:color w:val="auto"/>
        </w:rPr>
        <w:t>Spring 2017 Private Placement</w:t>
      </w:r>
      <w:r>
        <w:rPr>
          <w:rFonts w:ascii="Arial" w:cs="Arial" w:eastAsia="Arial" w:hAnsi="Arial"/>
          <w:sz w:val="18"/>
          <w:szCs w:val="18"/>
          <w:color w:val="auto"/>
        </w:rPr>
        <w:t>) from a weighted average of $3.99 per share to $2.00 per share. We also issued to each of the Spring 2017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each of who were accredited investors, additional warrants to purchase an aggregate total of 247,501 shares of common stock, with an exercise price of $2.00 per share.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2017, we issued an aggregate total of 477,500 shares of unregistered common stock, having an aggregate fair value of $744,100, to certain professional service providers. In October 2017, we issued an aggregate total of 70,000 shares of unregistered shares of common stock with a fair value of $83,800 to certain professional service providers.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80" w:type="dxa"/>
            <w:vAlign w:val="bottom"/>
          </w:tcPr>
          <w:p>
            <w:pPr>
              <w:ind w:left="4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63">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the Principal Executive Officer required by Rule 13a-14(a) under the Securities Exchange Act of 1934, as amended,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64">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40" w:hanging="1032"/>
        <w:spacing w:after="0" w:line="268" w:lineRule="auto"/>
        <w:tabs>
          <w:tab w:leader="none" w:pos="1040" w:val="left"/>
        </w:tabs>
        <w:numPr>
          <w:ilvl w:val="0"/>
          <w:numId w:val="34"/>
        </w:numPr>
        <w:rPr>
          <w:rFonts w:ascii="Arial" w:cs="Arial" w:eastAsia="Arial" w:hAnsi="Arial"/>
          <w:sz w:val="18"/>
          <w:szCs w:val="18"/>
          <w:u w:val="single" w:color="auto"/>
          <w:color w:val="0000EE"/>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9, 2017</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557" w:right="4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19" w:lineRule="exact"/>
        <w:rPr>
          <w:sz w:val="20"/>
          <w:szCs w:val="20"/>
          <w:color w:val="auto"/>
        </w:rPr>
      </w:pPr>
    </w:p>
    <w:p>
      <w:pPr>
        <w:ind w:left="720" w:hanging="71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32" w:lineRule="auto"/>
        <w:tabs>
          <w:tab w:leader="none" w:pos="851"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9" w:lineRule="exact"/>
        <w:rPr>
          <w:rFonts w:ascii="Arial" w:cs="Arial" w:eastAsia="Arial" w:hAnsi="Arial"/>
          <w:sz w:val="16"/>
          <w:szCs w:val="16"/>
          <w:color w:val="auto"/>
        </w:rPr>
      </w:pPr>
    </w:p>
    <w:p>
      <w:pPr>
        <w:ind w:firstLine="8"/>
        <w:spacing w:after="0" w:line="268" w:lineRule="auto"/>
        <w:tabs>
          <w:tab w:leader="none" w:pos="87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firstLine="8"/>
        <w:spacing w:after="0" w:line="259" w:lineRule="auto"/>
        <w:tabs>
          <w:tab w:leader="none" w:pos="90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8"/>
        <w:spacing w:after="0" w:line="332" w:lineRule="auto"/>
        <w:tabs>
          <w:tab w:leader="none" w:pos="77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20"/>
                <w:szCs w:val="20"/>
                <w:color w:val="auto"/>
              </w:rPr>
            </w:pPr>
            <w:r>
              <w:rPr>
                <w:rFonts w:ascii="Arial" w:cs="Arial" w:eastAsia="Arial" w:hAnsi="Arial"/>
                <w:sz w:val="18"/>
                <w:szCs w:val="18"/>
                <w:color w:val="auto"/>
              </w:rPr>
              <w:t>November 9, 2017</w:t>
            </w:r>
          </w:p>
        </w:tc>
        <w:tc>
          <w:tcPr>
            <w:tcW w:w="4920" w:type="dxa"/>
            <w:vAlign w:val="bottom"/>
            <w:gridSpan w:val="2"/>
          </w:tcPr>
          <w:p>
            <w:pPr>
              <w:spacing w:after="0"/>
              <w:rPr>
                <w:sz w:val="20"/>
                <w:szCs w:val="20"/>
                <w:color w:val="auto"/>
              </w:rPr>
            </w:pPr>
            <w:r>
              <w:rPr>
                <w:rFonts w:ascii="Arial" w:cs="Arial" w:eastAsia="Arial" w:hAnsi="Arial"/>
                <w:sz w:val="18"/>
                <w:szCs w:val="18"/>
                <w:color w:val="auto"/>
              </w:rPr>
              <w:t>/s/ Shawn K. Singh</w:t>
            </w:r>
          </w:p>
        </w:tc>
      </w:tr>
      <w:tr>
        <w:trPr>
          <w:trHeight w:val="228"/>
        </w:trPr>
        <w:tc>
          <w:tcPr>
            <w:tcW w:w="650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3580" w:type="dxa"/>
            <w:vAlign w:val="bottom"/>
          </w:tcPr>
          <w:p>
            <w:pPr>
              <w:spacing w:after="0"/>
              <w:rPr>
                <w:sz w:val="19"/>
                <w:szCs w:val="19"/>
                <w:color w:val="auto"/>
              </w:rPr>
            </w:pPr>
          </w:p>
        </w:tc>
      </w:tr>
      <w:tr>
        <w:trPr>
          <w:trHeight w:val="222"/>
        </w:trPr>
        <w:tc>
          <w:tcPr>
            <w:tcW w:w="650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41"/>
        </w:trPr>
        <w:tc>
          <w:tcPr>
            <w:tcW w:w="65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720" w:hanging="71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32" w:lineRule="auto"/>
        <w:tabs>
          <w:tab w:leader="none" w:pos="851"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39" w:lineRule="exact"/>
        <w:rPr>
          <w:rFonts w:ascii="Arial" w:cs="Arial" w:eastAsia="Arial" w:hAnsi="Arial"/>
          <w:sz w:val="16"/>
          <w:szCs w:val="16"/>
          <w:color w:val="auto"/>
        </w:rPr>
      </w:pPr>
    </w:p>
    <w:p>
      <w:pPr>
        <w:ind w:firstLine="8"/>
        <w:spacing w:after="0" w:line="268" w:lineRule="auto"/>
        <w:tabs>
          <w:tab w:leader="none" w:pos="8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firstLine="8"/>
        <w:spacing w:after="0" w:line="259" w:lineRule="auto"/>
        <w:tabs>
          <w:tab w:leader="none" w:pos="90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8"/>
        <w:spacing w:after="0" w:line="332" w:lineRule="auto"/>
        <w:tabs>
          <w:tab w:leader="none" w:pos="77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20"/>
                <w:szCs w:val="20"/>
                <w:color w:val="auto"/>
              </w:rPr>
            </w:pPr>
            <w:r>
              <w:rPr>
                <w:rFonts w:ascii="Arial" w:cs="Arial" w:eastAsia="Arial" w:hAnsi="Arial"/>
                <w:sz w:val="18"/>
                <w:szCs w:val="18"/>
                <w:color w:val="auto"/>
              </w:rPr>
              <w:t>November 9, 2017</w:t>
            </w:r>
          </w:p>
        </w:tc>
        <w:tc>
          <w:tcPr>
            <w:tcW w:w="5580" w:type="dxa"/>
            <w:vAlign w:val="bottom"/>
            <w:gridSpan w:val="2"/>
          </w:tcPr>
          <w:p>
            <w:pPr>
              <w:spacing w:after="0"/>
              <w:rPr>
                <w:sz w:val="20"/>
                <w:szCs w:val="20"/>
                <w:color w:val="auto"/>
              </w:rPr>
            </w:pPr>
            <w:r>
              <w:rPr>
                <w:rFonts w:ascii="Arial" w:cs="Arial" w:eastAsia="Arial" w:hAnsi="Arial"/>
                <w:sz w:val="18"/>
                <w:szCs w:val="18"/>
                <w:color w:val="auto"/>
              </w:rPr>
              <w:t>/s/ Jerrold D. Dotson</w:t>
            </w:r>
          </w:p>
        </w:tc>
      </w:tr>
      <w:tr>
        <w:trPr>
          <w:trHeight w:val="228"/>
        </w:trPr>
        <w:tc>
          <w:tcPr>
            <w:tcW w:w="584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Jerrold D. Dotson</w:t>
            </w:r>
          </w:p>
        </w:tc>
        <w:tc>
          <w:tcPr>
            <w:tcW w:w="4120" w:type="dxa"/>
            <w:vAlign w:val="bottom"/>
          </w:tcPr>
          <w:p>
            <w:pPr>
              <w:spacing w:after="0"/>
              <w:rPr>
                <w:sz w:val="19"/>
                <w:szCs w:val="19"/>
                <w:color w:val="auto"/>
              </w:rPr>
            </w:pPr>
          </w:p>
        </w:tc>
      </w:tr>
      <w:tr>
        <w:trPr>
          <w:trHeight w:val="222"/>
        </w:trPr>
        <w:tc>
          <w:tcPr>
            <w:tcW w:w="584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441"/>
        </w:trPr>
        <w:tc>
          <w:tcPr>
            <w:tcW w:w="5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September 30, 2017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9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November 9,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lowerRoman"/>
      <w:start w:val="2"/>
    </w:lvl>
  </w:abstractNum>
  <w:abstractNum w:abstractNumId="4">
    <w:nsid w:val="628C895D"/>
    <w:multiLevelType w:val="hybridMultilevel"/>
    <w:lvl w:ilvl="0">
      <w:lvlJc w:val="left"/>
      <w:lvlText w:val="●"/>
      <w:numFmt w:val="bullet"/>
      <w:start w:val="1"/>
    </w:lvl>
    <w:lvl w:ilvl="1">
      <w:lvlJc w:val="left"/>
      <w:lvlText w:val="-"/>
      <w:numFmt w:val="bullet"/>
      <w:start w:val="1"/>
    </w:lvl>
  </w:abstractNum>
  <w:abstractNum w:abstractNumId="5">
    <w:nsid w:val="333AB105"/>
    <w:multiLevelType w:val="hybridMultilevel"/>
    <w:lvl w:ilvl="0">
      <w:lvlJc w:val="left"/>
      <w:lvlText w:val="●"/>
      <w:numFmt w:val="bullet"/>
      <w:start w:val="1"/>
    </w:lvl>
    <w:lvl w:ilvl="1">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lvl w:ilvl="1">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lvl w:ilvl="1">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lvl w:ilvl="1">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lvl w:ilvl="1">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lvl w:ilvl="1">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lvl w:ilvl="1">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lvl w:ilvl="1">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32"/>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2020-01-18T17:46:32Z</dcterms:created>
  <dcterms:modified xsi:type="dcterms:W3CDTF">2020-01-18T17:46:32Z</dcterms:modified>
</cp:coreProperties>
</file>