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8"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132715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2388870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36"/>
          <w:szCs w:val="36"/>
          <w:b w:val="1"/>
          <w:bCs w:val="1"/>
          <w:color w:val="auto"/>
        </w:rPr>
        <w:t>VistaGen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31115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4"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(Name of Issuer)</w:t>
      </w:r>
    </w:p>
    <w:p>
      <w:pPr>
        <w:spacing w:after="0" w:line="255"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7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92840H202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(CUSIP Number)</w:t>
      </w:r>
    </w:p>
    <w:p>
      <w:pPr>
        <w:spacing w:after="0" w:line="270"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Louis S. Citron, Esq.</w:t>
      </w:r>
    </w:p>
    <w:p>
      <w:pPr>
        <w:spacing w:after="0" w:line="3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New Enterprise Associates</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1954 Greenspring Drive, Suite 600, Timonium, MD 21093</w:t>
      </w:r>
    </w:p>
    <w:p>
      <w:pPr>
        <w:spacing w:after="0" w:line="9"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(410) 842-4000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5715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57"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July 22,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19685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ind w:left="2"/>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highlight w:val="lightGray"/>
        </w:rPr>
        <w:t>☐</w:t>
      </w:r>
    </w:p>
    <w:p>
      <w:pPr>
        <w:spacing w:after="0" w:line="175" w:lineRule="exact"/>
        <w:rPr>
          <w:sz w:val="24"/>
          <w:szCs w:val="24"/>
          <w:color w:val="auto"/>
        </w:rPr>
      </w:pPr>
    </w:p>
    <w:p>
      <w:pPr>
        <w:ind w:left="2"/>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199" w:lineRule="exact"/>
        <w:rPr>
          <w:sz w:val="24"/>
          <w:szCs w:val="24"/>
          <w:color w:val="auto"/>
        </w:rPr>
      </w:pPr>
    </w:p>
    <w:p>
      <w:pPr>
        <w:ind w:left="2" w:hanging="2"/>
        <w:spacing w:after="0" w:line="195" w:lineRule="auto"/>
        <w:tabs>
          <w:tab w:leader="none" w:pos="128" w:val="left"/>
        </w:tabs>
        <w:numPr>
          <w:ilvl w:val="0"/>
          <w:numId w:val="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jc w:val="both"/>
        <w:ind w:left="2"/>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wp:posOffset>
            </wp:positionH>
            <wp:positionV relativeFrom="paragraph">
              <wp:posOffset>123190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wp:posOffset>
            </wp:positionH>
            <wp:positionV relativeFrom="paragraph">
              <wp:posOffset>149225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2"/>
          </w:cols>
          <w:pgMar w:left="778" w:top="689" w:right="799" w:bottom="1440" w:gutter="0" w:footer="0" w:header="0"/>
        </w:sectPr>
      </w:pPr>
    </w:p>
    <w:bookmarkStart w:id="1" w:name="page2"/>
    <w:bookmarkEnd w:id="1"/>
    <w:p>
      <w:pPr>
        <w:ind w:left="80"/>
        <w:spacing w:after="0"/>
        <w:tabs>
          <w:tab w:leader="none" w:pos="5460" w:val="left"/>
          <w:tab w:leader="none" w:pos="9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534670</wp:posOffset>
            </wp:positionV>
            <wp:extent cx="2357120"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2366010" cy="240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2 of 10 Pages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u w:val="single" w:color="auto"/>
          <w:color w:val="auto"/>
        </w:rPr>
        <w:t>Security and Issuer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Amendment No. 2 (“Amendment No. 2”) to Schedule 13D amends and supplements the statement on 13D originally filed on January 4, 2021 and Amendment No. 1 filed on April 29, 2021 relating to the common shares, $0.001 par value (the “Common Stock”), of VistaGen Therapeutics, Inc. (the “Issuer”), having its principal executive office at 343 Allerton Ave., South San Francisco, California 94090.</w:t>
      </w:r>
    </w:p>
    <w:p>
      <w:pPr>
        <w:spacing w:after="0" w:line="38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Identity and Background</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statement is being filed by:</w:t>
      </w:r>
    </w:p>
    <w:p>
      <w:pPr>
        <w:spacing w:after="0" w:line="239" w:lineRule="exact"/>
        <w:rPr>
          <w:sz w:val="20"/>
          <w:szCs w:val="20"/>
          <w:color w:val="auto"/>
        </w:rPr>
      </w:pPr>
    </w:p>
    <w:p>
      <w:pPr>
        <w:ind w:left="900" w:hanging="244"/>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Equity Opportunities 17, LLC (“GEO”);</w:t>
      </w:r>
    </w:p>
    <w:p>
      <w:pPr>
        <w:spacing w:after="0" w:line="238"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Enterprise Associates 17, L.P. (“NEA 17”), which is the sole member of GEO; NEA Partners 17, L.P. (“NEA Partners 17”), which is the sole general partner of NEA 17; and NEA 17 GP, LLC (“NEA 17 LLC” and, together with NEA Partners 17, the “Control Entities”), which is the sole general partner of NEA Partners 17; and</w:t>
      </w:r>
    </w:p>
    <w:p>
      <w:pPr>
        <w:spacing w:after="0" w:line="189" w:lineRule="exact"/>
        <w:rPr>
          <w:rFonts w:ascii="Times New Roman" w:cs="Times New Roman" w:eastAsia="Times New Roman" w:hAnsi="Times New Roman"/>
          <w:sz w:val="18"/>
          <w:szCs w:val="18"/>
          <w:color w:val="auto"/>
        </w:rPr>
      </w:pPr>
    </w:p>
    <w:p>
      <w:pPr>
        <w:jc w:val="both"/>
        <w:ind w:firstLine="656"/>
        <w:spacing w:after="0" w:line="266" w:lineRule="auto"/>
        <w:tabs>
          <w:tab w:leader="none" w:pos="90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Forest Baskett (“Baskett”), Ali Behbahani (“Behbahani”), Carmen Chang (“Chang”), Anthony A. Florence, Jr. (“Florence”), Liza Landsman (“Landsman”), Mohamad H. Makhzoumi (“Makhzoumi”), Edward T. Mathers (“Mathers”), Scott D. Sandell (“Sandell”), Peter W. Sonsini (“Sonsini”), Paul Walker (“Walker”) and Rick Yang (“Yang”) (together, the “Managers”) and Joshua Makower. The Managers are the managers of NEA 17 LLC.</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persons named in this Item 2 are referred to individually herein as a “Reporting Person” and collectively as the “Reporting Persons.”</w:t>
      </w:r>
    </w:p>
    <w:p>
      <w:pPr>
        <w:spacing w:after="0" w:line="239"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18"/>
          <w:szCs w:val="18"/>
          <w:color w:val="auto"/>
        </w:rPr>
        <w:t>The address of the principal business office of GEO, NEA 17, each Control Entity and Sandell is New Enterprise Associates, 1954 Greenspring Drive, Suite 600, Timonium, MD 21093. The address of the principal business office of Behbahani and Mathers is New Enterprise Associates, 5425 Wisconsin Avenue, Suite 800, Chevy Chase, MD 20815. The address of the principal business office of Baskett, Chang, Makhzoumi, Sonsini, Walker and Yang is New Enterprise Associates, 2855 Sand Hill Road, Menlo Park, California 94025. The address of the principal business office of Florence and Landsman is New Enterprise Associates, 104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19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10001.</w:t>
      </w:r>
    </w:p>
    <w:p>
      <w:pPr>
        <w:spacing w:after="0" w:line="6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principal business of GEO and NEA 17 is to invest in and assist growth-oriented businesses located principally in the United States. The principal business of NEA Partners 17 is to act as the sole general partner of NEA 17. The principal business of NEA 17 LLC is to act as the sole general partner of NEA Partners 17. The principal business of each of the Managers is to manage the Control Entities, GEO and a number of affiliated partnerships with similar businesses.</w:t>
      </w:r>
    </w:p>
    <w:p>
      <w:pPr>
        <w:spacing w:after="0" w:line="19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five years prior to the date hereof, none of the Reporting Persons has been convicted in a criminal proceeding or has been a party to a civil proceeding ending in a judgment, decree or final order enjoining future violations of, or prohibiting or mandating activities subject to, federal or state securities laws or finding any violation with respect to such laws.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GEO and NEA 17 LLC are a limited liability companies organized under the laws of the State of Delaware. NEA 17 and NEA Partners 17 are limited partnerships organized under the laws of the State of Delaware. Each of the Managers is a United States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1297305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2" w:name="page3"/>
    <w:bookmarkEnd w:id="2"/>
    <w:p>
      <w:pPr>
        <w:ind w:left="80"/>
        <w:spacing w:after="0"/>
        <w:tabs>
          <w:tab w:leader="none" w:pos="5460" w:val="left"/>
          <w:tab w:leader="none" w:pos="9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3 of 10 Pages</w:t>
      </w:r>
    </w:p>
    <w:p>
      <w:pPr>
        <w:sectPr>
          <w:pgSz w:w="11900" w:h="16838" w:orient="portrait"/>
          <w:cols w:equalWidth="0" w:num="1">
            <w:col w:w="10980"/>
          </w:cols>
          <w:pgMar w:left="32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Purpose of Transaction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Interest in Securities of the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of the Reporting Persons has ceased to own beneficially five percent (5%) or more of the Issuer’s Common Stock.</w:t>
      </w:r>
    </w:p>
    <w:p>
      <w:pPr>
        <w:spacing w:after="0" w:line="200" w:lineRule="exact"/>
        <w:rPr>
          <w:sz w:val="20"/>
          <w:szCs w:val="20"/>
          <w:color w:val="auto"/>
        </w:rPr>
      </w:pPr>
    </w:p>
    <w:p>
      <w:pPr>
        <w:spacing w:after="0" w:line="23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Material to be Filed as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1 – Agreement regarding filing of joint Schedule 13D.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Exhibit 2 – Power of Attorney regarding filings under the Securities Exchange Act of 1934, as amended.</w:t>
      </w:r>
    </w:p>
    <w:p>
      <w:pPr>
        <w:spacing w:after="0" w:line="2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Exhibit 3 – Power of Attorney on behalf of Liza Landsman regarding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3539490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80"/>
          </w:cols>
          <w:pgMar w:left="320" w:top="644" w:right="599" w:bottom="1440" w:gutter="0" w:footer="0" w:header="0"/>
          <w:type w:val="continuous"/>
        </w:sectPr>
      </w:pPr>
    </w:p>
    <w:bookmarkStart w:id="3" w:name="page4"/>
    <w:bookmarkEnd w:id="3"/>
    <w:p>
      <w:pPr>
        <w:ind w:left="80"/>
        <w:spacing w:after="0"/>
        <w:tabs>
          <w:tab w:leader="none" w:pos="5460" w:val="left"/>
          <w:tab w:leader="none" w:pos="9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4 of 10 Pages</w:t>
      </w:r>
    </w:p>
    <w:p>
      <w:pPr>
        <w:sectPr>
          <w:pgSz w:w="11900" w:h="16838" w:orient="portrait"/>
          <w:cols w:equalWidth="0" w:num="1">
            <w:col w:w="11240"/>
          </w:cols>
          <w:pgMar w:left="320" w:top="644" w:right="3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29"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set forth in this statement is true, complete and correct.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NEW ENTERPRISE ASSOCIATES 17, L.P.</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Sole Member</w:t>
      </w:r>
    </w:p>
    <w:p>
      <w:pPr>
        <w:spacing w:after="0" w:line="315" w:lineRule="exact"/>
        <w:rPr>
          <w:sz w:val="20"/>
          <w:szCs w:val="20"/>
          <w:color w:val="auto"/>
        </w:rPr>
      </w:pPr>
    </w:p>
    <w:p>
      <w:pPr>
        <w:ind w:left="720"/>
        <w:spacing w:after="0"/>
        <w:tabs>
          <w:tab w:leader="none" w:pos="1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NEA PARTNERS 17, L.P.</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95"/>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91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NEA 17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160" w:type="dxa"/>
            <w:vAlign w:val="bottom"/>
            <w:gridSpan w:val="7"/>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144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spacing w:after="0"/>
              <w:rPr>
                <w:sz w:val="24"/>
                <w:szCs w:val="24"/>
                <w:color w:val="auto"/>
              </w:rPr>
            </w:pPr>
          </w:p>
        </w:tc>
        <w:tc>
          <w:tcPr>
            <w:tcW w:w="580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112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NEA 17 GP, LLC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64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39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800" w:type="dxa"/>
            <w:vAlign w:val="bottom"/>
          </w:tcPr>
          <w:p>
            <w:pPr>
              <w:spacing w:after="0"/>
              <w:rPr>
                <w:sz w:val="20"/>
                <w:szCs w:val="20"/>
                <w:color w:val="auto"/>
              </w:rPr>
            </w:pPr>
          </w:p>
        </w:tc>
      </w:tr>
      <w:tr>
        <w:trPr>
          <w:trHeight w:val="1215"/>
        </w:trPr>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44" w:right="339" w:bottom="1440" w:gutter="0" w:footer="0" w:header="0"/>
          <w:type w:val="continuous"/>
        </w:sectPr>
      </w:pPr>
    </w:p>
    <w:bookmarkStart w:id="4" w:name="page5"/>
    <w:bookmarkEnd w:id="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5 of 10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7"/>
          <w:szCs w:val="17"/>
          <w:color w:val="auto"/>
        </w:rPr>
        <w:t>Peter W. Sonsini</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-7620</wp:posOffset>
            </wp:positionV>
            <wp:extent cx="158051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This Amendment No. 2 to Schedule 13D was executed by Louis S. Citron on behalf of the individuals listed above pursuant to a Power of Attorney a copy of which is attached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9"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6 of 10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1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Rule 13d-1(k)(1) under the Securities Exchange Act of 1934, the undersigned hereby agree that only one statement containing the information required by Schedule 13D need be filed with respect to the ownership by each of the undersigned of shares of stock of VistaGen Therapeutics, Inc.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EXECUTED this 12</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August, 2022.</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GROWTH EQUITY OPPORTUNITIES 17, LLC</w:t>
      </w:r>
    </w:p>
    <w:p>
      <w:pPr>
        <w:sectPr>
          <w:pgSz w:w="11900" w:h="16838" w:orient="portrait"/>
          <w:cols w:equalWidth="0" w:num="1">
            <w:col w:w="11240"/>
          </w:cols>
          <w:pgMar w:left="320" w:top="68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ENTERPRISE ASSOCIATES 17, L.P.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Sole Member</w:t>
      </w:r>
    </w:p>
    <w:p>
      <w:pPr>
        <w:spacing w:after="0" w:line="200" w:lineRule="exact"/>
        <w:rPr>
          <w:sz w:val="20"/>
          <w:szCs w:val="20"/>
          <w:color w:val="auto"/>
        </w:rPr>
      </w:pPr>
    </w:p>
    <w:p>
      <w:pPr>
        <w:sectPr>
          <w:pgSz w:w="11900" w:h="16838" w:orient="portrait"/>
          <w:cols w:equalWidth="0" w:num="2">
            <w:col w:w="260" w:space="460"/>
            <w:col w:w="10520"/>
          </w:cols>
          <w:pgMar w:left="320" w:top="687" w:right="339" w:bottom="1440" w:gutter="0" w:footer="0" w:header="0"/>
          <w:type w:val="continuous"/>
        </w:sectPr>
      </w:pPr>
    </w:p>
    <w:p>
      <w:pPr>
        <w:spacing w:after="0" w:line="11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NEA PARTNERS 17, L.P.</w:t>
      </w:r>
    </w:p>
    <w:p>
      <w:pPr>
        <w:spacing w:after="0" w:line="39" w:lineRule="exact"/>
        <w:rPr>
          <w:sz w:val="20"/>
          <w:szCs w:val="20"/>
          <w:color w:val="auto"/>
        </w:rPr>
      </w:pPr>
    </w:p>
    <w:p>
      <w:pPr>
        <w:sectPr>
          <w:pgSz w:w="11900" w:h="16838" w:orient="portrait"/>
          <w:cols w:equalWidth="0" w:num="2">
            <w:col w:w="980" w:space="460"/>
            <w:col w:w="9800"/>
          </w:cols>
          <w:pgMar w:left="320" w:top="687"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5"/>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33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NEA 17 GP, LLC</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360" w:type="dxa"/>
            <w:vAlign w:val="bottom"/>
            <w:gridSpan w:val="6"/>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99"/>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620" w:type="dxa"/>
            <w:vAlign w:val="bottom"/>
            <w:gridSpan w:val="3"/>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544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NEW ENTERPRISE ASSOCIATES 17, L.P.</w:t>
            </w: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38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NEA PARTNERS 17, L.P.</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22"/>
        </w:trPr>
        <w:tc>
          <w:tcPr>
            <w:tcW w:w="500" w:type="dxa"/>
            <w:vAlign w:val="bottom"/>
          </w:tcPr>
          <w:p>
            <w:pPr>
              <w:spacing w:after="0"/>
              <w:rPr>
                <w:sz w:val="24"/>
                <w:szCs w:val="24"/>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NEA 17 GP, LLC</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391"/>
        </w:trPr>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By:</w:t>
            </w:r>
          </w:p>
        </w:tc>
        <w:tc>
          <w:tcPr>
            <w:tcW w:w="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Scott D. Sandell</w:t>
            </w: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48"/>
        </w:trPr>
        <w:tc>
          <w:tcPr>
            <w:tcW w:w="2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NEA PARTNERS 17, L.P.</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NEA 17 GP, LLC</w:t>
            </w: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500" w:type="dxa"/>
            <w:vAlign w:val="bottom"/>
          </w:tcPr>
          <w:p>
            <w:pPr>
              <w:spacing w:after="0"/>
              <w:rPr>
                <w:sz w:val="20"/>
                <w:szCs w:val="20"/>
                <w:color w:val="auto"/>
              </w:rPr>
            </w:pPr>
          </w:p>
        </w:tc>
        <w:tc>
          <w:tcPr>
            <w:tcW w:w="15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General Partner</w:t>
            </w: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99"/>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64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NEA 17 GP, LLC</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9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8"/>
        </w:trPr>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Scott D. Sandell</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1045845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7" w:right="339" w:bottom="1440" w:gutter="0" w:footer="0" w:header="0"/>
          <w:type w:val="continuous"/>
        </w:sectPr>
      </w:pPr>
    </w:p>
    <w:bookmarkStart w:id="6" w:name="page7"/>
    <w:bookmarkEnd w:id="6"/>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2040"/>
              <w:spacing w:after="0"/>
              <w:rPr>
                <w:sz w:val="20"/>
                <w:szCs w:val="20"/>
                <w:color w:val="auto"/>
              </w:rPr>
            </w:pPr>
            <w:r>
              <w:rPr>
                <w:rFonts w:ascii="Times New Roman" w:cs="Times New Roman" w:eastAsia="Times New Roman" w:hAnsi="Times New Roman"/>
                <w:sz w:val="18"/>
                <w:szCs w:val="18"/>
                <w:b w:val="1"/>
                <w:bCs w:val="1"/>
                <w:color w:val="auto"/>
              </w:rPr>
              <w:t>Page 7 of 10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Forest Baskett</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Ali Behbahani</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Carmen Chang</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120"/>
        <w:spacing w:after="0"/>
        <w:rPr>
          <w:sz w:val="20"/>
          <w:szCs w:val="20"/>
          <w:color w:val="auto"/>
        </w:rPr>
      </w:pPr>
      <w:r>
        <w:rPr>
          <w:rFonts w:ascii="Times New Roman" w:cs="Times New Roman" w:eastAsia="Times New Roman" w:hAnsi="Times New Roman"/>
          <w:sz w:val="18"/>
          <w:szCs w:val="18"/>
          <w:color w:val="auto"/>
        </w:rPr>
        <w:t>Liza Landsman</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0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0" w:lineRule="exact"/>
        <w:rPr>
          <w:sz w:val="20"/>
          <w:szCs w:val="20"/>
          <w:color w:val="auto"/>
        </w:rPr>
      </w:pPr>
    </w:p>
    <w:p>
      <w:pPr>
        <w:spacing w:after="0" w:line="223" w:lineRule="exact"/>
        <w:rPr>
          <w:sz w:val="20"/>
          <w:szCs w:val="20"/>
          <w:color w:val="auto"/>
        </w:rPr>
      </w:pPr>
    </w:p>
    <w:p>
      <w:pPr>
        <w:jc w:val="right"/>
        <w:ind w:right="1006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jc w:val="right"/>
        <w:ind w:right="10040"/>
        <w:spacing w:after="0"/>
        <w:rPr>
          <w:sz w:val="20"/>
          <w:szCs w:val="20"/>
          <w:color w:val="auto"/>
        </w:rPr>
      </w:pPr>
      <w:r>
        <w:rPr>
          <w:rFonts w:ascii="Times New Roman" w:cs="Times New Roman" w:eastAsia="Times New Roman" w:hAnsi="Times New Roman"/>
          <w:sz w:val="17"/>
          <w:szCs w:val="17"/>
          <w:color w:val="auto"/>
        </w:rPr>
        <w:t>Peter W. Sonsini</w:t>
      </w:r>
    </w:p>
    <w:p>
      <w:pPr>
        <w:spacing w:after="0" w:line="200" w:lineRule="exact"/>
        <w:rPr>
          <w:sz w:val="20"/>
          <w:szCs w:val="20"/>
          <w:color w:val="auto"/>
        </w:rPr>
      </w:pPr>
    </w:p>
    <w:p>
      <w:pPr>
        <w:spacing w:after="0" w:line="23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709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Walker</w:t>
      </w:r>
    </w:p>
    <w:p>
      <w:pPr>
        <w:spacing w:after="0" w:line="200" w:lineRule="exact"/>
        <w:rPr>
          <w:sz w:val="20"/>
          <w:szCs w:val="20"/>
          <w:color w:val="auto"/>
        </w:rPr>
      </w:pPr>
    </w:p>
    <w:p>
      <w:pPr>
        <w:spacing w:after="0" w:line="22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709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7099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Yang</w:t>
      </w:r>
    </w:p>
    <w:p>
      <w:pPr>
        <w:spacing w:after="0" w:line="200" w:lineRule="exact"/>
        <w:rPr>
          <w:sz w:val="20"/>
          <w:szCs w:val="20"/>
          <w:color w:val="auto"/>
        </w:rPr>
      </w:pPr>
    </w:p>
    <w:p>
      <w:pPr>
        <w:spacing w:after="0" w:line="2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*/s/ Louis S. Citron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2836545</wp:posOffset>
            </wp:positionH>
            <wp:positionV relativeFrom="paragraph">
              <wp:posOffset>-7620</wp:posOffset>
            </wp:positionV>
            <wp:extent cx="15805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80515" cy="8890"/>
                    </a:xfrm>
                    <a:prstGeom prst="rect">
                      <a:avLst/>
                    </a:prstGeom>
                    <a:noFill/>
                  </pic:spPr>
                </pic:pic>
              </a:graphicData>
            </a:graphic>
          </wp:anchor>
        </w:drawing>
      </w:r>
    </w:p>
    <w:p>
      <w:pPr>
        <w:spacing w:after="0" w:line="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Louis S. Citron</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As attorney-in-fact</w:t>
      </w:r>
    </w:p>
    <w:p>
      <w:pPr>
        <w:spacing w:after="0" w:line="200" w:lineRule="exact"/>
        <w:rPr>
          <w:sz w:val="20"/>
          <w:szCs w:val="20"/>
          <w:color w:val="auto"/>
        </w:rPr>
      </w:pPr>
    </w:p>
    <w:p>
      <w:pPr>
        <w:spacing w:after="0" w:line="223"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This Agreement relating to Schedule 13D was executed by Louis S. Citron on behalf of the individuals listed above pursuant to a Power of Attorney a copy of which is attached hereto as 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 w:name="page8"/>
    <w:bookmarkEnd w:id="7"/>
    <w:p>
      <w:pPr>
        <w:ind w:left="80"/>
        <w:spacing w:after="0"/>
        <w:tabs>
          <w:tab w:leader="none" w:pos="5460" w:val="left"/>
          <w:tab w:leader="none" w:pos="95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8 of 10 Pages</w:t>
      </w:r>
    </w:p>
    <w:p>
      <w:pPr>
        <w:sectPr>
          <w:pgSz w:w="11900" w:h="16838" w:orient="portrait"/>
          <w:cols w:equalWidth="0" w:num="1">
            <w:col w:w="11240"/>
          </w:cols>
          <w:pgMar w:left="320" w:top="644" w:right="339" w:bottom="1440" w:gutter="0" w:footer="0" w:header="0"/>
        </w:sectPr>
      </w:pPr>
    </w:p>
    <w:p>
      <w:pPr>
        <w:spacing w:after="0" w:line="200" w:lineRule="exact"/>
        <w:rPr>
          <w:sz w:val="20"/>
          <w:szCs w:val="20"/>
          <w:color w:val="auto"/>
        </w:rPr>
      </w:pPr>
    </w:p>
    <w:p>
      <w:pPr>
        <w:spacing w:after="0" w:line="228" w:lineRule="exact"/>
        <w:rPr>
          <w:sz w:val="20"/>
          <w:szCs w:val="20"/>
          <w:color w:val="auto"/>
        </w:rPr>
      </w:pPr>
    </w:p>
    <w:p>
      <w:pPr>
        <w:ind w:left="10340"/>
        <w:spacing w:after="0"/>
        <w:rPr>
          <w:sz w:val="20"/>
          <w:szCs w:val="20"/>
          <w:color w:val="auto"/>
        </w:rPr>
      </w:pPr>
      <w:r>
        <w:rPr>
          <w:rFonts w:ascii="Times New Roman" w:cs="Times New Roman" w:eastAsia="Times New Roman" w:hAnsi="Times New Roman"/>
          <w:sz w:val="17"/>
          <w:szCs w:val="17"/>
          <w:b w:val="1"/>
          <w:bCs w:val="1"/>
          <w:u w:val="single" w:color="auto"/>
          <w:color w:val="auto"/>
        </w:rPr>
        <w:t>EXHIBIT 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Louis S. Citron, Timothy Schaller, Sasha Keough and Stephanie Brecher, and each of them, with full power to act without the others, his or her true and lawful attorney-in-fact, with full power of substitution, to sign any and all instruments, certificates and documents that may be necessary, desirable or appropriate to be executed on behalf of himself as an individual or in his or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or she might or could do in person, thereby ratifying and confirming all that said attorney-in-fact, or his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13th day of March, 2017.</w:t>
      </w:r>
    </w:p>
    <w:p>
      <w:pPr>
        <w:spacing w:after="0" w:line="200" w:lineRule="exact"/>
        <w:rPr>
          <w:sz w:val="20"/>
          <w:szCs w:val="20"/>
          <w:color w:val="auto"/>
        </w:rPr>
      </w:pPr>
    </w:p>
    <w:p>
      <w:pPr>
        <w:spacing w:after="0" w:line="24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M. James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6301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M. James Barrett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Peter J. Barris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376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Peter J. Barris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Forest Baskett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503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Forest Baskett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Ali Behbahani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7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88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Ali Behbahani</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Colin Bryant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725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254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Colin Bryant</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Carmen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5349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Carmen Chang</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u w:val="single" w:color="auto"/>
          <w:color w:val="auto"/>
        </w:rPr>
        <w:t>/s/ Anthony A. Florence, Jr.</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Anthony A. Florence, Jr.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Carol G.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9476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9476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Carol G. Gallagher</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Dayna Grayson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7889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88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Dayna Grayson</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Patrick J. Kerins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661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6190"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Patrick J. Kerins</w:t>
      </w:r>
    </w:p>
    <w:p>
      <w:pPr>
        <w:spacing w:after="0" w:line="20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250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P. Justin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type w:val="continuous"/>
        </w:sectPr>
      </w:pPr>
    </w:p>
    <w:bookmarkStart w:id="8" w:name="page9"/>
    <w:bookmarkEnd w:id="8"/>
    <w:p>
      <w:pPr>
        <w:spacing w:after="0"/>
        <w:tabs>
          <w:tab w:leader="none" w:pos="5380" w:val="left"/>
          <w:tab w:leader="none" w:pos="94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4982845</wp:posOffset>
            </wp:positionH>
            <wp:positionV relativeFrom="page">
              <wp:posOffset>380365</wp:posOffset>
            </wp:positionV>
            <wp:extent cx="2357120" cy="2400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57120" cy="24003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2366010" cy="2400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366010" cy="240030"/>
                    </a:xfrm>
                    <a:prstGeom prst="rect">
                      <a:avLst/>
                    </a:prstGeom>
                    <a:noFill/>
                  </pic:spPr>
                </pic:pic>
              </a:graphicData>
            </a:graphic>
          </wp:anchor>
        </w:drawing>
        <w:t>CUSIP No. 92840H202</w:t>
      </w:r>
      <w:r>
        <w:rPr>
          <w:sz w:val="20"/>
          <w:szCs w:val="20"/>
          <w:color w:val="auto"/>
        </w:rPr>
        <w:tab/>
      </w:r>
      <w:r>
        <w:rPr>
          <w:rFonts w:ascii="Times New Roman" w:cs="Times New Roman" w:eastAsia="Times New Roman" w:hAnsi="Times New Roman"/>
          <w:sz w:val="18"/>
          <w:szCs w:val="18"/>
          <w:b w:val="1"/>
          <w:bCs w:val="1"/>
          <w:color w:val="auto"/>
        </w:rPr>
        <w:t>13D</w:t>
      </w:r>
      <w:r>
        <w:rPr>
          <w:sz w:val="20"/>
          <w:szCs w:val="20"/>
          <w:color w:val="auto"/>
        </w:rPr>
        <w:tab/>
      </w:r>
      <w:r>
        <w:rPr>
          <w:rFonts w:ascii="Times New Roman" w:cs="Times New Roman" w:eastAsia="Times New Roman" w:hAnsi="Times New Roman"/>
          <w:sz w:val="17"/>
          <w:szCs w:val="17"/>
          <w:b w:val="1"/>
          <w:bCs w:val="1"/>
          <w:color w:val="auto"/>
        </w:rPr>
        <w:t>Page 9 of 10 Pages</w:t>
      </w:r>
    </w:p>
    <w:p>
      <w:pPr>
        <w:sectPr>
          <w:pgSz w:w="11900" w:h="16838" w:orient="portrait"/>
          <w:cols w:equalWidth="0" w:num="1">
            <w:col w:w="10900"/>
          </w:cols>
          <w:pgMar w:left="400" w:top="64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Vanessa Larco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255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Vanessa Larco</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Joshua Makower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5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Joshua Makower</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7"/>
          <w:szCs w:val="17"/>
          <w:u w:val="single" w:color="auto"/>
          <w:color w:val="auto"/>
        </w:rPr>
        <w:t>/s/ Mohamad H. Makhzoumi</w:t>
      </w:r>
    </w:p>
    <w:p>
      <w:pPr>
        <w:spacing w:after="0" w:line="3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Mohamad H. Makhzoumi</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Edward T. Mathers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700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Edward T. Mathers</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David M. 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206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David M. Mott</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Sara M. Nayeem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50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5031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Sara M. Nayeem</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Jason R. Nunn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301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Jason R. Nunn</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Gregory Papadopoulos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3011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0111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Gregory Papadopoulos</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Chetan Puttagunta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301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3015"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Chetan Puttagunta</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Jon Sakoda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598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Jon Sakoda</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Scott D. Sandell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206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Scott D. Sandell</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A. Brooke Seawell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20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8206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A. Brooke Seawell</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Peter W. Sonsini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873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68730"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Peter W. Sonsini</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Melissa Taunton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4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6428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Melissa Taunton</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Frank M. Torti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6809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6809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Frank M. Torti</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Ravi Viswanathan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846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460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Ravi Viswanathan</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Paul E. Walker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5031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5031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Paul E. Walker</w:t>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/s/ 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2423160</wp:posOffset>
            </wp:positionH>
            <wp:positionV relativeFrom="paragraph">
              <wp:posOffset>-7620</wp:posOffset>
            </wp:positionV>
            <wp:extent cx="12452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45235" cy="8890"/>
                    </a:xfrm>
                    <a:prstGeom prst="rect">
                      <a:avLst/>
                    </a:prstGeom>
                    <a:noFill/>
                  </pic:spPr>
                </pic:pic>
              </a:graphicData>
            </a:graphic>
          </wp:anchor>
        </w:drawing>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color w:val="auto"/>
        </w:rPr>
        <w:t>Rick Yang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777240</wp:posOffset>
            </wp:positionV>
            <wp:extent cx="71323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0"/>
          </w:cols>
          <w:pgMar w:left="400" w:top="644" w:right="599" w:bottom="1440" w:gutter="0" w:footer="0" w:header="0"/>
          <w:type w:val="continuous"/>
        </w:sectPr>
      </w:pPr>
    </w:p>
    <w:bookmarkStart w:id="9" w:name="page10"/>
    <w:bookmarkEnd w:id="9"/>
    <w:tbl>
      <w:tblPr>
        <w:tblLayout w:type="fixed"/>
        <w:tblInd w:w="10" w:type="dxa"/>
        <w:tblCellMar>
          <w:top w:w="0" w:type="dxa"/>
          <w:left w:w="0" w:type="dxa"/>
          <w:bottom w:w="0" w:type="dxa"/>
          <w:right w:w="0" w:type="dxa"/>
        </w:tblCellMar>
      </w:tblPr>
      <w:tr>
        <w:trPr>
          <w:trHeight w:val="297"/>
        </w:trPr>
        <w:tc>
          <w:tcPr>
            <w:tcW w:w="374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92840H202</w:t>
            </w:r>
          </w:p>
        </w:tc>
        <w:tc>
          <w:tcPr>
            <w:tcW w:w="3800" w:type="dxa"/>
            <w:vAlign w:val="bottom"/>
            <w:tcBorders>
              <w:right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13D</w:t>
            </w:r>
          </w:p>
        </w:tc>
        <w:tc>
          <w:tcPr>
            <w:tcW w:w="3700" w:type="dxa"/>
            <w:vAlign w:val="bottom"/>
            <w:tcBorders>
              <w:top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8"/>
                <w:szCs w:val="18"/>
                <w:b w:val="1"/>
                <w:bCs w:val="1"/>
                <w:color w:val="auto"/>
              </w:rPr>
              <w:t>Page 10 of 10 Pages</w:t>
            </w:r>
          </w:p>
        </w:tc>
      </w:tr>
      <w:tr>
        <w:trPr>
          <w:trHeight w:val="68"/>
        </w:trPr>
        <w:tc>
          <w:tcPr>
            <w:tcW w:w="3740" w:type="dxa"/>
            <w:vAlign w:val="bottom"/>
            <w:tcBorders>
              <w:left w:val="single" w:sz="8" w:color="auto"/>
              <w:bottom w:val="single" w:sz="8" w:color="auto"/>
              <w:right w:val="single" w:sz="8" w:color="auto"/>
            </w:tcBorders>
          </w:tcPr>
          <w:p>
            <w:pPr>
              <w:spacing w:after="0"/>
              <w:rPr>
                <w:sz w:val="5"/>
                <w:szCs w:val="5"/>
                <w:color w:val="auto"/>
              </w:rPr>
            </w:pPr>
          </w:p>
        </w:tc>
        <w:tc>
          <w:tcPr>
            <w:tcW w:w="3800" w:type="dxa"/>
            <w:vAlign w:val="bottom"/>
            <w:tcBorders>
              <w:right w:val="single" w:sz="8" w:color="auto"/>
            </w:tcBorders>
          </w:tcPr>
          <w:p>
            <w:pPr>
              <w:spacing w:after="0"/>
              <w:rPr>
                <w:sz w:val="5"/>
                <w:szCs w:val="5"/>
                <w:color w:val="auto"/>
              </w:rPr>
            </w:pPr>
          </w:p>
        </w:tc>
        <w:tc>
          <w:tcPr>
            <w:tcW w:w="370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Louis S. Citron, Timothy Schaller, Sasha Keough and Stephanie Brecher, and each of them, with full power to act without the others, her true and lawful attorney-in-fact, with full power of substitution, to sign any and all instruments, certificates and documents that may be necessary, desirable or appropriate to be executed on behalf of herself as an individual or in her capacity as a direct or indirect general partner, director, officer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she might or could do in person, thereby ratifying and confirming all that said attorney-in-fact, or her substitutes, may lawfully do or cause to be done by virtue hereof.</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1st day of April, 2020.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/s/ 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-7620</wp:posOffset>
            </wp:positionV>
            <wp:extent cx="19005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Liza Landsman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4943475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2022-08-13T16:13:21Z</dcterms:created>
  <dcterms:modified xsi:type="dcterms:W3CDTF">2022-08-13T16:13:21Z</dcterms:modified>
</cp:coreProperties>
</file>