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December 11, 2017</w:t>
      </w:r>
    </w:p>
    <w:p>
      <w:pPr>
        <w:spacing w:after="0" w:line="260"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333-221009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Post-Effective Amendment No. 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S-1</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13"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5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3841</w:t>
      </w:r>
    </w:p>
    <w:p>
      <w:pPr>
        <w:spacing w:after="0" w:line="21"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3">
            <w:col w:w="4020" w:space="720"/>
            <w:col w:w="3660" w:space="720"/>
            <w:col w:w="2300"/>
          </w:cols>
          <w:pgMar w:left="240" w:top="841"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9" w:lineRule="exact"/>
        <w:rPr>
          <w:sz w:val="24"/>
          <w:szCs w:val="24"/>
          <w:color w:val="auto"/>
        </w:rPr>
      </w:pPr>
    </w:p>
    <w:tbl>
      <w:tblPr>
        <w:tblLayout w:type="fixed"/>
        <w:tblInd w:w="1500" w:type="dxa"/>
        <w:tblCellMar>
          <w:top w:w="0" w:type="dxa"/>
          <w:left w:w="0" w:type="dxa"/>
          <w:bottom w:w="0" w:type="dxa"/>
          <w:right w:w="0" w:type="dxa"/>
        </w:tblCellMar>
      </w:tblPr>
      <w:tr>
        <w:trPr>
          <w:trHeight w:val="222"/>
        </w:trPr>
        <w:tc>
          <w:tcPr>
            <w:tcW w:w="2660" w:type="dxa"/>
            <w:vAlign w:val="bottom"/>
          </w:tcPr>
          <w:p>
            <w:pPr>
              <w:spacing w:after="0"/>
              <w:rPr>
                <w:sz w:val="19"/>
                <w:szCs w:val="19"/>
                <w:color w:val="auto"/>
              </w:rPr>
            </w:pPr>
          </w:p>
        </w:tc>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Copies of all communications to:</w:t>
            </w:r>
          </w:p>
        </w:tc>
      </w:tr>
      <w:tr>
        <w:trPr>
          <w:trHeight w:val="420"/>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Daniel W. Rumsey, Esq.</w:t>
            </w:r>
          </w:p>
        </w:tc>
        <w:tc>
          <w:tcPr>
            <w:tcW w:w="5260" w:type="dxa"/>
            <w:vAlign w:val="bottom"/>
          </w:tcPr>
          <w:p>
            <w:pPr>
              <w:spacing w:after="0"/>
              <w:rPr>
                <w:sz w:val="24"/>
                <w:szCs w:val="24"/>
                <w:color w:val="auto"/>
              </w:rPr>
            </w:pP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Jessica R. Sudweeks, Esq.</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7"/>
              </w:rPr>
              <w:t>John D. Hogoboom, Esq.</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Disclosure Law Group,</w:t>
            </w:r>
          </w:p>
        </w:tc>
        <w:tc>
          <w:tcPr>
            <w:tcW w:w="5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8"/>
              </w:rPr>
              <w:t>Lowenstein Sandler, LLP</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a Professional Corporation</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6"/>
              </w:rPr>
              <w:t>1251 Avenue of the Americas</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7"/>
              </w:rPr>
              <w:t>600 West Broadway, Suite 700</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90"/>
              </w:rPr>
              <w:t>New York, NY 10020</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San Diego, California 92101</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9"/>
              </w:rPr>
              <w:t>Tel: (212) 262-6700</w:t>
            </w:r>
          </w:p>
        </w:tc>
      </w:tr>
      <w:tr>
        <w:trPr>
          <w:trHeight w:val="216"/>
        </w:trPr>
        <w:tc>
          <w:tcPr>
            <w:tcW w:w="2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Tel: (619) 795-1134</w:t>
            </w:r>
          </w:p>
        </w:tc>
        <w:tc>
          <w:tcPr>
            <w:tcW w:w="5260" w:type="dxa"/>
            <w:vAlign w:val="bottom"/>
          </w:tcPr>
          <w:p>
            <w:pPr>
              <w:jc w:val="center"/>
              <w:ind w:left="3012"/>
              <w:spacing w:after="0"/>
              <w:rPr>
                <w:sz w:val="20"/>
                <w:szCs w:val="20"/>
                <w:color w:val="auto"/>
              </w:rPr>
            </w:pPr>
            <w:r>
              <w:rPr>
                <w:rFonts w:ascii="Arial" w:cs="Arial" w:eastAsia="Arial" w:hAnsi="Arial"/>
                <w:sz w:val="18"/>
                <w:szCs w:val="18"/>
                <w:b w:val="1"/>
                <w:bCs w:val="1"/>
                <w:color w:val="auto"/>
                <w:w w:val="89"/>
              </w:rPr>
              <w:t>Fax: (212) 262-7402</w:t>
            </w:r>
          </w:p>
        </w:tc>
      </w:tr>
      <w:tr>
        <w:trPr>
          <w:trHeight w:val="228"/>
        </w:trPr>
        <w:tc>
          <w:tcPr>
            <w:tcW w:w="266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Fax: (619) 330-2101</w:t>
            </w:r>
          </w:p>
        </w:tc>
        <w:tc>
          <w:tcPr>
            <w:tcW w:w="5260" w:type="dxa"/>
            <w:vAlign w:val="bottom"/>
          </w:tcPr>
          <w:p>
            <w:pPr>
              <w:spacing w:after="0"/>
              <w:rPr>
                <w:sz w:val="19"/>
                <w:szCs w:val="19"/>
                <w:color w:val="auto"/>
              </w:rPr>
            </w:pPr>
          </w:p>
        </w:tc>
      </w:tr>
    </w:tbl>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254"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[X]</w:t>
      </w:r>
    </w:p>
    <w:p>
      <w:pPr>
        <w:spacing w:after="0" w:line="18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ectPr>
          <w:pgSz w:w="11900" w:h="16838" w:orient="portrait"/>
          <w:cols w:equalWidth="0" w:num="1">
            <w:col w:w="11420"/>
          </w:cols>
          <w:pgMar w:left="240" w:top="841" w:right="239" w:bottom="1440" w:gutter="0" w:footer="0" w:header="0"/>
          <w:type w:val="continuous"/>
        </w:sectPr>
      </w:pPr>
    </w:p>
    <w:bookmarkStart w:id="1" w:name="page2"/>
    <w:bookmarkEnd w:id="1"/>
    <w:p>
      <w:pPr>
        <w:ind w:right="20"/>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32"/>
              <w:spacing w:after="0"/>
              <w:rPr>
                <w:sz w:val="20"/>
                <w:szCs w:val="20"/>
                <w:color w:val="auto"/>
              </w:rPr>
            </w:pPr>
            <w:r>
              <w:rPr>
                <w:rFonts w:ascii="Arial" w:cs="Arial" w:eastAsia="Arial" w:hAnsi="Arial"/>
                <w:sz w:val="18"/>
                <w:szCs w:val="18"/>
                <w:color w:val="auto"/>
                <w:w w:val="78"/>
              </w:rPr>
              <w:t>]</w:t>
            </w:r>
          </w:p>
        </w:tc>
        <w:tc>
          <w:tcPr>
            <w:tcW w:w="426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32"/>
              <w:spacing w:after="0"/>
              <w:rPr>
                <w:sz w:val="20"/>
                <w:szCs w:val="20"/>
                <w:color w:val="auto"/>
              </w:rPr>
            </w:pPr>
            <w:r>
              <w:rPr>
                <w:rFonts w:ascii="Arial" w:cs="Arial" w:eastAsia="Arial" w:hAnsi="Arial"/>
                <w:sz w:val="18"/>
                <w:szCs w:val="18"/>
                <w:color w:val="auto"/>
                <w:w w:val="78"/>
              </w:rPr>
              <w:t>]</w:t>
            </w:r>
          </w:p>
        </w:tc>
        <w:tc>
          <w:tcPr>
            <w:tcW w:w="426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1160" w:type="dxa"/>
            <w:vAlign w:val="bottom"/>
            <w:gridSpan w:val="2"/>
          </w:tcPr>
          <w:p>
            <w:pPr>
              <w:ind w:left="920"/>
              <w:spacing w:after="0"/>
              <w:rPr>
                <w:sz w:val="20"/>
                <w:szCs w:val="20"/>
                <w:color w:val="auto"/>
              </w:rPr>
            </w:pPr>
            <w:r>
              <w:rPr>
                <w:rFonts w:ascii="Arial" w:cs="Arial" w:eastAsia="Arial" w:hAnsi="Arial"/>
                <w:sz w:val="18"/>
                <w:szCs w:val="18"/>
                <w:color w:val="auto"/>
                <w:w w:val="99"/>
              </w:rPr>
              <w:t>[X]</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480" w:type="dxa"/>
            <w:vAlign w:val="bottom"/>
          </w:tcPr>
          <w:p>
            <w:pPr>
              <w:spacing w:after="0"/>
              <w:rPr>
                <w:sz w:val="19"/>
                <w:szCs w:val="19"/>
                <w:color w:val="auto"/>
              </w:rPr>
            </w:pPr>
          </w:p>
        </w:tc>
        <w:tc>
          <w:tcPr>
            <w:tcW w:w="426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79" w:right="359" w:bottom="1440" w:gutter="0" w:footer="0" w:header="0"/>
        </w:sectPr>
      </w:pPr>
    </w:p>
    <w:bookmarkStart w:id="2" w:name="page3"/>
    <w:bookmarkEnd w:id="2"/>
    <w:p>
      <w:pPr>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post-effective Amendment No. 1 (the "</w:t>
      </w:r>
      <w:r>
        <w:rPr>
          <w:rFonts w:ascii="Arial" w:cs="Arial" w:eastAsia="Arial" w:hAnsi="Arial"/>
          <w:sz w:val="18"/>
          <w:szCs w:val="18"/>
          <w:i w:val="1"/>
          <w:iCs w:val="1"/>
          <w:color w:val="auto"/>
        </w:rPr>
        <w:t>Amendment</w:t>
      </w:r>
      <w:r>
        <w:rPr>
          <w:rFonts w:ascii="Arial" w:cs="Arial" w:eastAsia="Arial" w:hAnsi="Arial"/>
          <w:sz w:val="18"/>
          <w:szCs w:val="18"/>
          <w:color w:val="auto"/>
        </w:rPr>
        <w:t>") to the Registration Statement on Form S-1 (File No. 333-221009) of VistaGen Therapeutics, Inc. is being filed solely to revise the Registrant’s undertakings, as required by Item 512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773"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52,500</w:t>
            </w:r>
          </w:p>
        </w:tc>
        <w:tc>
          <w:tcPr>
            <w:tcW w:w="14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Printing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r>
      <w:tr>
        <w:trPr>
          <w:trHeight w:val="223"/>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02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340,000</w:t>
            </w:r>
          </w:p>
        </w:tc>
        <w:tc>
          <w:tcPr>
            <w:tcW w:w="140" w:type="dxa"/>
            <w:vAlign w:val="bottom"/>
          </w:tcPr>
          <w:p>
            <w:pPr>
              <w:spacing w:after="0"/>
              <w:rPr>
                <w:sz w:val="18"/>
                <w:szCs w:val="18"/>
                <w:color w:val="auto"/>
              </w:rPr>
            </w:pPr>
          </w:p>
        </w:tc>
      </w:tr>
      <w:tr>
        <w:trPr>
          <w:trHeight w:val="21"/>
        </w:trPr>
        <w:tc>
          <w:tcPr>
            <w:tcW w:w="10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form of Underwriting Agreement, attached as Exhibit 1.1 hereto, provides for indemnification by the underwriters of us and our officers who sign this Registration Statement and directors for specified liabilities, including matters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We have issued the following securities in private placement transactions which were not registered under the Securities Act of 1933, as amended (</w:t>
      </w:r>
      <w:r>
        <w:rPr>
          <w:rFonts w:ascii="Arial" w:cs="Arial" w:eastAsia="Arial" w:hAnsi="Arial"/>
          <w:sz w:val="15"/>
          <w:szCs w:val="15"/>
          <w:i w:val="1"/>
          <w:iCs w:val="1"/>
          <w:color w:val="auto"/>
        </w:rPr>
        <w:t>Securities Act</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that have not been previously reported in a Quarterly Report on Form 10-Q or a Current Report on Form 8-K: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Issuances to Spring 2017 Private Placement Investors</w:t>
      </w:r>
    </w:p>
    <w:p>
      <w:pPr>
        <w:spacing w:after="0" w:line="225"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 xml:space="preserve">In September 2017, we reduced the exercise price of all warrants issued in private placement transactions completed between April 1 and June 27, 2017 (the </w:t>
      </w:r>
      <w:r>
        <w:rPr>
          <w:rFonts w:ascii="Arial" w:cs="Arial" w:eastAsia="Arial" w:hAnsi="Arial"/>
          <w:sz w:val="15"/>
          <w:szCs w:val="15"/>
          <w:i w:val="1"/>
          <w:iCs w:val="1"/>
          <w:color w:val="auto"/>
        </w:rPr>
        <w:t>Spring 2017 Private Placement</w:t>
      </w:r>
      <w:r>
        <w:rPr>
          <w:rFonts w:ascii="Arial" w:cs="Arial" w:eastAsia="Arial" w:hAnsi="Arial"/>
          <w:sz w:val="15"/>
          <w:szCs w:val="15"/>
          <w:color w:val="auto"/>
        </w:rPr>
        <w:t>) from $4.00 to $2.00 per share. We also issued to each of the Spring 2017 Private Placement investors, each of who were</w:t>
      </w:r>
      <w:r>
        <w:rPr>
          <w:rFonts w:ascii="Arial" w:cs="Arial" w:eastAsia="Arial" w:hAnsi="Arial"/>
          <w:sz w:val="15"/>
          <w:szCs w:val="15"/>
          <w:i w:val="1"/>
          <w:iCs w:val="1"/>
          <w:color w:val="auto"/>
        </w:rPr>
        <w:t xml:space="preserve"> </w:t>
      </w:r>
      <w:r>
        <w:rPr>
          <w:rFonts w:ascii="Arial" w:cs="Arial" w:eastAsia="Arial" w:hAnsi="Arial"/>
          <w:sz w:val="15"/>
          <w:szCs w:val="15"/>
          <w:color w:val="auto"/>
        </w:rPr>
        <w:t>accredited investors, additional warrants to purchase an aggregate total of 247,501 shares of common stock, with an exercise price of $2.00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Securities to Professional Service Providers</w:t>
      </w:r>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September 2017, we issued an aggregate total of 477,500 shares of unregistered common stock, having an aggregate fair value of $744,100, to certain professional service providers, and an aggregate total of 150,000 shares of unregistered common stock, having an aggregate fair value of $234,000, pursuant to certain financial advisory agreements, including a financial advisory agreement with Oppenheimer &amp; Co., Inc., to whom we issued 75,000 shares. In October 2017, we issued an aggregate total of 20,000 shares of unregistered shares of common stock with a fair value of $32,800 to certain professional service providers.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Shares in Private Placement</w:t>
      </w:r>
    </w:p>
    <w:p>
      <w:pPr>
        <w:spacing w:after="0" w:line="22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 November 2017, in a self-placed private placement transaction, we sold to an accredited investor units consisting of (i) 150,000 shares of our unregistered common stock and (ii) warrants exercisable through November 30, 2021 to purchase 150,000 unregistered shares of our common stock at an exercise price of $2.00 per share. The warrants are not exercisable until six months and one day following the date of issuance. We received cash proceeds of $50,000 from this sale of our securities.</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1"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are incorporated by reference to the Exhibit Index attached hereto and a part hereof by reference.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page 110 for an index of the financial statements and financial statement schedules included in the Registration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00" w:hanging="258"/>
        <w:spacing w:after="0"/>
        <w:tabs>
          <w:tab w:leader="none" w:pos="14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1142"/>
        <w:spacing w:after="0" w:line="291" w:lineRule="auto"/>
        <w:tabs>
          <w:tab w:leader="none" w:pos="1434" w:val="left"/>
        </w:tabs>
        <w:numPr>
          <w:ilvl w:val="2"/>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4" w:lineRule="exact"/>
        <w:rPr>
          <w:rFonts w:ascii="Arial" w:cs="Arial" w:eastAsia="Arial" w:hAnsi="Arial"/>
          <w:sz w:val="16"/>
          <w:szCs w:val="16"/>
          <w:color w:val="auto"/>
        </w:rPr>
      </w:pPr>
    </w:p>
    <w:p>
      <w:pPr>
        <w:ind w:right="440" w:firstLine="1142"/>
        <w:spacing w:after="0" w:line="268" w:lineRule="auto"/>
        <w:tabs>
          <w:tab w:leader="none" w:pos="1482"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rFonts w:ascii="Arial" w:cs="Arial" w:eastAsia="Arial" w:hAnsi="Arial"/>
          <w:sz w:val="18"/>
          <w:szCs w:val="18"/>
          <w:color w:val="auto"/>
        </w:rPr>
      </w:pPr>
    </w:p>
    <w:p>
      <w:pPr>
        <w:ind w:right="60" w:firstLine="656"/>
        <w:spacing w:after="0" w:line="259" w:lineRule="auto"/>
        <w:tabs>
          <w:tab w:leader="none" w:pos="93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180" w:firstLine="656"/>
        <w:spacing w:after="0" w:line="268" w:lineRule="auto"/>
        <w:tabs>
          <w:tab w:leader="none" w:pos="938"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20" w:firstLine="656"/>
        <w:spacing w:after="0" w:line="290" w:lineRule="auto"/>
        <w:tabs>
          <w:tab w:leader="none" w:pos="938"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2" w:lineRule="exact"/>
        <w:rPr>
          <w:rFonts w:ascii="Arial" w:cs="Arial" w:eastAsia="Arial" w:hAnsi="Arial"/>
          <w:sz w:val="16"/>
          <w:szCs w:val="16"/>
          <w:color w:val="auto"/>
        </w:rPr>
      </w:pPr>
    </w:p>
    <w:p>
      <w:pPr>
        <w:ind w:left="940" w:hanging="284"/>
        <w:spacing w:after="0"/>
        <w:tabs>
          <w:tab w:leader="none" w:pos="94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9" w:lineRule="exact"/>
        <w:rPr>
          <w:sz w:val="20"/>
          <w:szCs w:val="20"/>
          <w:color w:val="auto"/>
        </w:rPr>
      </w:pPr>
    </w:p>
    <w:p>
      <w:pPr>
        <w:ind w:right="320" w:firstLine="648"/>
        <w:spacing w:after="0" w:line="335" w:lineRule="auto"/>
        <w:rPr>
          <w:sz w:val="20"/>
          <w:szCs w:val="20"/>
          <w:color w:val="auto"/>
        </w:rPr>
      </w:pPr>
      <w:r>
        <w:rPr>
          <w:rFonts w:ascii="Arial" w:cs="Arial" w:eastAsia="Arial" w:hAnsi="Arial"/>
          <w:sz w:val="15"/>
          <w:szCs w:val="15"/>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ind w:left="1340" w:hanging="198"/>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right="480" w:firstLine="1142"/>
        <w:spacing w:after="0" w:line="268" w:lineRule="auto"/>
        <w:tabs>
          <w:tab w:leader="none" w:pos="1383"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right="80" w:firstLine="1142"/>
        <w:spacing w:after="0" w:line="268" w:lineRule="auto"/>
        <w:tabs>
          <w:tab w:leader="none" w:pos="143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440" w:hanging="298"/>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656"/>
        <w:spacing w:after="0" w:line="306" w:lineRule="auto"/>
        <w:tabs>
          <w:tab w:leader="none" w:pos="941"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3" w:lineRule="exact"/>
        <w:rPr>
          <w:rFonts w:ascii="Arial" w:cs="Arial" w:eastAsia="Arial" w:hAnsi="Arial"/>
          <w:sz w:val="16"/>
          <w:szCs w:val="16"/>
          <w:color w:val="auto"/>
        </w:rPr>
      </w:pPr>
    </w:p>
    <w:p>
      <w:pPr>
        <w:ind w:right="80" w:firstLine="656"/>
        <w:spacing w:after="0" w:line="259" w:lineRule="auto"/>
        <w:tabs>
          <w:tab w:leader="none" w:pos="94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63" w:right="35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810"/>
        <w:spacing w:after="0" w:line="332" w:lineRule="auto"/>
        <w:rPr>
          <w:sz w:val="20"/>
          <w:szCs w:val="20"/>
          <w:color w:val="auto"/>
        </w:rPr>
      </w:pPr>
      <w:r>
        <w:rPr>
          <w:rFonts w:ascii="Arial" w:cs="Arial" w:eastAsia="Arial" w:hAnsi="Arial"/>
          <w:sz w:val="16"/>
          <w:szCs w:val="16"/>
          <w:color w:val="auto"/>
        </w:rPr>
        <w:t>Pursuant to the requirements of the Securities Act of l933, the registrant has duly caused this Registration Statement to be signed on its behalf by the undersigned, thereunto duly authorized, in the City of South San Francisco, California on the 11th day of December, 2017.</w:t>
      </w:r>
    </w:p>
    <w:p>
      <w:pPr>
        <w:spacing w:after="0" w:line="13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 JD</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l933,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Signature</w:t>
            </w:r>
          </w:p>
        </w:tc>
        <w:tc>
          <w:tcPr>
            <w:tcW w:w="4740" w:type="dxa"/>
            <w:vAlign w:val="bottom"/>
          </w:tcPr>
          <w:p>
            <w:pPr>
              <w:ind w:left="1040"/>
              <w:spacing w:after="0"/>
              <w:rPr>
                <w:sz w:val="20"/>
                <w:szCs w:val="20"/>
                <w:color w:val="auto"/>
              </w:rPr>
            </w:pPr>
            <w:r>
              <w:rPr>
                <w:rFonts w:ascii="Arial" w:cs="Arial" w:eastAsia="Arial" w:hAnsi="Arial"/>
                <w:sz w:val="18"/>
                <w:szCs w:val="18"/>
                <w:b w:val="1"/>
                <w:bCs w:val="1"/>
                <w:color w:val="auto"/>
              </w:rPr>
              <w:t>Title</w:t>
            </w:r>
          </w:p>
        </w:tc>
        <w:tc>
          <w:tcPr>
            <w:tcW w:w="1780" w:type="dxa"/>
            <w:vAlign w:val="bottom"/>
          </w:tcPr>
          <w:p>
            <w:pPr>
              <w:ind w:left="400"/>
              <w:spacing w:after="0"/>
              <w:rPr>
                <w:sz w:val="20"/>
                <w:szCs w:val="20"/>
                <w:color w:val="auto"/>
              </w:rPr>
            </w:pPr>
            <w:r>
              <w:rPr>
                <w:rFonts w:ascii="Arial" w:cs="Arial" w:eastAsia="Arial" w:hAnsi="Arial"/>
                <w:sz w:val="18"/>
                <w:szCs w:val="18"/>
                <w:b w:val="1"/>
                <w:bCs w:val="1"/>
                <w:color w:val="auto"/>
              </w:rPr>
              <w:t>Date</w:t>
            </w:r>
          </w:p>
        </w:tc>
      </w:tr>
      <w:tr>
        <w:trPr>
          <w:trHeight w:val="39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Chief Executive Officer, and Director</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Shawn K. Singh, JD</w:t>
            </w:r>
          </w:p>
        </w:tc>
        <w:tc>
          <w:tcPr>
            <w:tcW w:w="4740" w:type="dxa"/>
            <w:vAlign w:val="bottom"/>
          </w:tcPr>
          <w:p>
            <w:pPr>
              <w:ind w:left="1040"/>
              <w:spacing w:after="0"/>
              <w:rPr>
                <w:sz w:val="20"/>
                <w:szCs w:val="20"/>
                <w:color w:val="auto"/>
              </w:rPr>
            </w:pPr>
            <w:r>
              <w:rPr>
                <w:rFonts w:ascii="Arial" w:cs="Arial" w:eastAsia="Arial" w:hAnsi="Arial"/>
                <w:sz w:val="18"/>
                <w:szCs w:val="18"/>
                <w:i w:val="1"/>
                <w:iCs w:val="1"/>
                <w:color w:val="auto"/>
              </w:rPr>
              <w:t>(Principal Executive Officer)</w:t>
            </w:r>
          </w:p>
        </w:tc>
        <w:tc>
          <w:tcPr>
            <w:tcW w:w="178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Vice President and Chief Financial Officer</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Jerrold D. Dotson</w:t>
            </w:r>
          </w:p>
        </w:tc>
        <w:tc>
          <w:tcPr>
            <w:tcW w:w="4740" w:type="dxa"/>
            <w:vAlign w:val="bottom"/>
          </w:tcPr>
          <w:p>
            <w:pPr>
              <w:ind w:left="10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8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President, Chief Scientific Officer and Director</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H. Ralph Snodgrass, Ph.D.</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Chairman of the Board of Directors</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Jon S. Saxe</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Brian J. Underdown, Ph.D.</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4"/>
        </w:trPr>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w:t>
            </w:r>
          </w:p>
        </w:tc>
        <w:tc>
          <w:tcPr>
            <w:tcW w:w="1720" w:type="dxa"/>
            <w:vAlign w:val="bottom"/>
            <w:gridSpan w:val="3"/>
          </w:tcPr>
          <w:p>
            <w:pPr>
              <w:spacing w:after="0"/>
              <w:rPr>
                <w:sz w:val="24"/>
                <w:szCs w:val="24"/>
                <w:color w:val="auto"/>
              </w:rPr>
            </w:pPr>
          </w:p>
        </w:tc>
        <w:tc>
          <w:tcPr>
            <w:tcW w:w="474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400"/>
              <w:spacing w:after="0"/>
              <w:rPr>
                <w:sz w:val="20"/>
                <w:szCs w:val="20"/>
                <w:color w:val="auto"/>
              </w:rPr>
            </w:pPr>
            <w:r>
              <w:rPr>
                <w:rFonts w:ascii="Arial" w:cs="Arial" w:eastAsia="Arial" w:hAnsi="Arial"/>
                <w:sz w:val="18"/>
                <w:szCs w:val="18"/>
                <w:color w:val="auto"/>
                <w:w w:val="86"/>
              </w:rPr>
              <w:t>December 11, 2017</w:t>
            </w:r>
          </w:p>
        </w:tc>
      </w:tr>
      <w:tr>
        <w:trPr>
          <w:trHeight w:val="235"/>
        </w:trPr>
        <w:tc>
          <w:tcPr>
            <w:tcW w:w="3080" w:type="dxa"/>
            <w:vAlign w:val="bottom"/>
            <w:gridSpan w:val="7"/>
          </w:tcPr>
          <w:p>
            <w:pPr>
              <w:spacing w:after="0"/>
              <w:rPr>
                <w:sz w:val="20"/>
                <w:szCs w:val="20"/>
                <w:color w:val="auto"/>
              </w:rPr>
            </w:pPr>
            <w:r>
              <w:rPr>
                <w:rFonts w:ascii="Arial" w:cs="Arial" w:eastAsia="Arial" w:hAnsi="Arial"/>
                <w:sz w:val="18"/>
                <w:szCs w:val="18"/>
                <w:b w:val="1"/>
                <w:bCs w:val="1"/>
                <w:color w:val="auto"/>
              </w:rPr>
              <w:t>Jerry B. Gin, Ph.D.</w:t>
            </w:r>
          </w:p>
        </w:tc>
        <w:tc>
          <w:tcPr>
            <w:tcW w:w="47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9540" w:firstLine="8"/>
        <w:spacing w:after="0" w:line="268"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r>
        <w:rPr>
          <w:rFonts w:ascii="Arial" w:cs="Arial" w:eastAsia="Arial" w:hAnsi="Arial"/>
          <w:sz w:val="18"/>
          <w:szCs w:val="18"/>
          <w:color w:val="auto"/>
        </w:rPr>
        <w:t xml:space="preserv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16"/>
          </w:tcPr>
          <w:p>
            <w:pPr>
              <w:ind w:left="6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19"/>
                <w:szCs w:val="19"/>
                <w:color w:val="auto"/>
              </w:rPr>
            </w:pPr>
          </w:p>
        </w:tc>
        <w:tc>
          <w:tcPr>
            <w:tcW w:w="9220" w:type="dxa"/>
            <w:vAlign w:val="bottom"/>
          </w:tcPr>
          <w:p>
            <w:pPr>
              <w:spacing w:after="0"/>
              <w:rPr>
                <w:sz w:val="19"/>
                <w:szCs w:val="19"/>
                <w:color w:val="auto"/>
              </w:rPr>
            </w:pPr>
          </w:p>
        </w:tc>
      </w:tr>
      <w:tr>
        <w:trPr>
          <w:trHeight w:val="394"/>
        </w:trPr>
        <w:tc>
          <w:tcPr>
            <w:tcW w:w="1380" w:type="dxa"/>
            <w:vAlign w:val="bottom"/>
            <w:gridSpan w:val="16"/>
          </w:tcPr>
          <w:p>
            <w:pPr>
              <w:ind w:left="280"/>
              <w:spacing w:after="0"/>
              <w:rPr>
                <w:sz w:val="20"/>
                <w:szCs w:val="20"/>
                <w:color w:val="auto"/>
              </w:rPr>
            </w:pPr>
            <w:r>
              <w:rPr>
                <w:rFonts w:ascii="Arial" w:cs="Arial" w:eastAsia="Arial" w:hAnsi="Arial"/>
                <w:sz w:val="18"/>
                <w:szCs w:val="18"/>
                <w:color w:val="auto"/>
              </w:rPr>
              <w:t>Exhibit No.</w:t>
            </w: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
        </w:trPr>
        <w:tc>
          <w:tcPr>
            <w:tcW w:w="2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96"/>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28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Form of Underwriting Agreement.</w:t>
            </w:r>
          </w:p>
        </w:tc>
      </w:tr>
      <w:tr>
        <w:trPr>
          <w:trHeight w:val="176"/>
        </w:trPr>
        <w:tc>
          <w:tcPr>
            <w:tcW w:w="50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0000EE"/>
            </w:tcBorders>
            <w:gridSpan w:val="8"/>
          </w:tcPr>
          <w:p>
            <w:pPr>
              <w:jc w:val="center"/>
              <w:spacing w:after="0" w:line="176" w:lineRule="exact"/>
              <w:rPr>
                <w:rFonts w:ascii="Arial" w:cs="Arial" w:eastAsia="Arial" w:hAnsi="Arial"/>
                <w:sz w:val="18"/>
                <w:szCs w:val="18"/>
                <w:color w:val="0000EE"/>
                <w:w w:val="99"/>
              </w:rPr>
            </w:pPr>
            <w:hyperlink r:id="rId21">
              <w:r>
                <w:rPr>
                  <w:rFonts w:ascii="Arial" w:cs="Arial" w:eastAsia="Arial" w:hAnsi="Arial"/>
                  <w:sz w:val="18"/>
                  <w:szCs w:val="18"/>
                  <w:color w:val="0000EE"/>
                  <w:w w:val="99"/>
                </w:rPr>
                <w:t>2.</w:t>
              </w:r>
              <w:r>
                <w:rPr>
                  <w:rFonts w:ascii="Arial" w:cs="Arial" w:eastAsia="Arial" w:hAnsi="Arial"/>
                  <w:sz w:val="18"/>
                  <w:szCs w:val="18"/>
                  <w:u w:val="single" w:color="auto"/>
                  <w:color w:val="0000EE"/>
                  <w:w w:val="99"/>
                </w:rPr>
                <w:t>1</w:t>
              </w:r>
            </w:hyperlink>
            <w:r>
              <w:rPr>
                <w:rFonts w:ascii="Arial" w:cs="Arial" w:eastAsia="Arial" w:hAnsi="Arial"/>
                <w:sz w:val="18"/>
                <w:szCs w:val="18"/>
                <w:color w:val="000000"/>
                <w:w w:val="99"/>
              </w:rPr>
              <w:t>*</w:t>
            </w: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89"/>
              </w:rPr>
              <w:t>Agreement and Plan of Merger by and among Excaliber Enterprises, Ltd., VistaGen Therapeutics, Inc. and Excaliber Merger Subsidiary, Inc.</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96"/>
        </w:trPr>
        <w:tc>
          <w:tcPr>
            <w:tcW w:w="860" w:type="dxa"/>
            <w:vAlign w:val="bottom"/>
            <w:gridSpan w:val="12"/>
            <w:shd w:val="clear" w:color="auto" w:fill="CCEEFF"/>
          </w:tcPr>
          <w:p>
            <w:pPr>
              <w:jc w:val="center"/>
              <w:ind w:left="452"/>
              <w:spacing w:after="0" w:line="176" w:lineRule="exact"/>
              <w:rPr>
                <w:rFonts w:ascii="Arial" w:cs="Arial" w:eastAsia="Arial" w:hAnsi="Arial"/>
                <w:sz w:val="18"/>
                <w:szCs w:val="18"/>
                <w:color w:val="0000EE"/>
                <w:w w:val="99"/>
              </w:rPr>
            </w:pPr>
            <w:hyperlink r:id="rId22">
              <w:r>
                <w:rPr>
                  <w:rFonts w:ascii="Arial" w:cs="Arial" w:eastAsia="Arial" w:hAnsi="Arial"/>
                  <w:sz w:val="18"/>
                  <w:szCs w:val="18"/>
                  <w:color w:val="0000EE"/>
                  <w:w w:val="99"/>
                </w:rPr>
                <w:t>3.</w:t>
              </w:r>
              <w:r>
                <w:rPr>
                  <w:rFonts w:ascii="Arial" w:cs="Arial" w:eastAsia="Arial" w:hAnsi="Arial"/>
                  <w:sz w:val="18"/>
                  <w:szCs w:val="18"/>
                  <w:u w:val="single" w:color="auto"/>
                  <w:color w:val="0000EE"/>
                  <w:w w:val="99"/>
                </w:rPr>
                <w:t>1</w:t>
              </w:r>
            </w:hyperlink>
            <w:r>
              <w:rPr>
                <w:rFonts w:ascii="Arial" w:cs="Arial" w:eastAsia="Arial" w:hAnsi="Arial"/>
                <w:sz w:val="18"/>
                <w:szCs w:val="18"/>
                <w:color w:val="000000"/>
                <w:w w:val="99"/>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Articles of Incorporation, dated October 6, 2005.</w:t>
            </w:r>
          </w:p>
        </w:tc>
      </w:tr>
      <w:tr>
        <w:trPr>
          <w:trHeight w:val="208"/>
        </w:trPr>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1"/>
              </w:rPr>
              <w:t>Certificate of Amendment filed with the Nevada Secretary of State on December 6, 2011, incorporated by reference from Exhibit 3.3 to the</w:t>
            </w:r>
          </w:p>
        </w:tc>
      </w:tr>
      <w:tr>
        <w:trPr>
          <w:trHeight w:val="184"/>
        </w:trPr>
        <w:tc>
          <w:tcPr>
            <w:tcW w:w="800" w:type="dxa"/>
            <w:vAlign w:val="bottom"/>
            <w:gridSpan w:val="10"/>
          </w:tcPr>
          <w:p>
            <w:pPr>
              <w:jc w:val="center"/>
              <w:ind w:left="452"/>
              <w:spacing w:after="0" w:line="184"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84" w:lineRule="exact"/>
              <w:rPr>
                <w:sz w:val="20"/>
                <w:szCs w:val="20"/>
                <w:color w:val="auto"/>
              </w:rPr>
            </w:pPr>
            <w:r>
              <w:rPr>
                <w:rFonts w:ascii="Arial" w:cs="Arial" w:eastAsia="Arial" w:hAnsi="Arial"/>
                <w:sz w:val="18"/>
                <w:szCs w:val="18"/>
                <w:color w:val="auto"/>
              </w:rPr>
              <w:t>Company’s Annual Report on Form 10-K, filed July 2, 2012.</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08"/>
        </w:trPr>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Amended and Restated Bylaws as of February 5, 2014, incorporated by reference from the Company’s Report on Form 8-K filed on February</w:t>
            </w:r>
          </w:p>
        </w:tc>
      </w:tr>
      <w:tr>
        <w:trPr>
          <w:trHeight w:val="204"/>
        </w:trPr>
        <w:tc>
          <w:tcPr>
            <w:tcW w:w="800" w:type="dxa"/>
            <w:vAlign w:val="bottom"/>
            <w:gridSpan w:val="10"/>
            <w:shd w:val="clear" w:color="auto" w:fill="CCEEFF"/>
          </w:tcPr>
          <w:p>
            <w:pPr>
              <w:jc w:val="center"/>
              <w:ind w:left="452"/>
              <w:spacing w:after="0" w:line="184" w:lineRule="exact"/>
              <w:rPr>
                <w:rFonts w:ascii="Arial" w:cs="Arial" w:eastAsia="Arial" w:hAnsi="Arial"/>
                <w:sz w:val="18"/>
                <w:szCs w:val="18"/>
                <w:color w:val="0000EE"/>
                <w:w w:val="87"/>
              </w:rPr>
            </w:pPr>
            <w:hyperlink r:id="rId2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7, 2014.</w:t>
            </w:r>
          </w:p>
        </w:tc>
        <w:tc>
          <w:tcPr>
            <w:tcW w:w="9220" w:type="dxa"/>
            <w:vAlign w:val="bottom"/>
            <w:shd w:val="clear" w:color="auto" w:fill="CCEEFF"/>
          </w:tcPr>
          <w:p>
            <w:pPr>
              <w:spacing w:after="0"/>
              <w:rPr>
                <w:sz w:val="17"/>
                <w:szCs w:val="17"/>
                <w:color w:val="auto"/>
              </w:rPr>
            </w:pPr>
          </w:p>
        </w:tc>
      </w:tr>
      <w:tr>
        <w:trPr>
          <w:trHeight w:val="208"/>
        </w:trPr>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1"/>
              </w:rPr>
              <w:t>Articles of Merger filed with the Nevada Secretary of State on May 24, 2011, incorporated by reference from Exhibit 3.1 to the Company’s</w:t>
            </w:r>
          </w:p>
        </w:tc>
      </w:tr>
      <w:tr>
        <w:trPr>
          <w:trHeight w:val="184"/>
        </w:trPr>
        <w:tc>
          <w:tcPr>
            <w:tcW w:w="800" w:type="dxa"/>
            <w:vAlign w:val="bottom"/>
            <w:gridSpan w:val="10"/>
          </w:tcPr>
          <w:p>
            <w:pPr>
              <w:jc w:val="center"/>
              <w:ind w:left="452"/>
              <w:spacing w:after="0" w:line="184"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84" w:lineRule="exact"/>
              <w:rPr>
                <w:sz w:val="20"/>
                <w:szCs w:val="20"/>
                <w:color w:val="auto"/>
              </w:rPr>
            </w:pPr>
            <w:r>
              <w:rPr>
                <w:rFonts w:ascii="Arial" w:cs="Arial" w:eastAsia="Arial" w:hAnsi="Arial"/>
                <w:sz w:val="18"/>
                <w:szCs w:val="18"/>
                <w:color w:val="auto"/>
              </w:rPr>
              <w:t>Current Report on Form 8-K filed on May 31, 2011.</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08"/>
        </w:trPr>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Certificate of Designations Series A Preferred, incorporated by reference from Exhibit 3.1 to the Company’s Current Report on Form 8-K</w:t>
            </w:r>
          </w:p>
        </w:tc>
      </w:tr>
      <w:tr>
        <w:trPr>
          <w:trHeight w:val="204"/>
        </w:trPr>
        <w:tc>
          <w:tcPr>
            <w:tcW w:w="800" w:type="dxa"/>
            <w:vAlign w:val="bottom"/>
            <w:gridSpan w:val="10"/>
            <w:shd w:val="clear" w:color="auto" w:fill="CCEEFF"/>
          </w:tcPr>
          <w:p>
            <w:pPr>
              <w:jc w:val="center"/>
              <w:ind w:left="452"/>
              <w:spacing w:after="0" w:line="184" w:lineRule="exact"/>
              <w:rPr>
                <w:rFonts w:ascii="Arial" w:cs="Arial" w:eastAsia="Arial" w:hAnsi="Arial"/>
                <w:sz w:val="18"/>
                <w:szCs w:val="18"/>
                <w:color w:val="0000EE"/>
                <w:w w:val="87"/>
              </w:rPr>
            </w:pPr>
            <w:hyperlink r:id="rId2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filed on December 23, 2011.</w:t>
            </w:r>
          </w:p>
        </w:tc>
      </w:tr>
      <w:tr>
        <w:trPr>
          <w:trHeight w:val="208"/>
        </w:trPr>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6"/>
              </w:rPr>
              <w:t>Certificate of Change filed with the Nevada Secretary of State on August 11, 2014 incorporated by reference from Exhibit 3.1 to the</w:t>
            </w:r>
          </w:p>
        </w:tc>
      </w:tr>
      <w:tr>
        <w:trPr>
          <w:trHeight w:val="184"/>
        </w:trPr>
        <w:tc>
          <w:tcPr>
            <w:tcW w:w="800" w:type="dxa"/>
            <w:vAlign w:val="bottom"/>
            <w:gridSpan w:val="10"/>
          </w:tcPr>
          <w:p>
            <w:pPr>
              <w:jc w:val="center"/>
              <w:ind w:left="452"/>
              <w:spacing w:after="0" w:line="184" w:lineRule="exact"/>
              <w:rPr>
                <w:rFonts w:ascii="Arial" w:cs="Arial" w:eastAsia="Arial" w:hAnsi="Arial"/>
                <w:sz w:val="18"/>
                <w:szCs w:val="18"/>
                <w:color w:val="0000EE"/>
                <w:w w:val="87"/>
              </w:rPr>
            </w:pPr>
            <w:hyperlink r:id="rId2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84" w:lineRule="exact"/>
              <w:rPr>
                <w:sz w:val="20"/>
                <w:szCs w:val="20"/>
                <w:color w:val="auto"/>
              </w:rPr>
            </w:pPr>
            <w:r>
              <w:rPr>
                <w:rFonts w:ascii="Arial" w:cs="Arial" w:eastAsia="Arial" w:hAnsi="Arial"/>
                <w:sz w:val="18"/>
                <w:szCs w:val="18"/>
                <w:color w:val="auto"/>
              </w:rPr>
              <w:t>Company’s Current Report on Form 8-K filed on August 14, 2014.</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800" w:type="dxa"/>
            <w:vAlign w:val="bottom"/>
            <w:gridSpan w:val="10"/>
            <w:shd w:val="clear" w:color="auto" w:fill="CCEEFF"/>
          </w:tcPr>
          <w:p>
            <w:pPr>
              <w:jc w:val="center"/>
              <w:ind w:left="452"/>
              <w:spacing w:after="0" w:line="176" w:lineRule="exact"/>
              <w:rPr>
                <w:rFonts w:ascii="Arial" w:cs="Arial" w:eastAsia="Arial" w:hAnsi="Arial"/>
                <w:sz w:val="18"/>
                <w:szCs w:val="18"/>
                <w:color w:val="0000EE"/>
                <w:w w:val="87"/>
              </w:rPr>
            </w:pPr>
            <w:hyperlink r:id="rId2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Certificate of Designation of the Relative Rights and Preferences of the Series B 10% Convertible Preferred Stock of VistaGen Therapeutics,</w:t>
            </w:r>
          </w:p>
        </w:tc>
      </w:tr>
      <w:tr>
        <w:trPr>
          <w:trHeight w:val="228"/>
        </w:trPr>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rPr>
              <w:t>Inc., filed with the Nevada Secretary of State on May 7, 2015, incorporated by reference from Exhibit 3.1 to the Company’s Current Report on</w:t>
            </w:r>
          </w:p>
        </w:tc>
      </w:tr>
      <w:tr>
        <w:trPr>
          <w:trHeight w:val="224"/>
        </w:trPr>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8-K filed on May 13, 2015.</w:t>
            </w:r>
          </w:p>
        </w:tc>
      </w:tr>
      <w:tr>
        <w:trPr>
          <w:trHeight w:val="176"/>
        </w:trPr>
        <w:tc>
          <w:tcPr>
            <w:tcW w:w="800" w:type="dxa"/>
            <w:vAlign w:val="bottom"/>
            <w:gridSpan w:val="10"/>
          </w:tcPr>
          <w:p>
            <w:pPr>
              <w:jc w:val="center"/>
              <w:ind w:left="452"/>
              <w:spacing w:after="0" w:line="17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8</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1"/>
              </w:rPr>
              <w:t>Certificate of Amendment to the Articles of Incorporation of VistaGen Therapeutics, Inc., dated August 24, 2015, incorporated by reference</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from Exhibit 3.1 to the Company’s Current Report on Form 8-K filed on August 25, 2015.</w:t>
            </w:r>
          </w:p>
        </w:tc>
      </w:tr>
      <w:tr>
        <w:trPr>
          <w:trHeight w:val="177"/>
        </w:trPr>
        <w:tc>
          <w:tcPr>
            <w:tcW w:w="800" w:type="dxa"/>
            <w:vAlign w:val="bottom"/>
            <w:gridSpan w:val="10"/>
            <w:shd w:val="clear" w:color="auto" w:fill="CCEEFF"/>
          </w:tcPr>
          <w:p>
            <w:pPr>
              <w:jc w:val="center"/>
              <w:ind w:left="452"/>
              <w:spacing w:after="0" w:line="176" w:lineRule="exact"/>
              <w:rPr>
                <w:rFonts w:ascii="Arial" w:cs="Arial" w:eastAsia="Arial" w:hAnsi="Arial"/>
                <w:sz w:val="18"/>
                <w:szCs w:val="18"/>
                <w:color w:val="0000EE"/>
                <w:w w:val="87"/>
              </w:rPr>
            </w:pPr>
            <w:hyperlink r:id="rId3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9</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Certificate of Designation of the Relative Rights and Preferences of the Series C Convertible Preferred Stock of VistaGen Therapeutics, Inc.,</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rPr>
              <w:t>dated January 25, 2016, incorporated by reference from Exhibit 3.1 to the Company’s Current Report on Form 8-K filed on January 29, 2016.</w:t>
            </w: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Restated Articles of Incorporation of VistaGen Therapeutics, Inc., dated August 16, 2016, incorporated by reference from Exhibit 3.1 to the</w:t>
            </w:r>
          </w:p>
        </w:tc>
      </w:tr>
      <w:tr>
        <w:trPr>
          <w:trHeight w:val="184"/>
        </w:trPr>
        <w:tc>
          <w:tcPr>
            <w:tcW w:w="820" w:type="dxa"/>
            <w:vAlign w:val="bottom"/>
            <w:gridSpan w:val="11"/>
          </w:tcPr>
          <w:p>
            <w:pPr>
              <w:jc w:val="center"/>
              <w:ind w:left="432"/>
              <w:spacing w:after="0" w:line="184" w:lineRule="exact"/>
              <w:rPr>
                <w:rFonts w:ascii="Arial" w:cs="Arial" w:eastAsia="Arial" w:hAnsi="Arial"/>
                <w:sz w:val="18"/>
                <w:szCs w:val="18"/>
                <w:color w:val="0000EE"/>
                <w:w w:val="85"/>
              </w:rPr>
            </w:pPr>
            <w:hyperlink r:id="rId31">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10</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84" w:lineRule="exact"/>
              <w:rPr>
                <w:sz w:val="20"/>
                <w:szCs w:val="20"/>
                <w:color w:val="auto"/>
              </w:rPr>
            </w:pPr>
            <w:r>
              <w:rPr>
                <w:rFonts w:ascii="Arial" w:cs="Arial" w:eastAsia="Arial" w:hAnsi="Arial"/>
                <w:sz w:val="18"/>
                <w:szCs w:val="18"/>
                <w:color w:val="auto"/>
              </w:rPr>
              <w:t>Company’s Current Report on Form 8-K, filed on August 17, 2016.</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08"/>
        </w:trPr>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Second Amended and Restated Bylaws of VistaGen Therapeutics, Inc., dated August 16, 2016, incorporated by reference from Exhibit 3.2 to</w:t>
            </w:r>
          </w:p>
        </w:tc>
      </w:tr>
      <w:tr>
        <w:trPr>
          <w:trHeight w:val="204"/>
        </w:trPr>
        <w:tc>
          <w:tcPr>
            <w:tcW w:w="520" w:type="dxa"/>
            <w:vAlign w:val="bottom"/>
            <w:tcBorders>
              <w:bottom w:val="single" w:sz="8" w:color="CCEEFF"/>
            </w:tcBorders>
            <w:gridSpan w:val="5"/>
            <w:shd w:val="clear" w:color="auto" w:fill="CCEEFF"/>
          </w:tcPr>
          <w:p>
            <w:pPr>
              <w:spacing w:after="0"/>
              <w:rPr>
                <w:sz w:val="17"/>
                <w:szCs w:val="17"/>
                <w:color w:val="auto"/>
              </w:rPr>
            </w:pPr>
          </w:p>
        </w:tc>
        <w:tc>
          <w:tcPr>
            <w:tcW w:w="300" w:type="dxa"/>
            <w:vAlign w:val="bottom"/>
            <w:tcBorders>
              <w:bottom w:val="single" w:sz="8" w:color="0000EE"/>
            </w:tcBorders>
            <w:gridSpan w:val="6"/>
            <w:shd w:val="clear" w:color="auto" w:fill="CCEEFF"/>
          </w:tcPr>
          <w:p>
            <w:pPr>
              <w:jc w:val="center"/>
              <w:spacing w:after="0" w:line="184" w:lineRule="exact"/>
              <w:rPr>
                <w:rFonts w:ascii="Arial" w:cs="Arial" w:eastAsia="Arial" w:hAnsi="Arial"/>
                <w:sz w:val="18"/>
                <w:szCs w:val="18"/>
                <w:color w:val="0000EE"/>
                <w:w w:val="85"/>
              </w:rPr>
            </w:pPr>
            <w:hyperlink r:id="rId32">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11</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spacing w:after="0" w:line="184" w:lineRule="exact"/>
              <w:rPr>
                <w:sz w:val="20"/>
                <w:szCs w:val="20"/>
                <w:color w:val="auto"/>
              </w:rPr>
            </w:pPr>
            <w:r>
              <w:rPr>
                <w:rFonts w:ascii="Arial" w:cs="Arial" w:eastAsia="Arial" w:hAnsi="Arial"/>
                <w:sz w:val="18"/>
                <w:szCs w:val="18"/>
                <w:color w:val="auto"/>
              </w:rPr>
              <w:t>the Company’s Current Report on Form 8-K, filed on August 16, 2016.</w:t>
            </w:r>
          </w:p>
        </w:tc>
      </w:tr>
      <w:tr>
        <w:trPr>
          <w:trHeight w:val="176"/>
        </w:trPr>
        <w:tc>
          <w:tcPr>
            <w:tcW w:w="820" w:type="dxa"/>
            <w:vAlign w:val="bottom"/>
            <w:gridSpan w:val="11"/>
          </w:tcPr>
          <w:p>
            <w:pPr>
              <w:jc w:val="center"/>
              <w:ind w:left="432"/>
              <w:spacing w:after="0" w:line="176" w:lineRule="exact"/>
              <w:rPr>
                <w:rFonts w:ascii="Arial" w:cs="Arial" w:eastAsia="Arial" w:hAnsi="Arial"/>
                <w:sz w:val="18"/>
                <w:szCs w:val="18"/>
                <w:color w:val="0000EE"/>
                <w:w w:val="85"/>
              </w:rPr>
            </w:pPr>
            <w:hyperlink r:id="rId33">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9"/>
              </w:rPr>
              <w:t>Certificate of Amendment to the Restated and Amended Articles of Incorporation of VistaGen Therapeutics, Inc., dated September 15, 2017;</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form Exhibit 3.1 to the Company’s Current Report on Form 8-K, filed on September 20, 2017.</w:t>
            </w:r>
          </w:p>
        </w:tc>
      </w:tr>
      <w:tr>
        <w:trPr>
          <w:trHeight w:val="177"/>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Form of Warrant.</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w w:val="95"/>
              </w:rPr>
            </w:pPr>
            <w:hyperlink r:id="rId3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r>
              <w:rPr>
                <w:rFonts w:ascii="Arial" w:cs="Arial" w:eastAsia="Arial" w:hAnsi="Arial"/>
                <w:sz w:val="18"/>
                <w:szCs w:val="18"/>
                <w:color w:val="000000"/>
                <w:w w:val="95"/>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VistaGen’s 1999 Stock Incentive Plan.</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5"/>
              </w:rPr>
            </w:pPr>
            <w:hyperlink r:id="rId3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r>
              <w:rPr>
                <w:rFonts w:ascii="Arial" w:cs="Arial" w:eastAsia="Arial" w:hAnsi="Arial"/>
                <w:sz w:val="18"/>
                <w:szCs w:val="18"/>
                <w:color w:val="000000"/>
                <w:w w:val="95"/>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rPr>
              <w:t>VistaGen’s 2008 Stock Incentive Plan.</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20</w:t>
              </w:r>
            </w:hyperlink>
            <w:r>
              <w:rPr>
                <w:rFonts w:ascii="Arial" w:cs="Arial" w:eastAsia="Arial" w:hAnsi="Arial"/>
                <w:sz w:val="18"/>
                <w:szCs w:val="18"/>
                <w:color w:val="000000"/>
                <w:w w:val="92"/>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22</w:t>
              </w:r>
            </w:hyperlink>
            <w:r>
              <w:rPr>
                <w:rFonts w:ascii="Arial" w:cs="Arial" w:eastAsia="Arial" w:hAnsi="Arial"/>
                <w:sz w:val="18"/>
                <w:szCs w:val="18"/>
                <w:color w:val="000000"/>
                <w:w w:val="92"/>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3"/>
              </w:rPr>
              <w:t>License Agreement by and between Mount Sinai School of Medicine of New York University and the Company, dated October 1, 2004.</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08"/>
        </w:trPr>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Non-Exclusive License Agreement, dated December 5, 2008, by and between VistaGen and Wisconsin Alumni Research Foundation, as</w:t>
            </w:r>
          </w:p>
        </w:tc>
      </w:tr>
      <w:tr>
        <w:trPr>
          <w:trHeight w:val="184"/>
        </w:trPr>
        <w:tc>
          <w:tcPr>
            <w:tcW w:w="1100" w:type="dxa"/>
            <w:vAlign w:val="bottom"/>
            <w:gridSpan w:val="15"/>
            <w:shd w:val="clear" w:color="auto" w:fill="CCEEFF"/>
          </w:tcPr>
          <w:p>
            <w:pPr>
              <w:jc w:val="center"/>
              <w:ind w:left="212"/>
              <w:spacing w:after="0" w:line="184"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23</w:t>
              </w:r>
            </w:hyperlink>
            <w:r>
              <w:rPr>
                <w:rFonts w:ascii="Arial" w:cs="Arial" w:eastAsia="Arial" w:hAnsi="Arial"/>
                <w:sz w:val="18"/>
                <w:szCs w:val="18"/>
                <w:color w:val="000000"/>
                <w:w w:val="92"/>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amended by that certain Wisconsin Materials Addendum, dated February 2, 2009.</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24</w:t>
              </w:r>
            </w:hyperlink>
            <w:r>
              <w:rPr>
                <w:rFonts w:ascii="Arial" w:cs="Arial" w:eastAsia="Arial" w:hAnsi="Arial"/>
                <w:sz w:val="18"/>
                <w:szCs w:val="18"/>
                <w:color w:val="000000"/>
                <w:w w:val="92"/>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8"/>
              </w:rPr>
              <w:t>Sponsored Research Collaboration Agreement, dated September 18, 2007, between VistaGen and University Health Network, as amended by</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that certain Amendment No. 1 and Amendment No. 2, dated April 19, 2010 and December 15, 2010, respectively.</w:t>
            </w:r>
          </w:p>
        </w:tc>
      </w:tr>
      <w:tr>
        <w:trPr>
          <w:trHeight w:val="209"/>
        </w:trPr>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License Agreement, dated October 24, 2001, by and between the University of Maryland, Baltimore, Cornell Research Foundation and</w:t>
            </w:r>
          </w:p>
        </w:tc>
      </w:tr>
      <w:tr>
        <w:trPr>
          <w:trHeight w:val="184"/>
        </w:trPr>
        <w:tc>
          <w:tcPr>
            <w:tcW w:w="1100" w:type="dxa"/>
            <w:vAlign w:val="bottom"/>
            <w:gridSpan w:val="15"/>
            <w:shd w:val="clear" w:color="auto" w:fill="CCEEFF"/>
          </w:tcPr>
          <w:p>
            <w:pPr>
              <w:jc w:val="center"/>
              <w:ind w:left="212"/>
              <w:spacing w:after="0" w:line="184"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26</w:t>
              </w:r>
            </w:hyperlink>
            <w:r>
              <w:rPr>
                <w:rFonts w:ascii="Arial" w:cs="Arial" w:eastAsia="Arial" w:hAnsi="Arial"/>
                <w:sz w:val="18"/>
                <w:szCs w:val="18"/>
                <w:color w:val="000000"/>
                <w:w w:val="92"/>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Artemis Neuroscience, Inc.</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31</w:t>
              </w:r>
            </w:hyperlink>
            <w:r>
              <w:rPr>
                <w:rFonts w:ascii="Arial" w:cs="Arial" w:eastAsia="Arial" w:hAnsi="Arial"/>
                <w:sz w:val="18"/>
                <w:szCs w:val="18"/>
                <w:color w:val="000000"/>
                <w:w w:val="92"/>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rPr>
              <w:t>Unsecured Promissory Note dated April 28, 2011 issued by VistaGen to Desjardins Securities.</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32</w:t>
              </w:r>
            </w:hyperlink>
            <w:r>
              <w:rPr>
                <w:rFonts w:ascii="Arial" w:cs="Arial" w:eastAsia="Arial" w:hAnsi="Arial"/>
                <w:sz w:val="18"/>
                <w:szCs w:val="18"/>
                <w:color w:val="000000"/>
                <w:w w:val="92"/>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Unsecured Promissory Note dated April 28, 2011 issued by VistaGen to McCarthy Tetrault LLP.</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34</w:t>
              </w:r>
            </w:hyperlink>
            <w:r>
              <w:rPr>
                <w:rFonts w:ascii="Arial" w:cs="Arial" w:eastAsia="Arial" w:hAnsi="Arial"/>
                <w:sz w:val="18"/>
                <w:szCs w:val="18"/>
                <w:color w:val="000000"/>
                <w:w w:val="92"/>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rPr>
              <w:t>Promissory Note dated February 25, 2010 issued by VistaGen to The Regents of the University of California.</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1100" w:type="dxa"/>
            <w:vAlign w:val="bottom"/>
            <w:gridSpan w:val="15"/>
            <w:shd w:val="clear" w:color="auto" w:fill="CCEEFF"/>
          </w:tcPr>
          <w:p>
            <w:pPr>
              <w:jc w:val="center"/>
              <w:ind w:left="212"/>
              <w:spacing w:after="0" w:line="17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40</w:t>
              </w:r>
            </w:hyperlink>
            <w:r>
              <w:rPr>
                <w:rFonts w:ascii="Arial" w:cs="Arial" w:eastAsia="Arial" w:hAnsi="Arial"/>
                <w:sz w:val="18"/>
                <w:szCs w:val="18"/>
                <w:color w:val="000000"/>
                <w:w w:val="92"/>
              </w:rPr>
              <w:t>*</w:t>
            </w: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gridSpan w:val="15"/>
          </w:tcPr>
          <w:p>
            <w:pPr>
              <w:jc w:val="center"/>
              <w:ind w:left="212"/>
              <w:spacing w:after="0" w:line="17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41</w:t>
              </w:r>
            </w:hyperlink>
            <w:r>
              <w:rPr>
                <w:rFonts w:ascii="Arial" w:cs="Arial" w:eastAsia="Arial" w:hAnsi="Arial"/>
                <w:sz w:val="18"/>
                <w:szCs w:val="18"/>
                <w:color w:val="000000"/>
                <w:w w:val="92"/>
              </w:rPr>
              <w:t>*</w:t>
            </w: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5"/>
              </w:rPr>
              <w:t>Employment Agreement, by and between, VistaGen and H. Ralph Snodgrass, PhD, dated April 28, 2010, as amended May 9, 2011.</w:t>
            </w:r>
          </w:p>
        </w:tc>
      </w:tr>
      <w:tr>
        <w:trPr>
          <w:trHeight w:val="21"/>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76"/>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46</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Notice of Award by National Institutes of Health, Small Business Innovation Research Program, to VistaGen Therapeutics, Inc. for project,</w:t>
            </w:r>
          </w:p>
        </w:tc>
      </w:tr>
      <w:tr>
        <w:trPr>
          <w:trHeight w:val="228"/>
        </w:trPr>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Clinical Development of 4-CI-KYN to Treat Pain dated June 22, 2009, with revisions dated July 19, 2010 and August 9, 2011, incorporated</w:t>
            </w:r>
          </w:p>
        </w:tc>
      </w:tr>
      <w:tr>
        <w:trPr>
          <w:trHeight w:val="224"/>
        </w:trPr>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reference from Exhibit 10.46 to the Company’s Current Report on Form 8-K/A filed on December 20, 2011.</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47</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0"/>
              </w:rPr>
              <w:t>Notice of Grant Award by California Institute of Regenerative Medicine and VistaGen Therapeutics, Inc. for Project: Development of an hES</w:t>
            </w:r>
          </w:p>
        </w:tc>
      </w:tr>
      <w:tr>
        <w:trPr>
          <w:trHeight w:val="228"/>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Cell-Based Assay System for Hepatocyte Differentiation Studies and Predictive Toxicology Drug Screening, dated April 1, 2009, incorporated</w:t>
            </w: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from Exhibit 10.47 to the Company’s Current Report on Form 8-K/A filed on December 20, 2011.</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48</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Amendment No. 4, dated October 24, 2011, to Sponsored Research Collaboration Agreement between VistaGen and University Health</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Network, incorporated by reference from Exhibit 10.2 to the Company’s Current Report on Form 8-K filed on November 30, 2011.</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8"/>
              </w:rPr>
              <w:t>License Agreement No. 1, dated as of October 24, 2011 between University Health Network and VistaGen Therapeutics, Inc., incorporated by</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50</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Strategic Medicinal Chemistry Services Agreement, dated as of December 6, 2011, between Synterys, Inc. and VistaGen Therapeutics, Inc.,</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51</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5"/>
              </w:rPr>
              <w:t>Common Stock Exchange Agreement, dated as of December 22, 2011 between Platinum Long Term Growth VII, LLC and VistaGen</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Therapeutics, Inc., incorporated by reference from Exhibit 10.1 to the Company’s Current Report on Form 8-K filed on December 23, 2011.</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52</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Note and Warrant Exchange Agreement, dated as of December 28, 2011 between Platinum Long Term Growth VII, LLC and VistaGen</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55</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90"/>
              </w:rPr>
              <w:t>Form of Warrant to Purchase Common Stock, dated as of February 28, 2012, incorporated by reference from Exhibit 10.3 to the Company’s</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March 2, 2012.</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57</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License Agreement No. 2, dated as of March 19, 2012 between University Health Network and VistaGen Therapeutics, Inc., incorporated by</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58</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8"/>
              </w:rPr>
              <w:t>Exchange Agreement dated as of June 29, 2012 between Platinum Long Term Growth VII, LLC and VistaGen Therapeutics. Inc., incorporated</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from Exhibit 10.58 to the Company’s Annual Report on Form 10-K filed on July 2, 2012.</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63</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Unsecured Promissory Note in the face amount of $1,000,000 issued to Morrison &amp; Foerster LLP on August 31, 2012 (Replacement Note A),</w:t>
            </w:r>
          </w:p>
        </w:tc>
      </w:tr>
      <w:tr>
        <w:trPr>
          <w:trHeight w:val="237"/>
        </w:trPr>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incorporated by reference from Exhibit 10.3 to the Company’s Current Report on Form 8-K filed on September 6, 2012.</w:t>
            </w:r>
          </w:p>
        </w:tc>
      </w:tr>
      <w:tr>
        <w:trPr>
          <w:trHeight w:val="176"/>
        </w:trPr>
        <w:tc>
          <w:tcPr>
            <w:tcW w:w="900" w:type="dxa"/>
            <w:vAlign w:val="bottom"/>
            <w:gridSpan w:val="14"/>
          </w:tcPr>
          <w:p>
            <w:pPr>
              <w:jc w:val="center"/>
              <w:ind w:left="372"/>
              <w:spacing w:after="0" w:line="17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64</w:t>
              </w:r>
            </w:hyperlink>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Arial" w:cs="Arial" w:eastAsia="Arial" w:hAnsi="Arial"/>
                <w:sz w:val="18"/>
                <w:szCs w:val="18"/>
                <w:color w:val="auto"/>
                <w:w w:val="89"/>
              </w:rPr>
              <w:t>Unsecured Promissory Note in the face amount of $1,379,376 issued to Morrison &amp; Foerster LLP on August 31, 2012 (Replacement Note B),</w:t>
            </w:r>
          </w:p>
        </w:tc>
      </w:tr>
      <w:tr>
        <w:trPr>
          <w:trHeight w:val="236"/>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10.4 to the Company’s Current Report on Form 8-K filed on September 6, 2012.</w:t>
            </w:r>
          </w:p>
        </w:tc>
      </w:tr>
      <w:tr>
        <w:trPr>
          <w:trHeight w:val="177"/>
        </w:trPr>
        <w:tc>
          <w:tcPr>
            <w:tcW w:w="900" w:type="dxa"/>
            <w:vAlign w:val="bottom"/>
            <w:gridSpan w:val="14"/>
            <w:shd w:val="clear" w:color="auto" w:fill="CCEEFF"/>
          </w:tcPr>
          <w:p>
            <w:pPr>
              <w:jc w:val="center"/>
              <w:ind w:left="372"/>
              <w:spacing w:after="0" w:line="176"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65</w:t>
              </w:r>
            </w:hyperlink>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Stock Purchase Warrant issued to Morrison &amp; Foerster LLP on August 31, 2012 to purchase 1,379,376 shares of the Company’s common</w:t>
            </w:r>
          </w:p>
        </w:tc>
      </w:tr>
      <w:tr>
        <w:trPr>
          <w:trHeight w:val="158"/>
        </w:trPr>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922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420"/>
          </w:cols>
          <w:pgMar w:left="240" w:top="773"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stock (New Morrison &amp; Foerster Warrant), incorporated by reference from Exhibit 10.5 to the Company’s Current Report on Form 8-K filed</w:t>
            </w:r>
          </w:p>
        </w:tc>
      </w:tr>
      <w:tr>
        <w:trPr>
          <w:trHeight w:val="224"/>
        </w:trPr>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 September 6, 2012.</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66</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0"/>
              </w:rPr>
              <w:t>Warrant to Purchase Common Stock issued to Morrison &amp; Foerster LLP on August 31, 2012 to purchase 425,000 shares of the Company’s</w:t>
            </w:r>
          </w:p>
        </w:tc>
      </w:tr>
      <w:tr>
        <w:trPr>
          <w:trHeight w:val="228"/>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1"/>
              </w:rPr>
              <w:t>common stock (Amended Morrison &amp; Foerster Warrant), incorporated by reference from Exhibit 10.6 to the Company’s Current Report on</w:t>
            </w:r>
          </w:p>
        </w:tc>
      </w:tr>
      <w:tr>
        <w:trPr>
          <w:trHeight w:val="223"/>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Form 8-K filed on September 6, 2012.</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67</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8"/>
              </w:rPr>
              <w:t>Note Exchange and Purchase Agreement dated as of October 11, 2012 by and between VistaGen Therapeutics, Inc. and Platinum Long Term</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Growth VII, LLP, incorporated by reference from Exhibit 10.1 to the Company’s Current Report on Form 8-K filed on October 16, 2012.</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68</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8"/>
              </w:rPr>
              <w:t>Form of Senior Secured Convertible Promissory Note issued to Platinum Long Term Growth VII, LLP under the Note Exchange and Purchase</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7"/>
              </w:rPr>
              <w:t>Agreement, incorporated by reference from Exhibit 10.2 to the Company’s Current Report on Form 8-K filed on October 16, 2012.</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69</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Form of Warrant to Purchase Shares of Common Stock issued to Platinum Long Term Growth VII, LLP under the Note Exchange and</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0"/>
              </w:rPr>
              <w:t>Purchase Agreement, incorporated by reference from Exhibit 10.3 to the Company’s Current Report on Form 8-K filed on October 16, 2012.</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70</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0"/>
              </w:rPr>
              <w:t>Amended and Restated Security Agreement as of October 11, 2012 between VistaGen Therapeutics, Inc. and Platinum Long Term Growth</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9"/>
              </w:rPr>
              <w:t>VII, LLP, incorporated by reference from Exhibit 10.4 to the Company’s Current Report on Form 8-K filed on October 16, 2012.</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71</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Intellectual Property Security and Stock Pledge Agreement as of October 11, 2012 between VistaGen California and Platinum Long Term</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Growth VII, LLP, incorporated by reference from Exhibit 10.5 to the Company’s Current Report on Form 8-K filed on October 16, 2012.</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72</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1"/>
              </w:rPr>
              <w:t>Negative Covenant Agreement dated October 11, 2012 between VistaGen California, Artemis Neuroscience, Inc. and Platinum Long Term</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3"/>
              </w:rPr>
              <w:t>Growth VII, LLP, incorporated by reference from Exhibit 10.6 to the Company’s Current Report on Form 8-K filed on October 16, 2012.</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73</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Amendment to Note Exchange and Purchase Agreement as of November 14, 2012 between VistaGen Therapeutics Inc. and Platinum Long</w:t>
            </w:r>
          </w:p>
        </w:tc>
      </w:tr>
      <w:tr>
        <w:trPr>
          <w:trHeight w:val="228"/>
        </w:trPr>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2"/>
              </w:rPr>
              <w:t>Term Growth VII, LLP, incorporated by reference from Exhibit 10.1 to the Company’s Current Report on Form 8-K filed on November 20,</w:t>
            </w:r>
          </w:p>
        </w:tc>
      </w:tr>
      <w:tr>
        <w:trPr>
          <w:trHeight w:val="224"/>
        </w:trPr>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2012.</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75</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7"/>
              </w:rPr>
              <w:t>Amendment No. 2 to Note Exchange and Purchase Agreement as of January 31, 2013 between VistaGen Therapeutics Inc. and Platinum Long</w:t>
            </w:r>
          </w:p>
        </w:tc>
      </w:tr>
      <w:tr>
        <w:trPr>
          <w:trHeight w:val="228"/>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1"/>
              </w:rPr>
              <w:t>Term Growth VII, LLP, incorporated by reference from Exhibit 10.1 to the Company’s Quarterly Report on Form 10-Q filed on February 14,</w:t>
            </w:r>
          </w:p>
        </w:tc>
      </w:tr>
      <w:tr>
        <w:trPr>
          <w:trHeight w:val="223"/>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76</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Amendment No. 3 to Note Exchange and Purchase Agreement as of February 22, 2013 between VistaGen Therapeutics Inc. and Platinum</w:t>
            </w:r>
          </w:p>
        </w:tc>
      </w:tr>
      <w:tr>
        <w:trPr>
          <w:trHeight w:val="228"/>
        </w:trPr>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2"/>
              </w:rPr>
              <w:t>Long Term Growth VII, LLP, incorporated by reference from Exhibit 10.1 to the Company’s Current Report on Form 8-K filed on February</w:t>
            </w:r>
          </w:p>
        </w:tc>
      </w:tr>
      <w:tr>
        <w:trPr>
          <w:trHeight w:val="224"/>
        </w:trPr>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28, 2013.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77</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9"/>
              </w:rPr>
              <w:t>Form of Warrant to Purchase Common Stock issued to independent members of the Company’s Board of Directors and its executive officers</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4"/>
              </w:rPr>
              <w:t>on March 3, 2013, incorporated by reference from Exhibit 10.1 to the Company’s Current Report on Form 8-K filed on March 6,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80</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9"/>
              </w:rPr>
              <w:t>Note Conversion Agreement as of April 4, 2013 between VistaGen Therapeutics Inc. and Platinum Long Term Growth VII, LLP, incorporated</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by reference from Exhibit 10.3 to the Company’s Current Report on Form 8-K filed on April 10,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83</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9"/>
              </w:rPr>
              <w:t>Lease between Bayside Area Development, LLC and VistaGen Therapeutics, Inc. (California) dated April 24, 2013, incorporated by reference</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from Exhibit 10.83 to the Company’s Annual Report on Form 10-K filed July 18,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84</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Indemnification Agreement effective May 20, 2013 between the Company and Jon S. Saxe, incorporated by reference from Exhibit 10.84 to</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Company’s Annual Report on Form 10-K filed on July 18,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7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85</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9"/>
              </w:rPr>
              <w:t>Indemnification Agreement effective May 20, 2013 between the Company and Shawn K. Singh, incorporated by reference from Exhibit 10.85</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to the Company’s Annual Report on Form 10-K filed on July 18,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7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86</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Indemnification Agreement effective May 20, 2013 between the Company and H. Ralph Snodgrass, incorporated by reference from Exhibit</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10.86 to the Company’s Annual Report on Form 10-K filed on July 18,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7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87</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1"/>
              </w:rPr>
              <w:t>Indemnification Agreement effective May 20, 2013 between the Company and Brian J. Underdown, incorporated by reference from Exhibit</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10.87 to the Company’s Annual Report on Form 10-K filed on July 18,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88</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Indemnification Agreement effective May 20, 2013 between the Company and Jerrold D. Dotson, incorporated by reference from Exhibit</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10.88 to the Company’s Annual Report on Form 10-K filed on July 18,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7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89</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9"/>
              </w:rPr>
              <w:t>Amendment and Waiver effective May 24, 2013 between the Company and Platinum Long Term Growth VII, LLC, incorporated by reference</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from Exhibit 10.1 to the Company’s Current Report on Form 8-K filed on June 3,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90</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8"/>
              </w:rPr>
              <w:t>Amendment No 2 to Securities Purchase Agreement dated June 27, 2013 between the Company, Autilion AG and Bergamo Acquisition Corp.</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PTE LTD, incorporated by reference from Exhibit 10.1 to the Company’s Current Report on Form 8-K filed on June 28,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91</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9"/>
              </w:rPr>
              <w:t>Senior Secured Convertible Promissory Note, dated July 26, 2013 issued to Platinum Long Term Growth VII, LLP, incorporated by reference</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from Exhibit 10.1 to the Company’s Current Report on Form 8-K filed on August 2, 2013.</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92</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Common Stock Warrant, dated July 26, 2013 issued to Platinum Long Term Growth VII, LLP, incorporated by reference from Exhibit 10.2 to</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Company’s Current Report on Form 8-K filed on August 2, 2013.</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93</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88"/>
              </w:rPr>
              <w:t>Form of Subscription Agreement between the Company and investors in the Fall 2013 Unit Private Placement, incorporated by reference from</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Exhibit 10.93 to the Company’s Annual Report on Form 10-K filed on June 25,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94</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9"/>
              </w:rPr>
              <w:t>Form of Convertible Promissory Note between the Company and investors in the Fall 2013 Unit Private Placement, incorporated by reference</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from Exhibit 10.94 to the Company’s Annual Report on Form 10-K filed on June 25, 2014.</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95</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2"/>
              </w:rPr>
              <w:t>Form of Common Stock Purchase Warrant between the Company and investors in the Fall 2013 Unit Private Placement, incorporated by</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reference from Exhibit 10.95 to the Company’s Annual Report on Form 10-K filed on June 25,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96</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5"/>
              </w:rPr>
              <w:t>Form of Amendment to Convertible Promissory Note and Warrant between the Company and investors in the Fall 2013 Unit Private</w:t>
            </w:r>
          </w:p>
        </w:tc>
      </w:tr>
      <w:tr>
        <w:trPr>
          <w:trHeight w:val="228"/>
        </w:trPr>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2"/>
              </w:rPr>
              <w:t>Placement, effective May 31, 2014, incorporated by reference from Exhibit 10.96 to the Company’s Annual Report on Form 10-K filed on</w:t>
            </w:r>
          </w:p>
        </w:tc>
      </w:tr>
      <w:tr>
        <w:trPr>
          <w:trHeight w:val="224"/>
        </w:trPr>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June 24, 2014.</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97</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1"/>
              </w:rPr>
              <w:t>Form of Unit Subscription Agreement between the Company and investors in the Spring 2014 Unit Private Placement dated April 1, 2014,</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incorporated by reference from Exhibit 10.1 to the Company’s Current Report on Form 8-K filed on April 8,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98</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9"/>
              </w:rPr>
              <w:t>Form of Subordinate Convertible Promissory Note between the Company and investors in the Spring 2014 Unit Private Placement dated April</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 2014, incorporated by reference from Exhibit 10.2 to the Company’s Current Report on Form 8-K filed on April 8, 2014.</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99</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2"/>
              </w:rPr>
              <w:t>Form of Common Stock Purchase Warrant between the Company and investors in the Spring 2014 Unit Private Placement dated April 1,</w:t>
            </w:r>
          </w:p>
        </w:tc>
      </w:tr>
      <w:tr>
        <w:trPr>
          <w:trHeight w:val="236"/>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2014, incorporated by reference from Exhibit 10.3 to the Company’s Current Report on Form 8-K filed on April 8,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100</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Common Stock Purchase Warrant between the Company and Platinum Long Term Growth Fund VII dated May 14, 2014, incorporated by</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reference from Exhibit 10.1 to the Company’s Current Report on Form 8-K filed on May 19, 2014.</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101</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7"/>
              </w:rPr>
              <w:t>Subordinate Convertible Promissory Note between the Company and Platinum Long Term Growth Fund VII dated May 14, 2014,</w:t>
            </w:r>
          </w:p>
        </w:tc>
      </w:tr>
      <w:tr>
        <w:trPr>
          <w:trHeight w:val="236"/>
        </w:trPr>
        <w:tc>
          <w:tcPr>
            <w:tcW w:w="4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rPr>
              <w:t>incorporated by reference from Exhibit 10.2 to the Company’s Current Report on Form 8-K filed on May 19,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102</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9"/>
              </w:rPr>
              <w:t>Form of Promissory Note and Form of Warrant issued by the Company to Icahn School of Business at Mount Sinai effective April 10, 2014 in</w:t>
            </w:r>
          </w:p>
        </w:tc>
      </w:tr>
      <w:tr>
        <w:trPr>
          <w:trHeight w:val="228"/>
        </w:trPr>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2"/>
              </w:rPr>
              <w:t>satisfaction of technology license maintenance fees and reimbursable patent costs, incorporated by reference from Exhibit 10.102 to the</w:t>
            </w:r>
          </w:p>
        </w:tc>
      </w:tr>
      <w:tr>
        <w:trPr>
          <w:trHeight w:val="224"/>
        </w:trPr>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Company’s Annual Report on Form 10-K filed on June 25, 2014.</w:t>
            </w:r>
          </w:p>
        </w:tc>
      </w:tr>
      <w:tr>
        <w:trPr>
          <w:trHeight w:val="176"/>
        </w:trPr>
        <w:tc>
          <w:tcPr>
            <w:tcW w:w="920" w:type="dxa"/>
            <w:vAlign w:val="bottom"/>
            <w:gridSpan w:val="4"/>
          </w:tcPr>
          <w:p>
            <w:pPr>
              <w:jc w:val="center"/>
              <w:ind w:left="352"/>
              <w:spacing w:after="0" w:line="176"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103</w:t>
              </w:r>
            </w:hyperlink>
          </w:p>
        </w:tc>
        <w:tc>
          <w:tcPr>
            <w:tcW w:w="10500" w:type="dxa"/>
            <w:vAlign w:val="bottom"/>
          </w:tcPr>
          <w:p>
            <w:pPr>
              <w:ind w:left="460"/>
              <w:spacing w:after="0" w:line="176" w:lineRule="exact"/>
              <w:rPr>
                <w:sz w:val="20"/>
                <w:szCs w:val="20"/>
                <w:color w:val="auto"/>
              </w:rPr>
            </w:pPr>
            <w:r>
              <w:rPr>
                <w:rFonts w:ascii="Arial" w:cs="Arial" w:eastAsia="Arial" w:hAnsi="Arial"/>
                <w:sz w:val="18"/>
                <w:szCs w:val="18"/>
                <w:color w:val="auto"/>
                <w:w w:val="90"/>
              </w:rPr>
              <w:t>Amendment No. 3 to Sponsored Research Collaboration Agreement, dated April 25, 2011, by and between VistaGen and University Health</w:t>
            </w:r>
          </w:p>
        </w:tc>
      </w:tr>
      <w:tr>
        <w:trPr>
          <w:trHeight w:val="236"/>
        </w:trPr>
        <w:tc>
          <w:tcPr>
            <w:tcW w:w="4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18"/>
                <w:szCs w:val="18"/>
                <w:color w:val="auto"/>
                <w:w w:val="99"/>
              </w:rPr>
              <w:t>Network, incorporated by reference from Exhibit 10.103 to the Company’s Annual Report on Form 10-K filed on June 25, 2014.</w:t>
            </w:r>
          </w:p>
        </w:tc>
      </w:tr>
      <w:tr>
        <w:trPr>
          <w:trHeight w:val="177"/>
        </w:trPr>
        <w:tc>
          <w:tcPr>
            <w:tcW w:w="920" w:type="dxa"/>
            <w:vAlign w:val="bottom"/>
            <w:gridSpan w:val="4"/>
            <w:shd w:val="clear" w:color="auto" w:fill="CCEEFF"/>
          </w:tcPr>
          <w:p>
            <w:pPr>
              <w:jc w:val="center"/>
              <w:ind w:left="352"/>
              <w:spacing w:after="0" w:line="17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104</w:t>
              </w:r>
            </w:hyperlink>
          </w:p>
        </w:tc>
        <w:tc>
          <w:tcPr>
            <w:tcW w:w="105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8"/>
              </w:rPr>
              <w:t>Amendment No. 5 to Sponsored Research Collaboration Agreement, dated October 10, 2012, by and between VistaGen and University Health</w:t>
            </w:r>
          </w:p>
        </w:tc>
      </w:tr>
      <w:tr>
        <w:trPr>
          <w:trHeight w:val="237"/>
        </w:trPr>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9"/>
              </w:rPr>
              <w:t>Network, incorporated by reference from Exhibit 10.104 to the Company’s Annual Report on Form 10-K filed on June 25, 2014.</w:t>
            </w:r>
          </w:p>
        </w:tc>
      </w:tr>
    </w:tbl>
    <w:p>
      <w:pPr>
        <w:sectPr>
          <w:pgSz w:w="11900" w:h="16838" w:orient="portrait"/>
          <w:cols w:equalWidth="0" w:num="1">
            <w:col w:w="11420"/>
          </w:cols>
          <w:pgMar w:left="240" w:top="140"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10"/>
          </w:tcPr>
          <w:p>
            <w:pPr>
              <w:ind w:left="440"/>
              <w:spacing w:after="0"/>
              <w:rPr>
                <w:rFonts w:ascii="Arial" w:cs="Arial" w:eastAsia="Arial" w:hAnsi="Arial"/>
                <w:sz w:val="18"/>
                <w:szCs w:val="18"/>
                <w:color w:val="0000EE"/>
                <w:w w:val="83"/>
              </w:rPr>
            </w:pPr>
            <w:hyperlink r:id="rId95">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w w:val="90"/>
              </w:rPr>
              <w:t>Amended and Restated Note Conversion Agreement and Warrant Amendment, by and between VistaGen Therapeutics, Inc. and Platinum</w:t>
            </w:r>
          </w:p>
        </w:tc>
      </w:tr>
      <w:tr>
        <w:trPr>
          <w:trHeight w:val="228"/>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w w:val="90"/>
              </w:rPr>
              <w:t>Long Term Growth VII, LLC, dated July 18, 2014, incorporated by reference from Exhibit 10.1 to the Company’s Current Report on Form 8-</w:t>
            </w:r>
          </w:p>
        </w:tc>
      </w:tr>
      <w:tr>
        <w:trPr>
          <w:trHeight w:val="223"/>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K filed on July 22, 2014.</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96">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106</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88"/>
              </w:rPr>
              <w:t>Amendment No. 1 to Amended and Restated Note Conversion Agreement and Warrant Amendment, by and between VistaGen Therapeutics,</w:t>
            </w:r>
          </w:p>
        </w:tc>
      </w:tr>
      <w:tr>
        <w:trPr>
          <w:trHeight w:val="228"/>
        </w:trPr>
        <w:tc>
          <w:tcPr>
            <w:tcW w:w="4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Inc. and Platinum Long Term Growth VII, LLC, dated September 2, 2014, incorporated by reference from Exhibit 10.1 to the Company’s</w:t>
            </w:r>
          </w:p>
        </w:tc>
      </w:tr>
      <w:tr>
        <w:trPr>
          <w:trHeight w:val="224"/>
        </w:trPr>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Report on Form 8-K filed on September 4, 2014.</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97">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88"/>
              </w:rPr>
              <w:t>Amendment No. 2 to Amended and Restated Note Conversion Agreement and Warrant Amendment, by and between VistaGen Therapeutics,</w:t>
            </w:r>
          </w:p>
        </w:tc>
      </w:tr>
      <w:tr>
        <w:trPr>
          <w:trHeight w:val="228"/>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w w:val="92"/>
              </w:rPr>
              <w:t>Inc. and Platinum Long Term Growth VII, LLC, dated September 30, 2014, incorporated by reference from Exhibit 10.1 to the Company’s</w:t>
            </w:r>
          </w:p>
        </w:tc>
      </w:tr>
      <w:tr>
        <w:trPr>
          <w:trHeight w:val="223"/>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Current Report on Form 8-K filed on October 3, 2014.</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98">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Agreement, by and between VistaGen Therapeutics, Inc. and Platinum Long Term Growth VII, LLC, dated May 5, 2015, incorporated by</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99">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1"/>
              </w:rPr>
              <w:t>Acknowledgement and Agreement, by and between VistaGen Therapeutics, Inc. and Platinum Long Term Growth VII, LLC, dated May 12,</w:t>
            </w: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2015, incorporated by reference from Exhibit 10.2 to the Company’s Current Report on Form 8-K filed on May 13, 2015.</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00">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110</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0"/>
              </w:rPr>
              <w:t>Form of Securities Purchase Agreement by and between VistaGen Therapeutics, Inc. and Platinum Long Term Growth VII, LLC, dated May</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 2015, incorporated by reference from Exhibit 10.3 to the Company’s Current Report on Form 8-K filed on May 13, 2015.</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01">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0"/>
              </w:rPr>
              <w:t>Exchange Agreement, by and between VistaGen Therapeutics, Inc., and Platinum Long Term Growth VII, LLC and Montsant Partners, LLC,</w:t>
            </w:r>
          </w:p>
        </w:tc>
      </w:tr>
      <w:tr>
        <w:trPr>
          <w:trHeight w:val="228"/>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w w:val="92"/>
              </w:rPr>
              <w:t>dated January 25, 2016, incorporated by reference from Exhibit 10.1 to the Company’s Current Report on Form 8-K filed on January 29,</w:t>
            </w:r>
          </w:p>
        </w:tc>
      </w:tr>
      <w:tr>
        <w:trPr>
          <w:trHeight w:val="223"/>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2016.</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02">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0"/>
              </w:rPr>
              <w:t>Indemnification Agreement effective April 8, 2016 between the Company and Jerry B. Gin, incorporated by reference from Exhibit 10.112 to</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Company’s Annual Report on Form 10-K filed on June 24, 2016.</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03">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1"/>
              </w:rPr>
              <w:t>Underwriting Agreement, by and between Chardan Capital Markets, LLC and WallachBeth Capital, LLC, as representatives of the several</w:t>
            </w:r>
          </w:p>
        </w:tc>
      </w:tr>
      <w:tr>
        <w:trPr>
          <w:trHeight w:val="228"/>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w w:val="91"/>
              </w:rPr>
              <w:t>underwriters, and VistaGen Therapeutics, Inc., dated May 10, 2016, incorporated by reference from Exhibit 1.1 to the Company’s Current</w:t>
            </w:r>
          </w:p>
        </w:tc>
      </w:tr>
      <w:tr>
        <w:trPr>
          <w:trHeight w:val="223"/>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Report on Form 8-K filed on May 16, 2016.</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0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Warrant Agency Agreement, by and between Computershare, Inc. and VistaGen Therapeutics, Inc., dated May 16, 2016, incorporated by</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from Exhibit 4.1 to the Company’s Current Report on Form 8-K filed on May 16, 2016.</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05">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7"/>
              </w:rPr>
              <w:t>Form of Warrant; incorporated by reference from Exhibit 4.2 to the Company’s Current Report on Form 8-K filed on May 16, 2016.</w:t>
            </w:r>
          </w:p>
        </w:tc>
      </w:tr>
      <w:tr>
        <w:trPr>
          <w:trHeight w:val="21"/>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76"/>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06">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116</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Second Amendment to Employment Agreement by and between VistaGen Therapeutics, Inc. and Shawn K. Singh, dated June 22, 2016,</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incorporated by reference from Exhibit 10.116 to the Company’s Annual Report on Form 10-K filed on June 24, 2016.</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07">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89"/>
              </w:rPr>
              <w:t>Second Amendment to Employment Agreement by and between VistaGen Therapeutics, Inc. and H. Ralph Snodgrass, Ph.D., dated June 22,</w:t>
            </w: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08">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88"/>
              </w:rPr>
              <w:t>Second Amendment to Lease between Bayside Area Development and the Company, effective November 10, 2016, incorporated by reference</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Exhibit 10.1 to the Company’s Quarterly report on Form 10-Q filed on November 15, 2016.</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09">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0"/>
              </w:rPr>
              <w:t>Indemnification Agreement effective November 10, 2016 between the Company and Mark A. Smith, incorporated by reference from Exhibit</w:t>
            </w: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10.2 to the Company’s Quarterly report on Form 10-Q filed on November 15, 2016.</w:t>
            </w:r>
          </w:p>
        </w:tc>
      </w:tr>
      <w:tr>
        <w:trPr>
          <w:trHeight w:val="177"/>
        </w:trPr>
        <w:tc>
          <w:tcPr>
            <w:tcW w:w="1180" w:type="dxa"/>
            <w:vAlign w:val="bottom"/>
            <w:gridSpan w:val="13"/>
            <w:shd w:val="clear" w:color="auto" w:fill="CCEEFF"/>
          </w:tcPr>
          <w:p>
            <w:pPr>
              <w:jc w:val="center"/>
              <w:ind w:left="112"/>
              <w:spacing w:after="0" w:line="17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120</w:t>
              </w:r>
            </w:hyperlink>
            <w:r>
              <w:rPr>
                <w:rFonts w:ascii="Arial" w:cs="Arial" w:eastAsia="Arial" w:hAnsi="Arial"/>
                <w:sz w:val="18"/>
                <w:szCs w:val="18"/>
                <w:color w:val="000000"/>
                <w:w w:val="88"/>
              </w:rPr>
              <w:t>+</w:t>
            </w: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0"/>
              </w:rPr>
              <w:t>Exclusive License and Sublicense Agreement by and between VistaGen Therapeutics, Inc. and Apollo Biologics LP, effective December 9,</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tc>
      </w:tr>
      <w:tr>
        <w:trPr>
          <w:trHeight w:val="176"/>
        </w:trPr>
        <w:tc>
          <w:tcPr>
            <w:tcW w:w="1180" w:type="dxa"/>
            <w:vAlign w:val="bottom"/>
            <w:gridSpan w:val="13"/>
          </w:tcPr>
          <w:p>
            <w:pPr>
              <w:jc w:val="center"/>
              <w:ind w:left="112"/>
              <w:spacing w:after="0" w:line="17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121</w:t>
              </w:r>
            </w:hyperlink>
            <w:r>
              <w:rPr>
                <w:rFonts w:ascii="Arial" w:cs="Arial" w:eastAsia="Arial" w:hAnsi="Arial"/>
                <w:sz w:val="18"/>
                <w:szCs w:val="18"/>
                <w:color w:val="000000"/>
                <w:w w:val="88"/>
              </w:rPr>
              <w:t>+</w:t>
            </w: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2"/>
              </w:rPr>
              <w:t>Patent License Amendment Agreement between VistaGen Therapeutics Inc. and University Health Network effective December 9, 2016,</w:t>
            </w:r>
          </w:p>
        </w:tc>
      </w:tr>
      <w:tr>
        <w:trPr>
          <w:trHeight w:val="236"/>
        </w:trPr>
        <w:tc>
          <w:tcPr>
            <w:tcW w:w="4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incorporated by reference from Exhibit 10.2 to the Company’s Quarterly Report on Form 10-Q/A filed on May 1, 2017.</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12">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122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89"/>
              </w:rPr>
              <w:t>Amended and Restated 2016 Stock Incentive Plan, incorporated by reference from Exhibit 10.122 to the Company’s Annual Report on Form</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10-K filed on June 29, 2017.</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13">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7"/>
              </w:rPr>
              <w:t>Underwriting Agreement, dated as of August 31, 2017, by and between VistaGen Therapeutics, Inc. and Oppenheimer &amp; Co. Inc.,</w:t>
            </w: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incorporated by reference from Exhibit 1.1 to the Company’s Current Report on Form 8-K filed on August 31, 2017.</w:t>
            </w:r>
          </w:p>
        </w:tc>
      </w:tr>
      <w:tr>
        <w:trPr>
          <w:trHeight w:val="177"/>
        </w:trPr>
        <w:tc>
          <w:tcPr>
            <w:tcW w:w="920" w:type="dxa"/>
            <w:vAlign w:val="bottom"/>
            <w:gridSpan w:val="10"/>
            <w:shd w:val="clear" w:color="auto" w:fill="CCEEFF"/>
          </w:tcPr>
          <w:p>
            <w:pPr>
              <w:ind w:left="440"/>
              <w:spacing w:after="0" w:line="176" w:lineRule="exact"/>
              <w:rPr>
                <w:rFonts w:ascii="Arial" w:cs="Arial" w:eastAsia="Arial" w:hAnsi="Arial"/>
                <w:sz w:val="18"/>
                <w:szCs w:val="18"/>
                <w:color w:val="0000EE"/>
                <w:w w:val="83"/>
              </w:rPr>
            </w:pPr>
            <w:hyperlink r:id="rId11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124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Form of Series A1 Warrant, incorporated by reference from Exhibit 4.1 to the Company’s Current Report on Form 8-K filed on August 31,</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2017.</w:t>
            </w:r>
          </w:p>
        </w:tc>
      </w:tr>
      <w:tr>
        <w:trPr>
          <w:trHeight w:val="176"/>
        </w:trPr>
        <w:tc>
          <w:tcPr>
            <w:tcW w:w="920" w:type="dxa"/>
            <w:vAlign w:val="bottom"/>
            <w:gridSpan w:val="10"/>
          </w:tcPr>
          <w:p>
            <w:pPr>
              <w:ind w:left="440"/>
              <w:spacing w:after="0" w:line="176" w:lineRule="exact"/>
              <w:rPr>
                <w:rFonts w:ascii="Arial" w:cs="Arial" w:eastAsia="Arial" w:hAnsi="Arial"/>
                <w:sz w:val="18"/>
                <w:szCs w:val="18"/>
                <w:color w:val="0000EE"/>
                <w:w w:val="83"/>
              </w:rPr>
            </w:pPr>
            <w:hyperlink r:id="rId115">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w w:val="92"/>
              </w:rPr>
              <w:t>Form of Series A2 Warrant, incorporated by reference from Exhibit 4.2 to the Company’s Current Report on Form 8-K filed on August 31,</w:t>
            </w: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2017.</w:t>
            </w:r>
          </w:p>
        </w:tc>
      </w:tr>
      <w:tr>
        <w:trPr>
          <w:trHeight w:val="177"/>
        </w:trPr>
        <w:tc>
          <w:tcPr>
            <w:tcW w:w="900" w:type="dxa"/>
            <w:vAlign w:val="bottom"/>
            <w:gridSpan w:val="9"/>
            <w:shd w:val="clear" w:color="auto" w:fill="CCEEFF"/>
          </w:tcPr>
          <w:p>
            <w:pPr>
              <w:jc w:val="center"/>
              <w:ind w:left="412"/>
              <w:spacing w:after="0" w:line="17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21.</w:t>
              </w:r>
              <w:r>
                <w:rPr>
                  <w:rFonts w:ascii="Arial" w:cs="Arial" w:eastAsia="Arial" w:hAnsi="Arial"/>
                  <w:sz w:val="18"/>
                  <w:szCs w:val="18"/>
                  <w:u w:val="single" w:color="auto"/>
                  <w:color w:val="0000EE"/>
                  <w:w w:val="95"/>
                </w:rPr>
                <w:t>1</w:t>
              </w:r>
            </w:hyperlink>
            <w:r>
              <w:rPr>
                <w:rFonts w:ascii="Arial" w:cs="Arial" w:eastAsia="Arial" w:hAnsi="Arial"/>
                <w:sz w:val="18"/>
                <w:szCs w:val="18"/>
                <w:color w:val="000000"/>
                <w:w w:val="95"/>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List of Subsidiaries.</w:t>
            </w: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0" w:type="dxa"/>
            <w:vAlign w:val="bottom"/>
            <w:gridSpan w:val="11"/>
          </w:tcPr>
          <w:p>
            <w:pPr>
              <w:jc w:val="center"/>
              <w:ind w:left="372"/>
              <w:spacing w:after="0" w:line="176" w:lineRule="exact"/>
              <w:rPr>
                <w:rFonts w:ascii="Arial" w:cs="Arial" w:eastAsia="Arial" w:hAnsi="Arial"/>
                <w:sz w:val="18"/>
                <w:szCs w:val="18"/>
                <w:color w:val="0000EE"/>
                <w:w w:val="97"/>
              </w:rPr>
            </w:pPr>
            <w:hyperlink r:id="rId35">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1**</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40" w:type="dxa"/>
            <w:vAlign w:val="bottom"/>
          </w:tcPr>
          <w:p>
            <w:pPr>
              <w:ind w:left="200"/>
              <w:spacing w:after="0" w:line="176" w:lineRule="exact"/>
              <w:rPr>
                <w:sz w:val="20"/>
                <w:szCs w:val="20"/>
                <w:color w:val="auto"/>
              </w:rPr>
            </w:pPr>
            <w:r>
              <w:rPr>
                <w:rFonts w:ascii="Arial" w:cs="Arial" w:eastAsia="Arial" w:hAnsi="Arial"/>
                <w:sz w:val="18"/>
                <w:szCs w:val="18"/>
                <w:color w:val="auto"/>
              </w:rPr>
              <w:t>Consent of Disclosure Law Group.</w:t>
            </w:r>
          </w:p>
        </w:tc>
      </w:tr>
      <w:tr>
        <w:trPr>
          <w:trHeight w:val="21"/>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r>
      <w:tr>
        <w:trPr>
          <w:trHeight w:val="196"/>
        </w:trPr>
        <w:tc>
          <w:tcPr>
            <w:tcW w:w="1180" w:type="dxa"/>
            <w:vAlign w:val="bottom"/>
            <w:gridSpan w:val="13"/>
            <w:shd w:val="clear" w:color="auto" w:fill="CCEEFF"/>
          </w:tcPr>
          <w:p>
            <w:pPr>
              <w:ind w:left="440"/>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23.</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w:t>
              </w:r>
            </w:hyperlink>
          </w:p>
        </w:tc>
        <w:tc>
          <w:tcPr>
            <w:tcW w:w="10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Consent of OUM &amp; Co., LLP, independent registered public accounting firm (filed herewith).</w:t>
            </w:r>
          </w:p>
        </w:tc>
      </w:tr>
      <w:tr>
        <w:trPr>
          <w:trHeight w:val="176"/>
        </w:trPr>
        <w:tc>
          <w:tcPr>
            <w:tcW w:w="4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EE"/>
            </w:tcBorders>
            <w:gridSpan w:val="3"/>
          </w:tcPr>
          <w:p>
            <w:pPr>
              <w:spacing w:after="0"/>
              <w:rPr>
                <w:sz w:val="15"/>
                <w:szCs w:val="15"/>
                <w:color w:val="auto"/>
              </w:rPr>
            </w:pPr>
          </w:p>
        </w:tc>
        <w:tc>
          <w:tcPr>
            <w:tcW w:w="300" w:type="dxa"/>
            <w:vAlign w:val="bottom"/>
            <w:tcBorders>
              <w:top w:val="single" w:sz="8" w:color="0000EE"/>
              <w:bottom w:val="single" w:sz="8" w:color="0000EE"/>
            </w:tcBorders>
            <w:gridSpan w:val="2"/>
          </w:tcPr>
          <w:p>
            <w:pPr>
              <w:jc w:val="right"/>
              <w:spacing w:after="0" w:line="176" w:lineRule="exact"/>
              <w:rPr>
                <w:rFonts w:ascii="Arial" w:cs="Arial" w:eastAsia="Arial" w:hAnsi="Arial"/>
                <w:sz w:val="18"/>
                <w:szCs w:val="18"/>
                <w:color w:val="0000EE"/>
                <w:w w:val="79"/>
              </w:rPr>
            </w:pPr>
            <w:hyperlink r:id="rId118">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1</w:t>
              </w:r>
            </w:hyperlink>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40" w:type="dxa"/>
            <w:vAlign w:val="bottom"/>
            <w:tcBorders>
              <w:top w:val="single" w:sz="8" w:color="CCEEFF"/>
            </w:tcBorders>
          </w:tcPr>
          <w:p>
            <w:pPr>
              <w:ind w:left="200"/>
              <w:spacing w:after="0" w:line="176" w:lineRule="exact"/>
              <w:rPr>
                <w:sz w:val="20"/>
                <w:szCs w:val="20"/>
                <w:color w:val="auto"/>
              </w:rPr>
            </w:pPr>
            <w:r>
              <w:rPr>
                <w:rFonts w:ascii="Arial" w:cs="Arial" w:eastAsia="Arial" w:hAnsi="Arial"/>
                <w:sz w:val="18"/>
                <w:szCs w:val="18"/>
                <w:color w:val="auto"/>
              </w:rPr>
              <w:t>Power of Attorney (included on signature page to the registration statement on Form S-1, filed on October 18, 2017).</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5" w:lineRule="exact"/>
        <w:rPr>
          <w:sz w:val="20"/>
          <w:szCs w:val="20"/>
          <w:color w:val="auto"/>
        </w:rPr>
      </w:pPr>
    </w:p>
    <w:p>
      <w:pPr>
        <w:ind w:right="2840" w:firstLine="8"/>
        <w:spacing w:after="0" w:line="497"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 Previously filed.</w:t>
      </w: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granted for certain confidential portions of this agreement.</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6"/>
    </w:lvl>
    <w:lvl w:ilvl="1">
      <w:lvlJc w:val="left"/>
      <w:lvlText w:val="%2"/>
      <w:numFmt w:val="lowerRoman"/>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19" Type="http://schemas.openxmlformats.org/officeDocument/2006/relationships/image" Target="media/image13.png"/><Relationship Id="rId20" Type="http://schemas.openxmlformats.org/officeDocument/2006/relationships/hyperlink" Target="http://www.sec.gov/Archives/edgar/data/1411685/000165495417011402/ex1-1.htm" TargetMode="External"/><Relationship Id="rId21" Type="http://schemas.openxmlformats.org/officeDocument/2006/relationships/hyperlink" Target="http://www.sec.gov/Archives/edgar/data/1411685/000141588911000362/ex2-1.htm" TargetMode="External"/><Relationship Id="rId22" Type="http://schemas.openxmlformats.org/officeDocument/2006/relationships/hyperlink" Target="http://www.sec.gov/Archives/edgar/data/1411685/000141588911000362/ex3-1.htm" TargetMode="External"/><Relationship Id="rId23" Type="http://schemas.openxmlformats.org/officeDocument/2006/relationships/hyperlink" Target="http://www.sec.gov/Archives/edgar/data/1411685/000141588912000973/ex3-3.htm" TargetMode="External"/><Relationship Id="rId24" Type="http://schemas.openxmlformats.org/officeDocument/2006/relationships/hyperlink" Target="http://www.sec.gov/Archives/edgar/data/1411685/000141588914000431/ex3-02072014_040202.htm" TargetMode="External"/><Relationship Id="rId25" Type="http://schemas.openxmlformats.org/officeDocument/2006/relationships/hyperlink" Target="http://www.sec.gov/Archives/edgar/data/1411685/000141588911000445/exhibit3-1.htm" TargetMode="External"/><Relationship Id="rId26" Type="http://schemas.openxmlformats.org/officeDocument/2006/relationships/hyperlink" Target="http://www.sec.gov/Archives/edgar/data/1411685/000141588911001446/ex3-12232011_081210.htm" TargetMode="External"/><Relationship Id="rId27" Type="http://schemas.openxmlformats.org/officeDocument/2006/relationships/hyperlink" Target="http://www.sec.gov/Archives/edgar/data/1411685/000141588914002464/ex3-1.htm" TargetMode="External"/><Relationship Id="rId28" Type="http://schemas.openxmlformats.org/officeDocument/2006/relationships/hyperlink" Target="http://www.sec.gov/Archives/edgar/data/1411685/000141588915001677/ex3-1.htm" TargetMode="External"/><Relationship Id="rId29" Type="http://schemas.openxmlformats.org/officeDocument/2006/relationships/hyperlink" Target="http://www.sec.gov/Archives/edgar/data/1411685/000141588915002884/ex3-08252015_010840.htm" TargetMode="External"/><Relationship Id="rId30" Type="http://schemas.openxmlformats.org/officeDocument/2006/relationships/hyperlink" Target="http://www.sec.gov/Archives/edgar/data/1411685/000141588916004564/ex3-01292016_020121.htm" TargetMode="External"/><Relationship Id="rId31" Type="http://schemas.openxmlformats.org/officeDocument/2006/relationships/hyperlink" Target="http://www.sec.gov/Archives/edgar/data/1411685/000141588916006879/ex3-1.htm" TargetMode="External"/><Relationship Id="rId32" Type="http://schemas.openxmlformats.org/officeDocument/2006/relationships/hyperlink" Target="http://www.sec.gov/Archives/edgar/data/1411685/000141588916006879/ex3-2.htm" TargetMode="External"/><Relationship Id="rId33" Type="http://schemas.openxmlformats.org/officeDocument/2006/relationships/hyperlink" Target="http://www.sec.gov/Archives/edgar/data/1411685/000165495417008632/ex3-1.htm" TargetMode="External"/><Relationship Id="rId34" Type="http://schemas.openxmlformats.org/officeDocument/2006/relationships/hyperlink" Target="http://www.sec.gov/Archives/edgar/data/1411685/000165495417011402/ex4-1.htm" TargetMode="External"/><Relationship Id="rId35" Type="http://schemas.openxmlformats.org/officeDocument/2006/relationships/hyperlink" Target="http://www.sec.gov/Archives/edgar/data/1411685/000165495417011402/ex5-1.htm" TargetMode="External"/><Relationship Id="rId36" Type="http://schemas.openxmlformats.org/officeDocument/2006/relationships/hyperlink" Target="http://www.sec.gov/Archives/edgar/data/1411685/000141588911000362/ex10-1.htm" TargetMode="External"/><Relationship Id="rId37" Type="http://schemas.openxmlformats.org/officeDocument/2006/relationships/hyperlink" Target="http://www.sec.gov/Archives/edgar/data/1411685/000141588911000362/ex10-5.htm" TargetMode="External"/><Relationship Id="rId38" Type="http://schemas.openxmlformats.org/officeDocument/2006/relationships/hyperlink" Target="http://www.sec.gov/Archives/edgar/data/1411685/000141588911000362/ex10-20.htm" TargetMode="External"/><Relationship Id="rId39" Type="http://schemas.openxmlformats.org/officeDocument/2006/relationships/hyperlink" Target="http://www.sec.gov/Archives/edgar/data/1411685/000141588911000362/ex10-22.htm" TargetMode="External"/><Relationship Id="rId40" Type="http://schemas.openxmlformats.org/officeDocument/2006/relationships/hyperlink" Target="http://www.sec.gov/Archives/edgar/data/1411685/000141588911000362/ex10-23.htm" TargetMode="External"/><Relationship Id="rId41" Type="http://schemas.openxmlformats.org/officeDocument/2006/relationships/hyperlink" Target="http://www.sec.gov/Archives/edgar/data/1411685/000141588911000362/ex10-24.htm" TargetMode="External"/><Relationship Id="rId42" Type="http://schemas.openxmlformats.org/officeDocument/2006/relationships/hyperlink" Target="http://www.sec.gov/Archives/edgar/data/1411685/000141588911000362/ex10-26.htm" TargetMode="External"/><Relationship Id="rId43" Type="http://schemas.openxmlformats.org/officeDocument/2006/relationships/hyperlink" Target="http://www.sec.gov/Archives/edgar/data/1411685/000141588911000362/ex10-31.htm" TargetMode="External"/><Relationship Id="rId44" Type="http://schemas.openxmlformats.org/officeDocument/2006/relationships/hyperlink" Target="http://www.sec.gov/Archives/edgar/data/1411685/000141588911000362/ex10-32.htm" TargetMode="External"/><Relationship Id="rId45" Type="http://schemas.openxmlformats.org/officeDocument/2006/relationships/hyperlink" Target="http://www.sec.gov/Archives/edgar/data/1411685/000141588911000362/ex10-34.htm" TargetMode="External"/><Relationship Id="rId46" Type="http://schemas.openxmlformats.org/officeDocument/2006/relationships/hyperlink" Target="http://www.sec.gov/Archives/edgar/data/1411685/000141588911000362/ex10-40.htm" TargetMode="External"/><Relationship Id="rId47" Type="http://schemas.openxmlformats.org/officeDocument/2006/relationships/hyperlink" Target="http://www.sec.gov/Archives/edgar/data/1411685/000141588911000362/ex10-41.htm" TargetMode="External"/><Relationship Id="rId48" Type="http://schemas.openxmlformats.org/officeDocument/2006/relationships/hyperlink" Target="http://www.sec.gov/Archives/edgar/data/1411685/000141588911001425/ex10-46.htm" TargetMode="External"/><Relationship Id="rId49" Type="http://schemas.openxmlformats.org/officeDocument/2006/relationships/hyperlink" Target="http://www.sec.gov/Archives/edgar/data/1411685/000141588911001425/ex10-47.htm" TargetMode="External"/><Relationship Id="rId50" Type="http://schemas.openxmlformats.org/officeDocument/2006/relationships/hyperlink" Target="http://www.sec.gov/Archives/edgar/data/1411685/000141588911001342/ex10-11302011_101125.htm" TargetMode="External"/><Relationship Id="rId51" Type="http://schemas.openxmlformats.org/officeDocument/2006/relationships/hyperlink" Target="http://www.sec.gov/Archives/edgar/data/1411685/000141588911001342/ex10-11302011_101124.htm" TargetMode="External"/><Relationship Id="rId52" Type="http://schemas.openxmlformats.org/officeDocument/2006/relationships/hyperlink" Target="http://www.sec.gov/Archives/edgar/data/1411685/000141588911001366/ex10-12072011_111202.htm" TargetMode="External"/><Relationship Id="rId53" Type="http://schemas.openxmlformats.org/officeDocument/2006/relationships/hyperlink" Target="http://www.sec.gov/Archives/edgar/data/1411685/000141588911001446/ex10-12232011_081212.htm" TargetMode="External"/><Relationship Id="rId54" Type="http://schemas.openxmlformats.org/officeDocument/2006/relationships/hyperlink" Target="http://www.sec.gov/Archives/edgar/data/1411685/000141588912000002/ex10-01042012_090138.htm" TargetMode="External"/><Relationship Id="rId55" Type="http://schemas.openxmlformats.org/officeDocument/2006/relationships/hyperlink" Target="http://www.sec.gov/Archives/edgar/data/1411685/000141588912000308/ex10-03022012_120304.htm" TargetMode="External"/><Relationship Id="rId56" Type="http://schemas.openxmlformats.org/officeDocument/2006/relationships/hyperlink" Target="http://www.sec.gov/Archives/edgar/data/1411685/000141588912000973/ex10-57.htm" TargetMode="External"/><Relationship Id="rId57" Type="http://schemas.openxmlformats.org/officeDocument/2006/relationships/hyperlink" Target="http://www.sec.gov/Archives/edgar/data/1411685/000141588912000973/ex10-58.htm" TargetMode="External"/><Relationship Id="rId58" Type="http://schemas.openxmlformats.org/officeDocument/2006/relationships/hyperlink" Target="http://www.sec.gov/Archives/edgar/data/1411685/000141588912001350/ex10-09062012_070955.htm" TargetMode="External"/><Relationship Id="rId59" Type="http://schemas.openxmlformats.org/officeDocument/2006/relationships/hyperlink" Target="http://www.sec.gov/Archives/edgar/data/1411685/000141588912001350/ex10-09062012_070913.htm" TargetMode="External"/><Relationship Id="rId60" Type="http://schemas.openxmlformats.org/officeDocument/2006/relationships/hyperlink" Target="http://www.sec.gov/Archives/edgar/data/1411685/000141588912001350/ex10-09062012_070914.htm" TargetMode="External"/><Relationship Id="rId61" Type="http://schemas.openxmlformats.org/officeDocument/2006/relationships/hyperlink" Target="http://www.sec.gov/Archives/edgar/data/1411685/000141588912001350/ex10-09062012_070916.htm" TargetMode="External"/><Relationship Id="rId62" Type="http://schemas.openxmlformats.org/officeDocument/2006/relationships/hyperlink" Target="http://www.sec.gov/Archives/edgar/data/1411685/000141588912001496/ex10-1.htm" TargetMode="External"/><Relationship Id="rId63" Type="http://schemas.openxmlformats.org/officeDocument/2006/relationships/hyperlink" Target="http://www.sec.gov/Archives/edgar/data/1411685/000141588912001496/ex10-2.htm" TargetMode="External"/><Relationship Id="rId64" Type="http://schemas.openxmlformats.org/officeDocument/2006/relationships/hyperlink" Target="http://www.sec.gov/Archives/edgar/data/1411685/000141588912001496/ex10-3.htm" TargetMode="External"/><Relationship Id="rId65" Type="http://schemas.openxmlformats.org/officeDocument/2006/relationships/hyperlink" Target="http://www.sec.gov/Archives/edgar/data/1411685/000141588912001496/ex10-4.htm" TargetMode="External"/><Relationship Id="rId66" Type="http://schemas.openxmlformats.org/officeDocument/2006/relationships/hyperlink" Target="http://www.sec.gov/Archives/edgar/data/1411685/000141588912001496/ex10-5.htm" TargetMode="External"/><Relationship Id="rId67" Type="http://schemas.openxmlformats.org/officeDocument/2006/relationships/hyperlink" Target="http://www.sec.gov/Archives/edgar/data/1411685/000141588912001496/ex10-6.htm" TargetMode="External"/><Relationship Id="rId68" Type="http://schemas.openxmlformats.org/officeDocument/2006/relationships/hyperlink" Target="http://www.sec.gov/Archives/edgar/data/1411685/000141588912001749/ex10-11202012_021125.htm" TargetMode="External"/><Relationship Id="rId69" Type="http://schemas.openxmlformats.org/officeDocument/2006/relationships/hyperlink" Target="http://www.sec.gov/Archives/edgar/data/1411685/000141588913000263/npeaamend.htm" TargetMode="External"/><Relationship Id="rId70" Type="http://schemas.openxmlformats.org/officeDocument/2006/relationships/hyperlink" Target="http://www.sec.gov/Archives/edgar/data/1411685/000141588913000316/ex10-02282013_010201.htm" TargetMode="External"/><Relationship Id="rId71" Type="http://schemas.openxmlformats.org/officeDocument/2006/relationships/hyperlink" Target="http://www.sec.gov/Archives/edgar/data/1411685/000141588913000363/ex10-03062013_040313.htm" TargetMode="External"/><Relationship Id="rId72" Type="http://schemas.openxmlformats.org/officeDocument/2006/relationships/hyperlink" Target="http://www.sec.gov/Archives/edgar/data/1411685/000141588913000713/ex10-3.htm" TargetMode="External"/><Relationship Id="rId73" Type="http://schemas.openxmlformats.org/officeDocument/2006/relationships/hyperlink" Target="http://www.sec.gov/Archives/edgar/data/1411685/000141588913001409/leasebaysidevistagen.htm" TargetMode="External"/><Relationship Id="rId74" Type="http://schemas.openxmlformats.org/officeDocument/2006/relationships/hyperlink" Target="http://www.sec.gov/Archives/edgar/data/1411685/000141588913001409/saxeindemnification.htm" TargetMode="External"/><Relationship Id="rId75" Type="http://schemas.openxmlformats.org/officeDocument/2006/relationships/hyperlink" Target="http://www.sec.gov/Archives/edgar/data/1411685/000141588913001409/singhindemnification.htm" TargetMode="External"/><Relationship Id="rId76" Type="http://schemas.openxmlformats.org/officeDocument/2006/relationships/hyperlink" Target="http://www.sec.gov/Archives/edgar/data/1411685/000141588913001409/snodgrassindemnification.htm" TargetMode="External"/><Relationship Id="rId77" Type="http://schemas.openxmlformats.org/officeDocument/2006/relationships/hyperlink" Target="http://www.sec.gov/Archives/edgar/data/1411685/000141588913001409/underdownindemnification.htm" TargetMode="External"/><Relationship Id="rId78" Type="http://schemas.openxmlformats.org/officeDocument/2006/relationships/hyperlink" Target="http://www.sec.gov/Archives/edgar/data/1411685/000141588913001409/dotsonindemnification.htm" TargetMode="External"/><Relationship Id="rId79" Type="http://schemas.openxmlformats.org/officeDocument/2006/relationships/hyperlink" Target="http://www.sec.gov/Archives/edgar/data/1411685/000141588913001098/ex10-06032013_090647.htm" TargetMode="External"/><Relationship Id="rId80" Type="http://schemas.openxmlformats.org/officeDocument/2006/relationships/hyperlink" Target="http://www.sec.gov/Archives/edgar/data/1411685/000141588913001280/ex10-1.htm" TargetMode="External"/><Relationship Id="rId81" Type="http://schemas.openxmlformats.org/officeDocument/2006/relationships/hyperlink" Target="http://www.sec.gov/Archives/edgar/data/1411685/000141588913001485/note.htm" TargetMode="External"/><Relationship Id="rId82" Type="http://schemas.openxmlformats.org/officeDocument/2006/relationships/hyperlink" Target="http://www.sec.gov/Archives/edgar/data/1411685/000141588913001485/warrant.htm" TargetMode="External"/><Relationship Id="rId83" Type="http://schemas.openxmlformats.org/officeDocument/2006/relationships/hyperlink" Target="http://www.sec.gov/Archives/edgar/data/1411685/000141588914001957/ex10-93.htm" TargetMode="External"/><Relationship Id="rId84" Type="http://schemas.openxmlformats.org/officeDocument/2006/relationships/hyperlink" Target="http://www.sec.gov/Archives/edgar/data/1411685/000141588914001957/ex10-94.htm" TargetMode="External"/><Relationship Id="rId85" Type="http://schemas.openxmlformats.org/officeDocument/2006/relationships/hyperlink" Target="http://www.sec.gov/Archives/edgar/data/1411685/000141588914001957/ex10-95.htm" TargetMode="External"/><Relationship Id="rId86" Type="http://schemas.openxmlformats.org/officeDocument/2006/relationships/hyperlink" Target="http://www.sec.gov/Archives/edgar/data/1411685/000141588914001957/ex10-96.htm" TargetMode="External"/><Relationship Id="rId87" Type="http://schemas.openxmlformats.org/officeDocument/2006/relationships/hyperlink" Target="http://www.sec.gov/Archives/edgar/data/1411685/000141588914001143/ex10-1.htm" TargetMode="External"/><Relationship Id="rId88" Type="http://schemas.openxmlformats.org/officeDocument/2006/relationships/hyperlink" Target="http://www.sec.gov/Archives/edgar/data/1411685/000141588914001143/ex10-2.htm" TargetMode="External"/><Relationship Id="rId89" Type="http://schemas.openxmlformats.org/officeDocument/2006/relationships/hyperlink" Target="http://www.sec.gov/Archives/edgar/data/1411685/000141588914001143/ex10-3.htm" TargetMode="External"/><Relationship Id="rId90" Type="http://schemas.openxmlformats.org/officeDocument/2006/relationships/hyperlink" Target="http://www.sec.gov/Archives/edgar/data/1411685/000141588914001580/ex10-%2005192014_020546.htm" TargetMode="External"/><Relationship Id="rId91" Type="http://schemas.openxmlformats.org/officeDocument/2006/relationships/hyperlink" Target="http://www.sec.gov/Archives/edgar/data/1411685/000141588914001580/ex10-05192014_020547.htm" TargetMode="External"/><Relationship Id="rId92" Type="http://schemas.openxmlformats.org/officeDocument/2006/relationships/hyperlink" Target="http://www.sec.gov/Archives/edgar/data/1411685/000141588914001957/ex10-102b.htm" TargetMode="External"/><Relationship Id="rId93" Type="http://schemas.openxmlformats.org/officeDocument/2006/relationships/hyperlink" Target="http://www.sec.gov/Archives/edgar/data/1411685/000141588914001957/ex10-103.htm" TargetMode="External"/><Relationship Id="rId94" Type="http://schemas.openxmlformats.org/officeDocument/2006/relationships/hyperlink" Target="http://www.sec.gov/Archives/edgar/data/1411685/000141588914001957/ex10-104.htm" TargetMode="External"/><Relationship Id="rId95" Type="http://schemas.openxmlformats.org/officeDocument/2006/relationships/hyperlink" Target="http://www.sec.gov/Archives/edgar/data/1411685/000141588914002187/ex10-1.htm" TargetMode="External"/><Relationship Id="rId96" Type="http://schemas.openxmlformats.org/officeDocument/2006/relationships/hyperlink" Target="http://www.sec.gov/Archives/edgar/data/1411685/000141588914002689/ex10_1.htm" TargetMode="External"/><Relationship Id="rId97" Type="http://schemas.openxmlformats.org/officeDocument/2006/relationships/hyperlink" Target="http://www.sec.gov/Archives/edgar/data/1411685/000141588914002997/ex10-1.htm" TargetMode="External"/><Relationship Id="rId98" Type="http://schemas.openxmlformats.org/officeDocument/2006/relationships/hyperlink" Target="http://www.sec.gov/Archives/edgar/data/1411685/000141588915001677/ex10-1.htm" TargetMode="External"/><Relationship Id="rId99" Type="http://schemas.openxmlformats.org/officeDocument/2006/relationships/hyperlink" Target="http://www.sec.gov/Archives/edgar/data/1411685/000141588915001677/ex10-2.htm" TargetMode="External"/><Relationship Id="rId100" Type="http://schemas.openxmlformats.org/officeDocument/2006/relationships/hyperlink" Target="http://www.sec.gov/Archives/edgar/data/1411685/000141588915001677/ex10-3.htm" TargetMode="External"/><Relationship Id="rId101" Type="http://schemas.openxmlformats.org/officeDocument/2006/relationships/hyperlink" Target="http://www.sec.gov/Archives/edgar/data/1411685/000141588916004564/ex10-01292016_020122.htm" TargetMode="External"/><Relationship Id="rId102" Type="http://schemas.openxmlformats.org/officeDocument/2006/relationships/hyperlink" Target="http://www.sec.gov/Archives/edgar/data/1411685/000141588916006331/ex10-112.htm" TargetMode="External"/><Relationship Id="rId103" Type="http://schemas.openxmlformats.org/officeDocument/2006/relationships/hyperlink" Target="http://www.sec.gov/Archives/edgar/data/1411685/000141588916005945/ex1-1.htm" TargetMode="External"/><Relationship Id="rId104" Type="http://schemas.openxmlformats.org/officeDocument/2006/relationships/hyperlink" Target="http://www.sec.gov/Archives/edgar/data/1411685/000141588916005945/ex4-1.htm" TargetMode="External"/><Relationship Id="rId105" Type="http://schemas.openxmlformats.org/officeDocument/2006/relationships/hyperlink" Target="http://www.sec.gov/Archives/edgar/data/1411685/000141588916005945/ex4-2.htm" TargetMode="External"/><Relationship Id="rId106" Type="http://schemas.openxmlformats.org/officeDocument/2006/relationships/hyperlink" Target="http://www.sec.gov/Archives/edgar/data/1411685/000141588916006331/ex10-116.htm" TargetMode="External"/><Relationship Id="rId107" Type="http://schemas.openxmlformats.org/officeDocument/2006/relationships/hyperlink" Target="http://www.sec.gov/Archives/edgar/data/1411685/000141588916006331/ex10-117.htm" TargetMode="External"/><Relationship Id="rId108" Type="http://schemas.openxmlformats.org/officeDocument/2006/relationships/hyperlink" Target="http://www.sec.gov/Archives/edgar/data/1411685/000141588916007413/ex10-1.htm" TargetMode="External"/><Relationship Id="rId109" Type="http://schemas.openxmlformats.org/officeDocument/2006/relationships/hyperlink" Target="http://www.sec.gov/Archives/edgar/data/1411685/000141588916007413/ex10-2.htm" TargetMode="External"/><Relationship Id="rId110" Type="http://schemas.openxmlformats.org/officeDocument/2006/relationships/hyperlink" Target="http://www.sec.gov/Archives/edgar/data/1411685/000165495417004468/ex10-1.htm" TargetMode="External"/><Relationship Id="rId111" Type="http://schemas.openxmlformats.org/officeDocument/2006/relationships/hyperlink" Target="http://www.sec.gov/Archives/edgar/data/1411685/000165495417003815/ex10-2.htm" TargetMode="External"/><Relationship Id="rId112" Type="http://schemas.openxmlformats.org/officeDocument/2006/relationships/hyperlink" Target="http://www.sec.gov/Archives/edgar/data/1411685/000165495417005976/ex10-122.htm" TargetMode="External"/><Relationship Id="rId113" Type="http://schemas.openxmlformats.org/officeDocument/2006/relationships/hyperlink" Target="http://www.sec.gov/Archives/edgar/data/1411685/000165495417008025/vsta_ex11.htm" TargetMode="External"/><Relationship Id="rId114" Type="http://schemas.openxmlformats.org/officeDocument/2006/relationships/hyperlink" Target="http://www.sec.gov/Archives/edgar/data/1411685/000165495417008025/ex4-1.htm" TargetMode="External"/><Relationship Id="rId115" Type="http://schemas.openxmlformats.org/officeDocument/2006/relationships/hyperlink" Target="http://www.sec.gov/Archives/edgar/data/1411685/000165495417008025/ex4-2.htm" TargetMode="External"/><Relationship Id="rId116" Type="http://schemas.openxmlformats.org/officeDocument/2006/relationships/hyperlink" Target="http://www.sec.gov/Archives/edgar/data/1411685/000141588911000362/ex21-1.htm" TargetMode="External"/><Relationship Id="rId117" Type="http://schemas.openxmlformats.org/officeDocument/2006/relationships/hyperlink" Target="http://www.sec.gov/Archives/edgar/data/1411685/000165495417011402/ex23-2.htm" TargetMode="External"/><Relationship Id="rId118" Type="http://schemas.openxmlformats.org/officeDocument/2006/relationships/hyperlink" Target="http://www.sec.gov/Archives/edgar/data/1411685/000165495417009530/vtgns1_oct20170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2020-01-19T01:14:18Z</dcterms:created>
  <dcterms:modified xsi:type="dcterms:W3CDTF">2020-01-19T01:14:18Z</dcterms:modified>
</cp:coreProperties>
</file>