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09" w:lineRule="exact"/>
        <w:rPr>
          <w:sz w:val="24"/>
          <w:szCs w:val="24"/>
          <w:color w:val="auto"/>
        </w:rPr>
      </w:pPr>
    </w:p>
    <w:p>
      <w:pPr>
        <w:jc w:val="center"/>
        <w:ind w:left="2900"/>
        <w:spacing w:after="0"/>
        <w:rPr>
          <w:sz w:val="20"/>
          <w:szCs w:val="20"/>
          <w:color w:val="auto"/>
        </w:rPr>
      </w:pPr>
      <w:r>
        <w:rPr>
          <w:rFonts w:ascii="Arial" w:cs="Arial" w:eastAsia="Arial" w:hAnsi="Arial"/>
          <w:sz w:val="22"/>
          <w:szCs w:val="22"/>
          <w:b w:val="1"/>
          <w:bCs w:val="1"/>
          <w:color w:val="auto"/>
        </w:rPr>
        <w:t>UNITED STATES</w:t>
      </w:r>
    </w:p>
    <w:p>
      <w:pPr>
        <w:spacing w:after="0" w:line="14" w:lineRule="exact"/>
        <w:rPr>
          <w:sz w:val="24"/>
          <w:szCs w:val="24"/>
          <w:color w:val="auto"/>
        </w:rPr>
      </w:pPr>
    </w:p>
    <w:p>
      <w:pPr>
        <w:jc w:val="center"/>
        <w:ind w:left="2900"/>
        <w:spacing w:after="0"/>
        <w:rPr>
          <w:sz w:val="20"/>
          <w:szCs w:val="20"/>
          <w:color w:val="auto"/>
        </w:rPr>
      </w:pPr>
      <w:r>
        <w:rPr>
          <w:rFonts w:ascii="Arial" w:cs="Arial" w:eastAsia="Arial" w:hAnsi="Arial"/>
          <w:sz w:val="21"/>
          <w:szCs w:val="21"/>
          <w:b w:val="1"/>
          <w:bCs w:val="1"/>
          <w:color w:val="auto"/>
        </w:rPr>
        <w:t>SECURITIES AND EXCHANGE COMMISSION</w:t>
      </w:r>
    </w:p>
    <w:p>
      <w:pPr>
        <w:spacing w:after="0" w:line="2" w:lineRule="exact"/>
        <w:rPr>
          <w:sz w:val="24"/>
          <w:szCs w:val="24"/>
          <w:color w:val="auto"/>
        </w:rPr>
      </w:pPr>
    </w:p>
    <w:p>
      <w:pPr>
        <w:jc w:val="center"/>
        <w:ind w:left="2900"/>
        <w:spacing w:after="0"/>
        <w:rPr>
          <w:sz w:val="20"/>
          <w:szCs w:val="20"/>
          <w:color w:val="auto"/>
        </w:rPr>
      </w:pPr>
      <w:r>
        <w:rPr>
          <w:rFonts w:ascii="Arial" w:cs="Arial" w:eastAsia="Arial" w:hAnsi="Arial"/>
          <w:sz w:val="22"/>
          <w:szCs w:val="22"/>
          <w:b w:val="1"/>
          <w:bCs w:val="1"/>
          <w:color w:val="auto"/>
        </w:rPr>
        <w:t>Washington, D.C. 20549</w:t>
      </w:r>
    </w:p>
    <w:p>
      <w:pPr>
        <w:spacing w:after="0" w:line="187" w:lineRule="exact"/>
        <w:rPr>
          <w:sz w:val="24"/>
          <w:szCs w:val="24"/>
          <w:color w:val="auto"/>
        </w:rPr>
      </w:pPr>
    </w:p>
    <w:p>
      <w:pPr>
        <w:jc w:val="center"/>
        <w:ind w:left="2900"/>
        <w:spacing w:after="0"/>
        <w:rPr>
          <w:sz w:val="20"/>
          <w:szCs w:val="20"/>
          <w:color w:val="auto"/>
        </w:rPr>
      </w:pPr>
      <w:r>
        <w:rPr>
          <w:rFonts w:ascii="Arial" w:cs="Arial" w:eastAsia="Arial" w:hAnsi="Arial"/>
          <w:sz w:val="25"/>
          <w:szCs w:val="25"/>
          <w:b w:val="1"/>
          <w:bCs w:val="1"/>
          <w:color w:val="auto"/>
        </w:rPr>
        <w:t>FORM 12b-25</w:t>
      </w:r>
    </w:p>
    <w:p>
      <w:pPr>
        <w:spacing w:after="0" w:line="221" w:lineRule="exact"/>
        <w:rPr>
          <w:sz w:val="24"/>
          <w:szCs w:val="24"/>
          <w:color w:val="auto"/>
        </w:rPr>
      </w:pPr>
    </w:p>
    <w:p>
      <w:pPr>
        <w:ind w:left="4000"/>
        <w:spacing w:after="0"/>
        <w:rPr>
          <w:sz w:val="20"/>
          <w:szCs w:val="20"/>
          <w:color w:val="auto"/>
        </w:rPr>
      </w:pPr>
      <w:r>
        <w:rPr>
          <w:rFonts w:ascii="Arial" w:cs="Arial" w:eastAsia="Arial" w:hAnsi="Arial"/>
          <w:sz w:val="22"/>
          <w:szCs w:val="22"/>
          <w:b w:val="1"/>
          <w:bCs w:val="1"/>
          <w:color w:val="auto"/>
        </w:rPr>
        <w:t>NOTIFICATION OF LATE FILING</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ind w:left="380"/>
        <w:spacing w:after="0"/>
        <w:rPr>
          <w:sz w:val="20"/>
          <w:szCs w:val="20"/>
          <w:color w:val="auto"/>
        </w:rPr>
      </w:pPr>
      <w:r>
        <w:rPr>
          <w:rFonts w:ascii="Arial" w:cs="Arial" w:eastAsia="Arial" w:hAnsi="Arial"/>
          <w:sz w:val="18"/>
          <w:szCs w:val="18"/>
          <w:color w:val="auto"/>
        </w:rPr>
        <w:t>OMB APPROVAL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-43180</wp:posOffset>
            </wp:positionH>
            <wp:positionV relativeFrom="paragraph">
              <wp:posOffset>-130175</wp:posOffset>
            </wp:positionV>
            <wp:extent cx="1440815" cy="7118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0815" cy="711835"/>
                    </a:xfrm>
                    <a:prstGeom prst="rect">
                      <a:avLst/>
                    </a:prstGeom>
                    <a:noFill/>
                  </pic:spPr>
                </pic:pic>
              </a:graphicData>
            </a:graphic>
          </wp:anchor>
        </w:drawing>
      </w:r>
    </w:p>
    <w:p>
      <w:pPr>
        <w:spacing w:after="0" w:line="3" w:lineRule="exact"/>
        <w:rPr>
          <w:sz w:val="24"/>
          <w:szCs w:val="24"/>
          <w:color w:val="auto"/>
        </w:rPr>
      </w:pPr>
    </w:p>
    <w:p>
      <w:pPr>
        <w:jc w:val="both"/>
        <w:ind w:right="260"/>
        <w:spacing w:after="0" w:line="301" w:lineRule="auto"/>
        <w:rPr>
          <w:sz w:val="20"/>
          <w:szCs w:val="20"/>
          <w:color w:val="auto"/>
        </w:rPr>
      </w:pPr>
      <w:r>
        <w:rPr>
          <w:rFonts w:ascii="Arial" w:cs="Arial" w:eastAsia="Arial" w:hAnsi="Arial"/>
          <w:sz w:val="16"/>
          <w:szCs w:val="16"/>
          <w:color w:val="auto"/>
        </w:rPr>
        <w:t>OMB Number: 3235-0058 Expires: October 31, 2018 Estimated average burden hours per response ... 2.50</w:t>
      </w:r>
    </w:p>
    <w:p>
      <w:pPr>
        <w:spacing w:after="0" w:line="22" w:lineRule="exact"/>
        <w:rPr>
          <w:sz w:val="24"/>
          <w:szCs w:val="24"/>
          <w:color w:val="auto"/>
        </w:rPr>
      </w:pPr>
    </w:p>
    <w:p>
      <w:pPr>
        <w:ind w:right="340" w:firstLine="282"/>
        <w:spacing w:after="0" w:line="277" w:lineRule="auto"/>
        <w:rPr>
          <w:sz w:val="20"/>
          <w:szCs w:val="20"/>
          <w:color w:val="auto"/>
        </w:rPr>
      </w:pPr>
      <w:r>
        <w:rPr>
          <w:rFonts w:ascii="Arial" w:cs="Arial" w:eastAsia="Arial" w:hAnsi="Arial"/>
          <w:sz w:val="18"/>
          <w:szCs w:val="18"/>
          <w:color w:val="auto"/>
        </w:rPr>
        <w:t>SEC FILE NUMBER 000-54014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-43180</wp:posOffset>
            </wp:positionH>
            <wp:positionV relativeFrom="paragraph">
              <wp:posOffset>-302260</wp:posOffset>
            </wp:positionV>
            <wp:extent cx="1440815" cy="2914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40815" cy="291465"/>
                    </a:xfrm>
                    <a:prstGeom prst="rect">
                      <a:avLst/>
                    </a:prstGeom>
                    <a:noFill/>
                  </pic:spPr>
                </pic:pic>
              </a:graphicData>
            </a:graphic>
          </wp:anchor>
        </w:drawing>
      </w:r>
    </w:p>
    <w:p>
      <w:pPr>
        <w:spacing w:after="0" w:line="2" w:lineRule="exact"/>
        <w:rPr>
          <w:sz w:val="24"/>
          <w:szCs w:val="24"/>
          <w:color w:val="auto"/>
        </w:rPr>
      </w:pPr>
    </w:p>
    <w:p>
      <w:pPr>
        <w:ind w:left="400"/>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-43180</wp:posOffset>
            </wp:positionH>
            <wp:positionV relativeFrom="paragraph">
              <wp:posOffset>-130175</wp:posOffset>
            </wp:positionV>
            <wp:extent cx="1440815" cy="2914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0815" cy="291465"/>
                    </a:xfrm>
                    <a:prstGeom prst="rect">
                      <a:avLst/>
                    </a:prstGeom>
                    <a:noFill/>
                  </pic:spPr>
                </pic:pic>
              </a:graphicData>
            </a:graphic>
          </wp:anchor>
        </w:drawing>
      </w:r>
    </w:p>
    <w:p>
      <w:pPr>
        <w:spacing w:after="0" w:line="286" w:lineRule="exact"/>
        <w:rPr>
          <w:sz w:val="24"/>
          <w:szCs w:val="24"/>
          <w:color w:val="auto"/>
        </w:rPr>
      </w:pPr>
    </w:p>
    <w:p>
      <w:pPr>
        <w:sectPr>
          <w:pgSz w:w="11900" w:h="16891" w:orient="portrait"/>
          <w:cols w:equalWidth="0" w:num="2">
            <w:col w:w="8500" w:space="720"/>
            <w:col w:w="2180"/>
          </w:cols>
          <w:pgMar w:left="240" w:top="463" w:right="259" w:bottom="0" w:gutter="0" w:footer="0" w:header="0"/>
        </w:sectPr>
      </w:pPr>
    </w:p>
    <w:p>
      <w:pPr>
        <w:spacing w:after="0" w:line="200" w:lineRule="exact"/>
        <w:rPr>
          <w:sz w:val="24"/>
          <w:szCs w:val="24"/>
          <w:color w:val="auto"/>
        </w:rPr>
      </w:pPr>
    </w:p>
    <w:p>
      <w:pPr>
        <w:spacing w:after="0" w:line="251" w:lineRule="exact"/>
        <w:rPr>
          <w:sz w:val="24"/>
          <w:szCs w:val="24"/>
          <w:color w:val="auto"/>
        </w:rPr>
      </w:pPr>
    </w:p>
    <w:p>
      <w:pPr>
        <w:spacing w:after="0"/>
        <w:tabs>
          <w:tab w:leader="none" w:pos="1360" w:val="left"/>
          <w:tab w:leader="none" w:pos="2600" w:val="left"/>
          <w:tab w:leader="none" w:pos="3800" w:val="left"/>
          <w:tab w:leader="none" w:pos="5040" w:val="left"/>
          <w:tab w:leader="none" w:pos="6320" w:val="left"/>
          <w:tab w:leader="none" w:pos="7560" w:val="left"/>
          <w:tab w:leader="none" w:pos="8940" w:val="left"/>
        </w:tabs>
        <w:rPr>
          <w:sz w:val="20"/>
          <w:szCs w:val="20"/>
          <w:color w:val="auto"/>
        </w:rPr>
      </w:pPr>
      <w:r>
        <w:rPr>
          <w:rFonts w:ascii="Arial" w:cs="Arial" w:eastAsia="Arial" w:hAnsi="Arial"/>
          <w:sz w:val="18"/>
          <w:szCs w:val="18"/>
          <w:i w:val="1"/>
          <w:iCs w:val="1"/>
          <w:color w:val="auto"/>
        </w:rPr>
        <w:t>(Check one):</w:t>
      </w:r>
      <w:r>
        <w:rPr>
          <w:sz w:val="20"/>
          <w:szCs w:val="20"/>
          <w:color w:val="auto"/>
        </w:rPr>
        <w:tab/>
      </w:r>
      <w:r>
        <w:rPr>
          <w:rFonts w:ascii="Arial" w:cs="Arial" w:eastAsia="Arial" w:hAnsi="Arial"/>
          <w:sz w:val="16"/>
          <w:szCs w:val="16"/>
          <w:color w:val="auto"/>
        </w:rPr>
        <w:t>[  ] Form 10-K</w:t>
        <w:tab/>
        <w:t>[  ] Form 20-F</w:t>
        <w:tab/>
        <w:t>[  ] Form 11-K</w:t>
        <w:tab/>
        <w:t>[ x ] Form 10-Q</w:t>
        <w:tab/>
        <w:t>[  ] Form 10-D</w:t>
        <w:tab/>
        <w:t>[  ] Form N-SAR</w:t>
        <w:tab/>
        <w:t>[  ] Form N-CSR</w:t>
      </w:r>
    </w:p>
    <w:p>
      <w:pPr>
        <w:spacing w:after="0" w:line="135" w:lineRule="exact"/>
        <w:rPr>
          <w:sz w:val="24"/>
          <w:szCs w:val="24"/>
          <w:color w:val="auto"/>
        </w:rPr>
      </w:pPr>
    </w:p>
    <w:p>
      <w:pPr>
        <w:ind w:left="1380"/>
        <w:spacing w:after="0"/>
        <w:tabs>
          <w:tab w:leader="none" w:pos="2780" w:val="left"/>
        </w:tabs>
        <w:rPr>
          <w:sz w:val="20"/>
          <w:szCs w:val="20"/>
          <w:color w:val="auto"/>
        </w:rPr>
      </w:pPr>
      <w:r>
        <w:rPr>
          <w:rFonts w:ascii="Arial" w:cs="Arial" w:eastAsia="Arial" w:hAnsi="Arial"/>
          <w:sz w:val="16"/>
          <w:szCs w:val="16"/>
          <w:color w:val="auto"/>
        </w:rPr>
        <w:t>For Period Ended:</w:t>
      </w:r>
      <w:r>
        <w:rPr>
          <w:sz w:val="20"/>
          <w:szCs w:val="20"/>
          <w:color w:val="auto"/>
        </w:rPr>
        <w:tab/>
      </w:r>
      <w:r>
        <w:rPr>
          <w:rFonts w:ascii="Arial" w:cs="Arial" w:eastAsia="Arial" w:hAnsi="Arial"/>
          <w:sz w:val="14"/>
          <w:szCs w:val="14"/>
          <w:color w:val="auto"/>
        </w:rPr>
        <w:t>September 30,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1680845</wp:posOffset>
            </wp:positionH>
            <wp:positionV relativeFrom="paragraph">
              <wp:posOffset>-6985</wp:posOffset>
            </wp:positionV>
            <wp:extent cx="10318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1875" cy="8890"/>
                    </a:xfrm>
                    <a:prstGeom prst="rect">
                      <a:avLst/>
                    </a:prstGeom>
                    <a:noFill/>
                  </pic:spPr>
                </pic:pic>
              </a:graphicData>
            </a:graphic>
          </wp:anchor>
        </w:drawing>
      </w:r>
    </w:p>
    <w:p>
      <w:pPr>
        <w:spacing w:after="0" w:line="269" w:lineRule="exact"/>
        <w:rPr>
          <w:sz w:val="24"/>
          <w:szCs w:val="24"/>
          <w:color w:val="auto"/>
        </w:rPr>
      </w:pPr>
    </w:p>
    <w:p>
      <w:pPr>
        <w:ind w:left="1560" w:hanging="183"/>
        <w:spacing w:after="0"/>
        <w:tabs>
          <w:tab w:leader="none" w:pos="1560" w:val="left"/>
        </w:tabs>
        <w:numPr>
          <w:ilvl w:val="0"/>
          <w:numId w:val="1"/>
        </w:numPr>
        <w:rPr>
          <w:rFonts w:ascii="Arial" w:cs="Arial" w:eastAsia="Arial" w:hAnsi="Arial"/>
          <w:sz w:val="16"/>
          <w:szCs w:val="16"/>
          <w:color w:val="auto"/>
        </w:rPr>
      </w:pPr>
      <w:r>
        <w:rPr>
          <w:rFonts w:ascii="Arial" w:cs="Arial" w:eastAsia="Arial" w:hAnsi="Arial"/>
          <w:sz w:val="16"/>
          <w:szCs w:val="16"/>
          <w:color w:val="auto"/>
        </w:rPr>
        <w:t>] Transition Report on Form 10-K</w:t>
      </w:r>
    </w:p>
    <w:p>
      <w:pPr>
        <w:spacing w:after="0" w:line="86" w:lineRule="exact"/>
        <w:rPr>
          <w:rFonts w:ascii="Arial" w:cs="Arial" w:eastAsia="Arial" w:hAnsi="Arial"/>
          <w:sz w:val="16"/>
          <w:szCs w:val="16"/>
          <w:color w:val="auto"/>
        </w:rPr>
      </w:pPr>
    </w:p>
    <w:p>
      <w:pPr>
        <w:ind w:left="1560" w:hanging="183"/>
        <w:spacing w:after="0"/>
        <w:tabs>
          <w:tab w:leader="none" w:pos="1560" w:val="left"/>
        </w:tabs>
        <w:numPr>
          <w:ilvl w:val="0"/>
          <w:numId w:val="1"/>
        </w:numPr>
        <w:rPr>
          <w:rFonts w:ascii="Arial" w:cs="Arial" w:eastAsia="Arial" w:hAnsi="Arial"/>
          <w:sz w:val="16"/>
          <w:szCs w:val="16"/>
          <w:color w:val="auto"/>
        </w:rPr>
      </w:pPr>
      <w:r>
        <w:rPr>
          <w:rFonts w:ascii="Arial" w:cs="Arial" w:eastAsia="Arial" w:hAnsi="Arial"/>
          <w:sz w:val="16"/>
          <w:szCs w:val="16"/>
          <w:color w:val="auto"/>
        </w:rPr>
        <w:t>] Transition Report on Form 20-F</w:t>
      </w:r>
    </w:p>
    <w:p>
      <w:pPr>
        <w:spacing w:after="0" w:line="86" w:lineRule="exact"/>
        <w:rPr>
          <w:rFonts w:ascii="Arial" w:cs="Arial" w:eastAsia="Arial" w:hAnsi="Arial"/>
          <w:sz w:val="16"/>
          <w:szCs w:val="16"/>
          <w:color w:val="auto"/>
        </w:rPr>
      </w:pPr>
    </w:p>
    <w:p>
      <w:pPr>
        <w:ind w:left="1560" w:hanging="183"/>
        <w:spacing w:after="0"/>
        <w:tabs>
          <w:tab w:leader="none" w:pos="1560" w:val="left"/>
        </w:tabs>
        <w:numPr>
          <w:ilvl w:val="0"/>
          <w:numId w:val="1"/>
        </w:numPr>
        <w:rPr>
          <w:rFonts w:ascii="Arial" w:cs="Arial" w:eastAsia="Arial" w:hAnsi="Arial"/>
          <w:sz w:val="16"/>
          <w:szCs w:val="16"/>
          <w:color w:val="auto"/>
        </w:rPr>
      </w:pPr>
      <w:r>
        <w:rPr>
          <w:rFonts w:ascii="Arial" w:cs="Arial" w:eastAsia="Arial" w:hAnsi="Arial"/>
          <w:sz w:val="16"/>
          <w:szCs w:val="16"/>
          <w:color w:val="auto"/>
        </w:rPr>
        <w:t>] Transition Report on Form 11-K</w:t>
      </w:r>
    </w:p>
    <w:p>
      <w:pPr>
        <w:spacing w:after="0" w:line="86" w:lineRule="exact"/>
        <w:rPr>
          <w:rFonts w:ascii="Arial" w:cs="Arial" w:eastAsia="Arial" w:hAnsi="Arial"/>
          <w:sz w:val="16"/>
          <w:szCs w:val="16"/>
          <w:color w:val="auto"/>
        </w:rPr>
      </w:pPr>
    </w:p>
    <w:p>
      <w:pPr>
        <w:ind w:left="1560" w:hanging="183"/>
        <w:spacing w:after="0"/>
        <w:tabs>
          <w:tab w:leader="none" w:pos="1560" w:val="left"/>
        </w:tabs>
        <w:numPr>
          <w:ilvl w:val="0"/>
          <w:numId w:val="1"/>
        </w:numPr>
        <w:rPr>
          <w:rFonts w:ascii="Arial" w:cs="Arial" w:eastAsia="Arial" w:hAnsi="Arial"/>
          <w:sz w:val="16"/>
          <w:szCs w:val="16"/>
          <w:color w:val="auto"/>
        </w:rPr>
      </w:pPr>
      <w:r>
        <w:rPr>
          <w:rFonts w:ascii="Arial" w:cs="Arial" w:eastAsia="Arial" w:hAnsi="Arial"/>
          <w:sz w:val="16"/>
          <w:szCs w:val="16"/>
          <w:color w:val="auto"/>
        </w:rPr>
        <w:t>] Transition Report on Form 10-Q</w:t>
      </w:r>
    </w:p>
    <w:p>
      <w:pPr>
        <w:spacing w:after="0" w:line="86" w:lineRule="exact"/>
        <w:rPr>
          <w:rFonts w:ascii="Arial" w:cs="Arial" w:eastAsia="Arial" w:hAnsi="Arial"/>
          <w:sz w:val="16"/>
          <w:szCs w:val="16"/>
          <w:color w:val="auto"/>
        </w:rPr>
      </w:pPr>
    </w:p>
    <w:p>
      <w:pPr>
        <w:ind w:left="1380" w:right="7440" w:hanging="3"/>
        <w:spacing w:after="0" w:line="516" w:lineRule="auto"/>
        <w:tabs>
          <w:tab w:leader="none" w:pos="1555" w:val="left"/>
        </w:tabs>
        <w:numPr>
          <w:ilvl w:val="0"/>
          <w:numId w:val="1"/>
        </w:numPr>
        <w:rPr>
          <w:rFonts w:ascii="Arial" w:cs="Arial" w:eastAsia="Arial" w:hAnsi="Arial"/>
          <w:sz w:val="15"/>
          <w:szCs w:val="15"/>
          <w:color w:val="auto"/>
        </w:rPr>
      </w:pPr>
      <w:r>
        <w:rPr>
          <w:rFonts w:ascii="Arial" w:cs="Arial" w:eastAsia="Arial" w:hAnsi="Arial"/>
          <w:sz w:val="15"/>
          <w:szCs w:val="15"/>
          <w:color w:val="auto"/>
        </w:rPr>
        <w:t>] Transition Report on Form N-SAR For the Transition Period 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184785</wp:posOffset>
            </wp:positionV>
            <wp:extent cx="7250430" cy="5702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570230"/>
                    </a:xfrm>
                    <a:prstGeom prst="rect">
                      <a:avLst/>
                    </a:prstGeom>
                    <a:noFill/>
                  </pic:spPr>
                </pic:pic>
              </a:graphicData>
            </a:graphic>
          </wp:anchor>
        </w:drawing>
        <w:drawing>
          <wp:anchor simplePos="0" relativeHeight="251657728" behindDoc="1" locked="0" layoutInCell="0" allowOverlap="1">
            <wp:simplePos x="0" y="0"/>
            <wp:positionH relativeFrom="column">
              <wp:posOffset>2251710</wp:posOffset>
            </wp:positionH>
            <wp:positionV relativeFrom="paragraph">
              <wp:posOffset>-146685</wp:posOffset>
            </wp:positionV>
            <wp:extent cx="7461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Read Instruction (on back page) Before Preparing Form. Please Print or Type.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Nothing in this form shall be construed to imply that the Commission has verified any information contained herein.</w:t>
      </w:r>
    </w:p>
    <w:p>
      <w:pPr>
        <w:spacing w:after="0" w:line="200" w:lineRule="exact"/>
        <w:rPr>
          <w:sz w:val="24"/>
          <w:szCs w:val="24"/>
          <w:color w:val="auto"/>
        </w:rPr>
      </w:pPr>
    </w:p>
    <w:p>
      <w:pPr>
        <w:spacing w:after="0" w:line="321" w:lineRule="exact"/>
        <w:rPr>
          <w:sz w:val="24"/>
          <w:szCs w:val="24"/>
          <w:color w:val="auto"/>
        </w:rPr>
      </w:pPr>
    </w:p>
    <w:p>
      <w:pPr>
        <w:spacing w:after="0"/>
        <w:rPr>
          <w:sz w:val="20"/>
          <w:szCs w:val="20"/>
          <w:color w:val="auto"/>
        </w:rPr>
      </w:pPr>
      <w:r>
        <w:rPr>
          <w:rFonts w:ascii="Arial" w:cs="Arial" w:eastAsia="Arial" w:hAnsi="Arial"/>
          <w:sz w:val="18"/>
          <w:szCs w:val="18"/>
          <w:color w:val="auto"/>
        </w:rPr>
        <w:t>If the notification relates to a portion of the filing checked above, identify the Item(s) to which the notification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4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PART I - REGISTRANT INFORMATION</w:t>
      </w:r>
    </w:p>
    <w:p>
      <w:pPr>
        <w:spacing w:after="0" w:line="283" w:lineRule="exact"/>
        <w:rPr>
          <w:sz w:val="24"/>
          <w:szCs w:val="24"/>
          <w:color w:val="auto"/>
        </w:rPr>
      </w:pPr>
    </w:p>
    <w:p>
      <w:pPr>
        <w:spacing w:after="0"/>
        <w:rPr>
          <w:sz w:val="20"/>
          <w:szCs w:val="20"/>
          <w:color w:val="auto"/>
        </w:rPr>
      </w:pPr>
      <w:r>
        <w:rPr>
          <w:rFonts w:ascii="Arial" w:cs="Arial" w:eastAsia="Arial" w:hAnsi="Arial"/>
          <w:sz w:val="18"/>
          <w:szCs w:val="18"/>
          <w:color w:val="auto"/>
        </w:rPr>
        <w:t>VistaGen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4"/>
          <w:szCs w:val="24"/>
          <w:color w:val="auto"/>
        </w:rPr>
      </w:pPr>
    </w:p>
    <w:p>
      <w:pPr>
        <w:spacing w:after="0"/>
        <w:rPr>
          <w:sz w:val="20"/>
          <w:szCs w:val="20"/>
          <w:color w:val="auto"/>
        </w:rPr>
      </w:pPr>
      <w:r>
        <w:rPr>
          <w:rFonts w:ascii="Arial" w:cs="Arial" w:eastAsia="Arial" w:hAnsi="Arial"/>
          <w:sz w:val="18"/>
          <w:szCs w:val="18"/>
          <w:color w:val="auto"/>
        </w:rPr>
        <w:t>Full Name of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7" w:lineRule="exact"/>
        <w:rPr>
          <w:sz w:val="24"/>
          <w:szCs w:val="24"/>
          <w:color w:val="auto"/>
        </w:rPr>
      </w:pPr>
    </w:p>
    <w:p>
      <w:pPr>
        <w:spacing w:after="0"/>
        <w:rPr>
          <w:sz w:val="20"/>
          <w:szCs w:val="20"/>
          <w:color w:val="auto"/>
        </w:rPr>
      </w:pPr>
      <w:r>
        <w:rPr>
          <w:rFonts w:ascii="Arial" w:cs="Arial" w:eastAsia="Arial" w:hAnsi="Arial"/>
          <w:sz w:val="18"/>
          <w:szCs w:val="18"/>
          <w:color w:val="auto"/>
        </w:rPr>
        <w:t>Former Name if Applicable</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343 Allerton Avenue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Address of Principal Executive Office </w:t>
      </w:r>
      <w:r>
        <w:rPr>
          <w:rFonts w:ascii="Arial" w:cs="Arial" w:eastAsia="Arial" w:hAnsi="Arial"/>
          <w:sz w:val="18"/>
          <w:szCs w:val="18"/>
          <w:i w:val="1"/>
          <w:iCs w:val="1"/>
          <w:color w:val="auto"/>
        </w:rPr>
        <w:t>(Street and Number)</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South San Francisco, California, 94080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4"/>
          <w:szCs w:val="24"/>
          <w:color w:val="auto"/>
        </w:rPr>
      </w:pPr>
    </w:p>
    <w:p>
      <w:pPr>
        <w:spacing w:after="0"/>
        <w:rPr>
          <w:sz w:val="20"/>
          <w:szCs w:val="20"/>
          <w:color w:val="auto"/>
        </w:rPr>
      </w:pPr>
      <w:r>
        <w:rPr>
          <w:rFonts w:ascii="Arial" w:cs="Arial" w:eastAsia="Arial" w:hAnsi="Arial"/>
          <w:sz w:val="18"/>
          <w:szCs w:val="18"/>
          <w:color w:val="auto"/>
        </w:rPr>
        <w:t>City, State and Zip Code</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PART II - RULES 12b-25(b) AND (c)</w:t>
      </w:r>
    </w:p>
    <w:p>
      <w:pPr>
        <w:spacing w:after="0" w:line="121"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180" w:lineRule="exact"/>
        <w:rPr>
          <w:sz w:val="24"/>
          <w:szCs w:val="24"/>
          <w:color w:val="auto"/>
        </w:rPr>
      </w:pPr>
    </w:p>
    <w:tbl>
      <w:tblPr>
        <w:tblLayout w:type="fixed"/>
        <w:tblInd w:w="220" w:type="dxa"/>
        <w:tblCellMar>
          <w:top w:w="0" w:type="dxa"/>
          <w:left w:w="0" w:type="dxa"/>
          <w:bottom w:w="0" w:type="dxa"/>
          <w:right w:w="0" w:type="dxa"/>
        </w:tblCellMar>
      </w:tblPr>
      <w:tr>
        <w:trPr>
          <w:trHeight w:val="207"/>
        </w:trPr>
        <w:tc>
          <w:tcPr>
            <w:tcW w:w="1640" w:type="dxa"/>
            <w:vAlign w:val="bottom"/>
            <w:tcBorders>
              <w:right w:val="single" w:sz="8" w:color="auto"/>
            </w:tcBorders>
          </w:tcPr>
          <w:p>
            <w:pPr>
              <w:spacing w:after="0"/>
              <w:rPr>
                <w:sz w:val="18"/>
                <w:szCs w:val="18"/>
                <w:color w:val="auto"/>
              </w:rPr>
            </w:pPr>
          </w:p>
        </w:tc>
        <w:tc>
          <w:tcPr>
            <w:tcW w:w="480" w:type="dxa"/>
            <w:vAlign w:val="bottom"/>
          </w:tcPr>
          <w:p>
            <w:pPr>
              <w:ind w:left="100"/>
              <w:spacing w:after="0"/>
              <w:rPr>
                <w:sz w:val="20"/>
                <w:szCs w:val="20"/>
                <w:color w:val="auto"/>
              </w:rPr>
            </w:pPr>
            <w:r>
              <w:rPr>
                <w:rFonts w:ascii="Arial" w:cs="Arial" w:eastAsia="Arial" w:hAnsi="Arial"/>
                <w:sz w:val="18"/>
                <w:szCs w:val="18"/>
                <w:color w:val="auto"/>
              </w:rPr>
              <w:t>(a)</w:t>
            </w:r>
          </w:p>
        </w:tc>
        <w:tc>
          <w:tcPr>
            <w:tcW w:w="8960" w:type="dxa"/>
            <w:vAlign w:val="bottom"/>
          </w:tcPr>
          <w:p>
            <w:pPr>
              <w:ind w:left="180"/>
              <w:spacing w:after="0"/>
              <w:rPr>
                <w:sz w:val="20"/>
                <w:szCs w:val="20"/>
                <w:color w:val="auto"/>
              </w:rPr>
            </w:pPr>
            <w:r>
              <w:rPr>
                <w:rFonts w:ascii="Arial" w:cs="Arial" w:eastAsia="Arial" w:hAnsi="Arial"/>
                <w:sz w:val="18"/>
                <w:szCs w:val="18"/>
                <w:color w:val="auto"/>
                <w:w w:val="93"/>
              </w:rPr>
              <w:t>The reason described in reasonable detail in Part III of this form could not be eliminated without unreasonable effort or</w:t>
            </w:r>
          </w:p>
        </w:tc>
        <w:tc>
          <w:tcPr>
            <w:tcW w:w="0" w:type="dxa"/>
            <w:vAlign w:val="bottom"/>
          </w:tcPr>
          <w:p>
            <w:pPr>
              <w:spacing w:after="0"/>
              <w:rPr>
                <w:sz w:val="1"/>
                <w:szCs w:val="1"/>
                <w:color w:val="auto"/>
              </w:rPr>
            </w:pPr>
          </w:p>
        </w:tc>
      </w:tr>
      <w:tr>
        <w:trPr>
          <w:trHeight w:val="230"/>
        </w:trPr>
        <w:tc>
          <w:tcPr>
            <w:tcW w:w="1640" w:type="dxa"/>
            <w:vAlign w:val="bottom"/>
            <w:tcBorders>
              <w:righ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8960" w:type="dxa"/>
            <w:vAlign w:val="bottom"/>
          </w:tcPr>
          <w:p>
            <w:pPr>
              <w:ind w:left="180"/>
              <w:spacing w:after="0"/>
              <w:rPr>
                <w:sz w:val="20"/>
                <w:szCs w:val="20"/>
                <w:color w:val="auto"/>
              </w:rPr>
            </w:pPr>
            <w:r>
              <w:rPr>
                <w:rFonts w:ascii="Arial" w:cs="Arial" w:eastAsia="Arial" w:hAnsi="Arial"/>
                <w:sz w:val="18"/>
                <w:szCs w:val="18"/>
                <w:color w:val="auto"/>
              </w:rPr>
              <w:t>expense</w:t>
            </w:r>
          </w:p>
        </w:tc>
        <w:tc>
          <w:tcPr>
            <w:tcW w:w="0" w:type="dxa"/>
            <w:vAlign w:val="bottom"/>
          </w:tcPr>
          <w:p>
            <w:pPr>
              <w:spacing w:after="0"/>
              <w:rPr>
                <w:sz w:val="1"/>
                <w:szCs w:val="1"/>
                <w:color w:val="auto"/>
              </w:rPr>
            </w:pPr>
          </w:p>
        </w:tc>
      </w:tr>
      <w:tr>
        <w:trPr>
          <w:trHeight w:val="256"/>
        </w:trPr>
        <w:tc>
          <w:tcPr>
            <w:tcW w:w="16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 x ]</w:t>
            </w:r>
          </w:p>
        </w:tc>
        <w:tc>
          <w:tcPr>
            <w:tcW w:w="480" w:type="dxa"/>
            <w:vAlign w:val="bottom"/>
          </w:tcPr>
          <w:p>
            <w:pPr>
              <w:ind w:left="100"/>
              <w:spacing w:after="0"/>
              <w:rPr>
                <w:sz w:val="20"/>
                <w:szCs w:val="20"/>
                <w:color w:val="auto"/>
              </w:rPr>
            </w:pPr>
            <w:r>
              <w:rPr>
                <w:rFonts w:ascii="Arial" w:cs="Arial" w:eastAsia="Arial" w:hAnsi="Arial"/>
                <w:sz w:val="18"/>
                <w:szCs w:val="18"/>
                <w:color w:val="auto"/>
              </w:rPr>
              <w:t>(b)</w:t>
            </w:r>
          </w:p>
        </w:tc>
        <w:tc>
          <w:tcPr>
            <w:tcW w:w="8960" w:type="dxa"/>
            <w:vAlign w:val="bottom"/>
          </w:tcPr>
          <w:p>
            <w:pPr>
              <w:ind w:left="180"/>
              <w:spacing w:after="0"/>
              <w:rPr>
                <w:sz w:val="20"/>
                <w:szCs w:val="20"/>
                <w:color w:val="auto"/>
              </w:rPr>
            </w:pPr>
            <w:r>
              <w:rPr>
                <w:rFonts w:ascii="Arial" w:cs="Arial" w:eastAsia="Arial" w:hAnsi="Arial"/>
                <w:sz w:val="18"/>
                <w:szCs w:val="18"/>
                <w:color w:val="auto"/>
                <w:w w:val="93"/>
              </w:rPr>
              <w:t>The subject annual report, semi-annual report, transition report on Form 10-K, Form 20-F, Form 11-K, Form N-SAR or</w:t>
            </w: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vMerge w:val="continue"/>
          </w:tcPr>
          <w:p>
            <w:pPr>
              <w:spacing w:after="0"/>
              <w:rPr>
                <w:sz w:val="10"/>
                <w:szCs w:val="10"/>
                <w:color w:val="auto"/>
              </w:rPr>
            </w:pPr>
          </w:p>
        </w:tc>
        <w:tc>
          <w:tcPr>
            <w:tcW w:w="480" w:type="dxa"/>
            <w:vAlign w:val="bottom"/>
          </w:tcPr>
          <w:p>
            <w:pPr>
              <w:spacing w:after="0"/>
              <w:rPr>
                <w:sz w:val="10"/>
                <w:szCs w:val="10"/>
                <w:color w:val="auto"/>
              </w:rPr>
            </w:pPr>
          </w:p>
        </w:tc>
        <w:tc>
          <w:tcPr>
            <w:tcW w:w="8960" w:type="dxa"/>
            <w:vAlign w:val="bottom"/>
            <w:vMerge w:val="restart"/>
          </w:tcPr>
          <w:p>
            <w:pPr>
              <w:ind w:left="180"/>
              <w:spacing w:after="0"/>
              <w:rPr>
                <w:sz w:val="20"/>
                <w:szCs w:val="20"/>
                <w:color w:val="auto"/>
              </w:rPr>
            </w:pPr>
            <w:r>
              <w:rPr>
                <w:rFonts w:ascii="Arial" w:cs="Arial" w:eastAsia="Arial" w:hAnsi="Arial"/>
                <w:sz w:val="18"/>
                <w:szCs w:val="18"/>
                <w:color w:val="auto"/>
                <w:w w:val="91"/>
              </w:rPr>
              <w:t>Form N-CSR, or portion thereof, will be filed on or before the fifteenth calendar day following the prescribed due date; or</w:t>
            </w:r>
          </w:p>
        </w:tc>
        <w:tc>
          <w:tcPr>
            <w:tcW w:w="0" w:type="dxa"/>
            <w:vAlign w:val="bottom"/>
          </w:tcPr>
          <w:p>
            <w:pPr>
              <w:spacing w:after="0"/>
              <w:rPr>
                <w:sz w:val="1"/>
                <w:szCs w:val="1"/>
                <w:color w:val="auto"/>
              </w:rPr>
            </w:pPr>
          </w:p>
        </w:tc>
      </w:tr>
      <w:tr>
        <w:trPr>
          <w:trHeight w:val="94"/>
        </w:trPr>
        <w:tc>
          <w:tcPr>
            <w:tcW w:w="1640" w:type="dxa"/>
            <w:vAlign w:val="bottom"/>
            <w:tcBorders>
              <w:right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8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64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8960" w:type="dxa"/>
            <w:vAlign w:val="bottom"/>
          </w:tcPr>
          <w:p>
            <w:pPr>
              <w:ind w:left="180"/>
              <w:spacing w:after="0"/>
              <w:rPr>
                <w:sz w:val="20"/>
                <w:szCs w:val="20"/>
                <w:color w:val="auto"/>
              </w:rPr>
            </w:pPr>
            <w:r>
              <w:rPr>
                <w:rFonts w:ascii="Arial" w:cs="Arial" w:eastAsia="Arial" w:hAnsi="Arial"/>
                <w:sz w:val="18"/>
                <w:szCs w:val="18"/>
                <w:color w:val="auto"/>
                <w:w w:val="96"/>
              </w:rPr>
              <w:t>the subject quarterly report or transition report on Form 10-Q or subject distribution report on Form 10-D, or portion</w:t>
            </w:r>
          </w:p>
        </w:tc>
        <w:tc>
          <w:tcPr>
            <w:tcW w:w="0" w:type="dxa"/>
            <w:vAlign w:val="bottom"/>
          </w:tcPr>
          <w:p>
            <w:pPr>
              <w:spacing w:after="0"/>
              <w:rPr>
                <w:sz w:val="1"/>
                <w:szCs w:val="1"/>
                <w:color w:val="auto"/>
              </w:rPr>
            </w:pPr>
          </w:p>
        </w:tc>
      </w:tr>
      <w:tr>
        <w:trPr>
          <w:trHeight w:val="230"/>
        </w:trPr>
        <w:tc>
          <w:tcPr>
            <w:tcW w:w="1640" w:type="dxa"/>
            <w:vAlign w:val="bottom"/>
            <w:tcBorders>
              <w:righ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8960" w:type="dxa"/>
            <w:vAlign w:val="bottom"/>
          </w:tcPr>
          <w:p>
            <w:pPr>
              <w:ind w:left="180"/>
              <w:spacing w:after="0"/>
              <w:rPr>
                <w:sz w:val="20"/>
                <w:szCs w:val="20"/>
                <w:color w:val="auto"/>
              </w:rPr>
            </w:pPr>
            <w:r>
              <w:rPr>
                <w:rFonts w:ascii="Arial" w:cs="Arial" w:eastAsia="Arial" w:hAnsi="Arial"/>
                <w:sz w:val="18"/>
                <w:szCs w:val="18"/>
                <w:color w:val="auto"/>
              </w:rPr>
              <w:t>thereof, will be filed on or before the fifth calendar day following the prescribed due date; and</w:t>
            </w:r>
          </w:p>
        </w:tc>
        <w:tc>
          <w:tcPr>
            <w:tcW w:w="0" w:type="dxa"/>
            <w:vAlign w:val="bottom"/>
          </w:tcPr>
          <w:p>
            <w:pPr>
              <w:spacing w:after="0"/>
              <w:rPr>
                <w:sz w:val="1"/>
                <w:szCs w:val="1"/>
                <w:color w:val="auto"/>
              </w:rPr>
            </w:pPr>
          </w:p>
        </w:tc>
      </w:tr>
      <w:tr>
        <w:trPr>
          <w:trHeight w:val="270"/>
        </w:trPr>
        <w:tc>
          <w:tcPr>
            <w:tcW w:w="1640" w:type="dxa"/>
            <w:vAlign w:val="bottom"/>
            <w:tcBorders>
              <w:right w:val="single" w:sz="8" w:color="auto"/>
            </w:tcBorders>
          </w:tcPr>
          <w:p>
            <w:pPr>
              <w:spacing w:after="0"/>
              <w:rPr>
                <w:sz w:val="23"/>
                <w:szCs w:val="23"/>
                <w:color w:val="auto"/>
              </w:rPr>
            </w:pPr>
          </w:p>
        </w:tc>
        <w:tc>
          <w:tcPr>
            <w:tcW w:w="480" w:type="dxa"/>
            <w:vAlign w:val="bottom"/>
          </w:tcPr>
          <w:p>
            <w:pPr>
              <w:ind w:left="100"/>
              <w:spacing w:after="0"/>
              <w:rPr>
                <w:sz w:val="20"/>
                <w:szCs w:val="20"/>
                <w:color w:val="auto"/>
              </w:rPr>
            </w:pPr>
            <w:r>
              <w:rPr>
                <w:rFonts w:ascii="Arial" w:cs="Arial" w:eastAsia="Arial" w:hAnsi="Arial"/>
                <w:sz w:val="18"/>
                <w:szCs w:val="18"/>
                <w:color w:val="auto"/>
              </w:rPr>
              <w:t>(c)</w:t>
            </w:r>
          </w:p>
        </w:tc>
        <w:tc>
          <w:tcPr>
            <w:tcW w:w="8960" w:type="dxa"/>
            <w:vAlign w:val="bottom"/>
          </w:tcPr>
          <w:p>
            <w:pPr>
              <w:ind w:left="180"/>
              <w:spacing w:after="0"/>
              <w:rPr>
                <w:sz w:val="20"/>
                <w:szCs w:val="20"/>
                <w:color w:val="auto"/>
              </w:rPr>
            </w:pPr>
            <w:r>
              <w:rPr>
                <w:rFonts w:ascii="Arial" w:cs="Arial" w:eastAsia="Arial" w:hAnsi="Arial"/>
                <w:sz w:val="18"/>
                <w:szCs w:val="18"/>
                <w:color w:val="auto"/>
              </w:rPr>
              <w:t>The accountant's statement or other exhibit required by Rule 12b-25(c) has been attached if applicable.</w:t>
            </w:r>
          </w:p>
        </w:tc>
        <w:tc>
          <w:tcPr>
            <w:tcW w:w="0" w:type="dxa"/>
            <w:vAlign w:val="bottom"/>
          </w:tcPr>
          <w:p>
            <w:pPr>
              <w:spacing w:after="0"/>
              <w:rPr>
                <w:sz w:val="1"/>
                <w:szCs w:val="1"/>
                <w:color w:val="auto"/>
              </w:rPr>
            </w:pPr>
          </w:p>
        </w:tc>
      </w:tr>
    </w:tbl>
    <w:p>
      <w:pPr>
        <w:spacing w:after="0" w:line="19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PART III - NARRATIVE</w:t>
      </w:r>
    </w:p>
    <w:p>
      <w:pPr>
        <w:spacing w:after="0" w:line="121" w:lineRule="exact"/>
        <w:rPr>
          <w:sz w:val="24"/>
          <w:szCs w:val="24"/>
          <w:color w:val="auto"/>
        </w:rPr>
      </w:pPr>
    </w:p>
    <w:p>
      <w:pPr>
        <w:ind w:right="420"/>
        <w:spacing w:after="0" w:line="277" w:lineRule="auto"/>
        <w:rPr>
          <w:sz w:val="20"/>
          <w:szCs w:val="20"/>
          <w:color w:val="auto"/>
        </w:rPr>
      </w:pPr>
      <w:r>
        <w:rPr>
          <w:rFonts w:ascii="Arial" w:cs="Arial" w:eastAsia="Arial" w:hAnsi="Arial"/>
          <w:sz w:val="18"/>
          <w:szCs w:val="18"/>
          <w:color w:val="auto"/>
        </w:rPr>
        <w:t>State below in reasonable detail why Forms 10-K, 20-F, 11-K, 10-Q, 10-D, N-SAR, N-CSR, or the transition report or portion thereof, could not be filed within the prescribed time period.</w:t>
      </w:r>
    </w:p>
    <w:p>
      <w:pPr>
        <w:spacing w:after="0" w:line="62"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Due to connectivity issues with the Commission's EDGAR server, VistaGen Therapeutics, Inc. (the "Company") was unable to file its Quarterly Report on Form 10-Q for the period ended September 30, 2016 (the "Quarterly Report") within the prescribed time period. Although the Quarterly Report was submitted by our filing agent prior to 5:30 pm ET on November 14, 2016, the submission was not accepted by the EDGAR system until our second attempt to file, which occurred at 6:21 pm ET on November 14, 2016.</w:t>
      </w:r>
    </w:p>
    <w:p>
      <w:pPr>
        <w:spacing w:after="0" w:line="187" w:lineRule="exact"/>
        <w:rPr>
          <w:sz w:val="24"/>
          <w:szCs w:val="24"/>
          <w:color w:val="auto"/>
        </w:rPr>
      </w:pPr>
    </w:p>
    <w:p>
      <w:pPr>
        <w:jc w:val="both"/>
        <w:ind w:right="280"/>
        <w:spacing w:after="0" w:line="264" w:lineRule="auto"/>
        <w:rPr>
          <w:sz w:val="20"/>
          <w:szCs w:val="20"/>
          <w:color w:val="auto"/>
        </w:rPr>
      </w:pPr>
      <w:r>
        <w:rPr>
          <w:rFonts w:ascii="Arial" w:cs="Arial" w:eastAsia="Arial" w:hAnsi="Arial"/>
          <w:sz w:val="18"/>
          <w:szCs w:val="18"/>
          <w:color w:val="auto"/>
        </w:rPr>
        <w:t>We intend to submit a written request to the Commission to adjust the filing date of the Quarterly Report to November 14, 2016, pursuant to Rule 13(b) of Regulation S-T. However, as a precautionary matter, we are submitting this Form 12b-25 to ensure that we remain timely in our periodic filings under the Securities Exchange Act of 1934, as amended.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91" w:orient="portrait"/>
          <w:cols w:equalWidth="0" w:num="1">
            <w:col w:w="11400"/>
          </w:cols>
          <w:pgMar w:left="240" w:top="463" w:right="259" w:bottom="0" w:gutter="0" w:footer="0" w:header="0"/>
          <w:type w:val="continuous"/>
        </w:sectPr>
      </w:pPr>
    </w:p>
    <w:bookmarkStart w:id="1" w:name="page2"/>
    <w:bookmarkEnd w:id="1"/>
    <w:p>
      <w:pPr>
        <w:ind w:left="1820" w:right="340"/>
        <w:spacing w:after="0" w:line="282" w:lineRule="auto"/>
        <w:rPr>
          <w:sz w:val="20"/>
          <w:szCs w:val="20"/>
          <w:color w:val="auto"/>
        </w:rPr>
      </w:pPr>
      <w:r>
        <w:rPr>
          <w:rFonts w:ascii="Arial" w:cs="Arial" w:eastAsia="Arial" w:hAnsi="Arial"/>
          <w:sz w:val="18"/>
          <w:szCs w:val="18"/>
          <w:b w:val="1"/>
          <w:bCs w:val="1"/>
          <w:color w:val="auto"/>
        </w:rPr>
        <w:t>Persons who are to respond to the collection of information contained in this form are not required to respond unless the form displays a currently valid OMB control number.</w:t>
      </w:r>
    </w:p>
    <w:p>
      <w:pPr>
        <w:spacing w:after="0" w:line="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(Attach extra Sheets if Needed)</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IV - OTHER INFORMATION</w:t>
      </w:r>
    </w:p>
    <w:p>
      <w:pPr>
        <w:spacing w:after="0" w:line="103"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and telephone number of person to contact in regard to this notification</w:t>
      </w:r>
    </w:p>
    <w:p>
      <w:pPr>
        <w:spacing w:after="0" w:line="225" w:lineRule="exact"/>
        <w:rPr>
          <w:sz w:val="20"/>
          <w:szCs w:val="20"/>
          <w:color w:val="auto"/>
        </w:rPr>
      </w:pPr>
    </w:p>
    <w:tbl>
      <w:tblPr>
        <w:tblLayout w:type="fixed"/>
        <w:tblInd w:w="240" w:type="dxa"/>
        <w:tblCellMar>
          <w:top w:w="0" w:type="dxa"/>
          <w:left w:w="0" w:type="dxa"/>
          <w:bottom w:w="0" w:type="dxa"/>
          <w:right w:w="0" w:type="dxa"/>
        </w:tblCellMar>
      </w:tblPr>
      <w:tr>
        <w:trPr>
          <w:trHeight w:val="230"/>
        </w:trPr>
        <w:tc>
          <w:tcPr>
            <w:tcW w:w="5140" w:type="dxa"/>
            <w:vAlign w:val="bottom"/>
          </w:tcPr>
          <w:p>
            <w:pPr>
              <w:jc w:val="center"/>
              <w:spacing w:after="0"/>
              <w:rPr>
                <w:sz w:val="20"/>
                <w:szCs w:val="20"/>
                <w:color w:val="auto"/>
              </w:rPr>
            </w:pPr>
            <w:r>
              <w:rPr>
                <w:rFonts w:ascii="Arial" w:cs="Arial" w:eastAsia="Arial" w:hAnsi="Arial"/>
                <w:sz w:val="18"/>
                <w:szCs w:val="18"/>
                <w:color w:val="auto"/>
                <w:w w:val="92"/>
              </w:rPr>
              <w:t>Shawn K. Singh</w:t>
            </w:r>
          </w:p>
        </w:tc>
        <w:tc>
          <w:tcPr>
            <w:tcW w:w="1440" w:type="dxa"/>
            <w:vAlign w:val="bottom"/>
            <w:gridSpan w:val="2"/>
          </w:tcPr>
          <w:p>
            <w:pPr>
              <w:jc w:val="right"/>
              <w:ind w:right="210"/>
              <w:spacing w:after="0"/>
              <w:rPr>
                <w:sz w:val="20"/>
                <w:szCs w:val="20"/>
                <w:color w:val="auto"/>
              </w:rPr>
            </w:pPr>
            <w:r>
              <w:rPr>
                <w:rFonts w:ascii="Arial" w:cs="Arial" w:eastAsia="Arial" w:hAnsi="Arial"/>
                <w:sz w:val="18"/>
                <w:szCs w:val="18"/>
                <w:color w:val="auto"/>
              </w:rPr>
              <w:t>650</w:t>
            </w:r>
          </w:p>
        </w:tc>
        <w:tc>
          <w:tcPr>
            <w:tcW w:w="4380" w:type="dxa"/>
            <w:vAlign w:val="bottom"/>
            <w:gridSpan w:val="2"/>
          </w:tcPr>
          <w:p>
            <w:pPr>
              <w:jc w:val="right"/>
              <w:ind w:right="1490"/>
              <w:spacing w:after="0"/>
              <w:rPr>
                <w:sz w:val="20"/>
                <w:szCs w:val="20"/>
                <w:color w:val="auto"/>
              </w:rPr>
            </w:pPr>
            <w:r>
              <w:rPr>
                <w:rFonts w:ascii="Arial" w:cs="Arial" w:eastAsia="Arial" w:hAnsi="Arial"/>
                <w:sz w:val="18"/>
                <w:szCs w:val="18"/>
                <w:color w:val="auto"/>
              </w:rPr>
              <w:t>577-3600</w:t>
            </w:r>
          </w:p>
        </w:tc>
      </w:tr>
      <w:tr>
        <w:trPr>
          <w:trHeight w:val="224"/>
        </w:trPr>
        <w:tc>
          <w:tcPr>
            <w:tcW w:w="5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(Name)</w:t>
            </w:r>
          </w:p>
        </w:tc>
        <w:tc>
          <w:tcPr>
            <w:tcW w:w="540" w:type="dxa"/>
            <w:vAlign w:val="bottom"/>
          </w:tcPr>
          <w:p>
            <w:pPr>
              <w:spacing w:after="0"/>
              <w:rPr>
                <w:sz w:val="19"/>
                <w:szCs w:val="19"/>
                <w:color w:val="auto"/>
              </w:rPr>
            </w:pP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(Area Code)</w:t>
            </w:r>
          </w:p>
        </w:tc>
        <w:tc>
          <w:tcPr>
            <w:tcW w:w="540" w:type="dxa"/>
            <w:vAlign w:val="bottom"/>
          </w:tcPr>
          <w:p>
            <w:pPr>
              <w:spacing w:after="0"/>
              <w:rPr>
                <w:sz w:val="19"/>
                <w:szCs w:val="19"/>
                <w:color w:val="auto"/>
              </w:rPr>
            </w:pPr>
          </w:p>
        </w:tc>
        <w:tc>
          <w:tcPr>
            <w:tcW w:w="38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(Telephone Number)</w:t>
            </w:r>
          </w:p>
        </w:tc>
      </w:tr>
    </w:tbl>
    <w:p>
      <w:pPr>
        <w:spacing w:after="0" w:line="79" w:lineRule="exact"/>
        <w:rPr>
          <w:sz w:val="20"/>
          <w:szCs w:val="20"/>
          <w:color w:val="auto"/>
        </w:rPr>
      </w:pPr>
    </w:p>
    <w:p>
      <w:pPr>
        <w:ind w:left="460" w:right="80" w:hanging="452"/>
        <w:spacing w:after="0" w:line="256"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w:t>
      </w:r>
    </w:p>
    <w:p>
      <w:pPr>
        <w:jc w:val="right"/>
        <w:spacing w:after="0"/>
        <w:tabs>
          <w:tab w:leader="none" w:pos="460" w:val="left"/>
        </w:tabs>
        <w:rPr>
          <w:sz w:val="20"/>
          <w:szCs w:val="20"/>
          <w:color w:val="auto"/>
        </w:rPr>
      </w:pPr>
      <w:r>
        <w:rPr>
          <w:rFonts w:ascii="Arial" w:cs="Arial" w:eastAsia="Arial" w:hAnsi="Arial"/>
          <w:sz w:val="18"/>
          <w:szCs w:val="18"/>
          <w:color w:val="auto"/>
        </w:rPr>
        <w:t>Yes[ x ]</w:t>
        <w:tab/>
        <w:t>No[  ]</w:t>
      </w:r>
    </w:p>
    <w:p>
      <w:pPr>
        <w:spacing w:after="0" w:line="200" w:lineRule="exact"/>
        <w:rPr>
          <w:sz w:val="20"/>
          <w:szCs w:val="20"/>
          <w:color w:val="auto"/>
        </w:rPr>
      </w:pPr>
    </w:p>
    <w:p>
      <w:pPr>
        <w:spacing w:after="0" w:line="240" w:lineRule="exact"/>
        <w:rPr>
          <w:sz w:val="20"/>
          <w:szCs w:val="20"/>
          <w:color w:val="auto"/>
        </w:rPr>
      </w:pPr>
    </w:p>
    <w:p>
      <w:pPr>
        <w:ind w:left="460" w:right="600" w:hanging="452"/>
        <w:spacing w:after="0" w:line="25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 it anticipated that any significant change in results of operations from the corresponding period for the last fiscal year will be reflected by the earnings statements to be included in the subject report or portion thereof?</w:t>
      </w:r>
    </w:p>
    <w:p>
      <w:pPr>
        <w:spacing w:after="0" w:line="1" w:lineRule="exact"/>
        <w:rPr>
          <w:sz w:val="20"/>
          <w:szCs w:val="20"/>
          <w:color w:val="auto"/>
        </w:rPr>
      </w:pPr>
    </w:p>
    <w:p>
      <w:pPr>
        <w:jc w:val="right"/>
        <w:spacing w:after="0"/>
        <w:tabs>
          <w:tab w:leader="none" w:pos="500" w:val="left"/>
        </w:tabs>
        <w:rPr>
          <w:sz w:val="20"/>
          <w:szCs w:val="20"/>
          <w:color w:val="auto"/>
        </w:rPr>
      </w:pPr>
      <w:r>
        <w:rPr>
          <w:rFonts w:ascii="Arial" w:cs="Arial" w:eastAsia="Arial" w:hAnsi="Arial"/>
          <w:sz w:val="18"/>
          <w:szCs w:val="18"/>
          <w:color w:val="auto"/>
        </w:rPr>
        <w:t>Yes[  ]</w:t>
      </w:r>
      <w:r>
        <w:rPr>
          <w:sz w:val="20"/>
          <w:szCs w:val="20"/>
          <w:color w:val="auto"/>
        </w:rPr>
        <w:tab/>
      </w:r>
      <w:r>
        <w:rPr>
          <w:rFonts w:ascii="Arial" w:cs="Arial" w:eastAsia="Arial" w:hAnsi="Arial"/>
          <w:sz w:val="17"/>
          <w:szCs w:val="17"/>
          <w:color w:val="auto"/>
        </w:rPr>
        <w:t>No[ x ]</w:t>
      </w:r>
    </w:p>
    <w:p>
      <w:pPr>
        <w:spacing w:after="0" w:line="346" w:lineRule="exact"/>
        <w:rPr>
          <w:sz w:val="20"/>
          <w:szCs w:val="20"/>
          <w:color w:val="auto"/>
        </w:rPr>
      </w:pPr>
    </w:p>
    <w:p>
      <w:pPr>
        <w:ind w:left="460" w:right="600"/>
        <w:spacing w:after="0" w:line="277" w:lineRule="auto"/>
        <w:rPr>
          <w:sz w:val="20"/>
          <w:szCs w:val="20"/>
          <w:color w:val="auto"/>
        </w:rPr>
      </w:pPr>
      <w:r>
        <w:rPr>
          <w:rFonts w:ascii="Arial" w:cs="Arial" w:eastAsia="Arial" w:hAnsi="Arial"/>
          <w:sz w:val="18"/>
          <w:szCs w:val="18"/>
          <w:color w:val="auto"/>
        </w:rPr>
        <w:t>If so, attach an explanation of the anticipated change, both narratively and quantitatively, and, if appropriate, state the reasons why a reasonable estimate of the results cannot be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4662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VistaGen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14605</wp:posOffset>
            </wp:positionV>
            <wp:extent cx="28987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(Name of Registrant as Specified in Charter)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has caused this notification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p>
      <w:pPr>
        <w:spacing w:after="0"/>
        <w:tabs>
          <w:tab w:leader="none" w:pos="6340" w:val="left"/>
          <w:tab w:leader="none" w:pos="6760" w:val="left"/>
        </w:tabs>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i w:val="1"/>
          <w:iCs w:val="1"/>
          <w:color w:val="auto"/>
        </w:rPr>
        <w:t>November 15,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4288790</wp:posOffset>
            </wp:positionH>
            <wp:positionV relativeFrom="paragraph">
              <wp:posOffset>70485</wp:posOffset>
            </wp:positionV>
            <wp:extent cx="234061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40610" cy="42545"/>
                    </a:xfrm>
                    <a:prstGeom prst="rect">
                      <a:avLst/>
                    </a:prstGeom>
                    <a:noFill/>
                  </pic:spPr>
                </pic:pic>
              </a:graphicData>
            </a:graphic>
          </wp:anchor>
        </w:drawing>
      </w:r>
    </w:p>
    <w:p>
      <w:pPr>
        <w:spacing w:after="0" w:line="232"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Name: Shawn K. Singh</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Title: Chief Executive Officer</w:t>
      </w:r>
    </w:p>
    <w:sectPr>
      <w:pgSz w:w="11900" w:h="16838" w:orient="portrait"/>
      <w:cols w:equalWidth="0" w:num="1">
        <w:col w:w="11380"/>
      </w:cols>
      <w:pgMar w:left="240" w:top="12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2020-01-21T22:04:54Z</dcterms:created>
  <dcterms:modified xsi:type="dcterms:W3CDTF">2020-01-21T22:04:54Z</dcterms:modified>
</cp:coreProperties>
</file>