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9320" w:hanging="4"/>
        <w:spacing w:after="0" w:line="227" w:lineRule="exact"/>
        <w:tabs>
          <w:tab w:leader="none" w:pos="91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00" w:lineRule="exact"/>
        <w:rPr>
          <w:sz w:val="24"/>
          <w:szCs w:val="24"/>
          <w:color w:val="auto"/>
        </w:rPr>
      </w:pPr>
    </w:p>
    <w:p>
      <w:pPr>
        <w:spacing w:after="0" w:line="22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94"/>
              </w:rPr>
              <w:t>CUSIP No. 92840H202</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7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7100" w:type="dxa"/>
            <w:vAlign w:val="bottom"/>
            <w:gridSpan w:val="5"/>
            <w:vMerge w:val="restart"/>
          </w:tcPr>
          <w:p>
            <w:pPr>
              <w:ind w:left="40"/>
              <w:spacing w:after="0"/>
              <w:rPr>
                <w:sz w:val="20"/>
                <w:szCs w:val="20"/>
                <w:color w:val="auto"/>
              </w:rPr>
            </w:pPr>
            <w:r>
              <w:rPr>
                <w:rFonts w:ascii="Arial" w:cs="Arial" w:eastAsia="Arial" w:hAnsi="Arial"/>
                <w:sz w:val="18"/>
                <w:szCs w:val="18"/>
                <w:color w:val="auto"/>
              </w:rPr>
              <w:t>OrbiMed Capital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100" w:type="dxa"/>
            <w:vAlign w:val="bottom"/>
            <w:gridSpan w:val="5"/>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508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20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508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5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36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77"/>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2"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94"/>
              </w:rPr>
              <w:t>CUSIP No. 92840H202</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7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7100" w:type="dxa"/>
            <w:vAlign w:val="bottom"/>
            <w:gridSpan w:val="5"/>
            <w:vMerge w:val="restart"/>
          </w:tcPr>
          <w:p>
            <w:pPr>
              <w:ind w:left="40"/>
              <w:spacing w:after="0"/>
              <w:rPr>
                <w:sz w:val="20"/>
                <w:szCs w:val="20"/>
                <w:color w:val="auto"/>
              </w:rPr>
            </w:pPr>
            <w:r>
              <w:rPr>
                <w:rFonts w:ascii="Arial" w:cs="Arial" w:eastAsia="Arial" w:hAnsi="Arial"/>
                <w:sz w:val="18"/>
                <w:szCs w:val="18"/>
                <w:color w:val="auto"/>
              </w:rPr>
              <w:t>OrbiMed Advisors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100" w:type="dxa"/>
            <w:vAlign w:val="bottom"/>
            <w:gridSpan w:val="5"/>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508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20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508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5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36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2" w:right="339" w:bottom="1440" w:gutter="0" w:footer="0" w:header="0"/>
        </w:sectPr>
      </w:pPr>
    </w:p>
    <w:bookmarkStart w:id="3" w:name="page4"/>
    <w:bookmarkEnd w:id="3"/>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92840H202</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4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VistaGen Therapeutics, Inc.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343 Allerton Ave.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South San Francisco, CA 94090</w:t>
      </w:r>
    </w:p>
    <w:p>
      <w:pPr>
        <w:spacing w:after="0" w:line="1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r>
        <w:rPr>
          <w:rFonts w:ascii="Arial" w:cs="Arial" w:eastAsia="Arial" w:hAnsi="Arial"/>
          <w:sz w:val="15"/>
          <w:szCs w:val="15"/>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Advisors LLC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NY 10022</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 Citizenship</w:t>
      </w:r>
      <w:r>
        <w:rPr>
          <w:rFonts w:ascii="Arial" w:cs="Arial" w:eastAsia="Arial" w:hAnsi="Arial"/>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refer to Item 4 on each cover page for each Reporting Person.</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 Title of Class of Securities:</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$0.0001 Per Share</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 CUSIP No.:</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92840H202</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OrbiMed Advisors LLC (“Advisors”) and OrbiMed Capital LLC (“Capital”) are investment advisors in accordance with ss.240.13d-1(b)(1)(ii)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92840H202</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7" w:lineRule="exact"/>
        <w:rPr>
          <w:sz w:val="20"/>
          <w:szCs w:val="20"/>
          <w:color w:val="auto"/>
        </w:rPr>
      </w:pPr>
    </w:p>
    <w:p>
      <w:pPr>
        <w:jc w:val="both"/>
        <w:ind w:left="800"/>
        <w:spacing w:after="0" w:line="260" w:lineRule="auto"/>
        <w:rPr>
          <w:sz w:val="20"/>
          <w:szCs w:val="20"/>
          <w:color w:val="auto"/>
        </w:rPr>
      </w:pPr>
      <w:r>
        <w:rPr>
          <w:rFonts w:ascii="Arial" w:cs="Arial" w:eastAsia="Arial" w:hAnsi="Arial"/>
          <w:sz w:val="18"/>
          <w:szCs w:val="18"/>
          <w:color w:val="auto"/>
        </w:rPr>
        <w:t>Information with respect to the Reporting Person’s ownership as of December 31, 2021 is incorporated by reference to items (5) - (9) and (11) of the cover page for the Reporting Person.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jc w:val="both"/>
        <w:ind w:left="800"/>
        <w:spacing w:after="0" w:line="226"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ind w:left="1300" w:hanging="1295"/>
        <w:spacing w:after="0" w:line="26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r>
        <w:rPr>
          <w:rFonts w:ascii="Arial" w:cs="Arial" w:eastAsia="Arial" w:hAnsi="Arial"/>
          <w:sz w:val="18"/>
          <w:szCs w:val="18"/>
          <w:color w:val="auto"/>
        </w:rPr>
        <w:t>.</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r>
        <w:rPr>
          <w:rFonts w:ascii="Arial" w:cs="Arial" w:eastAsia="Arial" w:hAnsi="Arial"/>
          <w:sz w:val="18"/>
          <w:szCs w:val="18"/>
          <w:color w:val="auto"/>
        </w:rPr>
        <w:t>.</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30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802005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92840H202</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7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200" w:lineRule="exact"/>
        <w:rPr>
          <w:sz w:val="20"/>
          <w:szCs w:val="20"/>
          <w:color w:val="auto"/>
        </w:rPr>
      </w:pPr>
    </w:p>
    <w:p>
      <w:pPr>
        <w:spacing w:after="0" w:line="23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Advisors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74"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1205865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undersigned hereby agree that the Statement on this Schedule 13G dated December 31, 2022 (the “Schedule 13G”), with respect to the Common Stock, par value $0.001 per share, of VistaGen Therapeutics, Inc. is filed on behalf of each of us pursuant to and in accordance with the provisions of Rule 13d-1(k) under the Securities Exchange Act of 1934, as amended, and that this Agreement shall be included as an Exhibit to this Schedule 13G. Each of the undersigned agrees to be responsible for the timely filing of the Schedule 13G, and for the completeness and accuracy of the information concerning itself contained therein. This Agreement may be executed in any number of counterparts, all of which taken together shall constitute one and the same instrument.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February 14, 2023.</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Advisors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74"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2023-02-14T17:45:58Z</dcterms:created>
  <dcterms:modified xsi:type="dcterms:W3CDTF">2023-02-14T17:45:58Z</dcterms:modified>
</cp:coreProperties>
</file>