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Issuer)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92840H103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August 13 ,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Event Which Requires Filing of this Statement)</w:t>
      </w:r>
    </w:p>
    <w:p>
      <w:pPr>
        <w:spacing w:after="0" w:line="322"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740" w:hanging="197"/>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25" w:lineRule="exact"/>
        <w:rPr>
          <w:rFonts w:ascii="Arial" w:cs="Arial" w:eastAsia="Arial" w:hAnsi="Arial"/>
          <w:sz w:val="18"/>
          <w:szCs w:val="18"/>
          <w:color w:val="auto"/>
        </w:rPr>
      </w:pPr>
    </w:p>
    <w:p>
      <w:pPr>
        <w:ind w:left="1640" w:hanging="97"/>
        <w:spacing w:after="0"/>
        <w:tabs>
          <w:tab w:leader="none" w:pos="1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13d-1(c)</w:t>
      </w:r>
    </w:p>
    <w:p>
      <w:pPr>
        <w:spacing w:after="0" w:line="225" w:lineRule="exact"/>
        <w:rPr>
          <w:rFonts w:ascii="Arial" w:cs="Arial" w:eastAsia="Arial" w:hAnsi="Arial"/>
          <w:sz w:val="18"/>
          <w:szCs w:val="18"/>
          <w:color w:val="auto"/>
        </w:rPr>
      </w:pPr>
    </w:p>
    <w:p>
      <w:pPr>
        <w:ind w:left="1740" w:hanging="197"/>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both"/>
        <w:ind w:left="1140" w:right="1600"/>
        <w:spacing w:after="0" w:line="26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7" w:lineRule="exact"/>
        <w:rPr>
          <w:sz w:val="24"/>
          <w:szCs w:val="24"/>
          <w:color w:val="auto"/>
        </w:rPr>
      </w:pPr>
    </w:p>
    <w:p>
      <w:pPr>
        <w:jc w:val="both"/>
        <w:ind w:left="1140" w:right="11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3228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228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92840H103</w:t>
      </w:r>
    </w:p>
    <w:p>
      <w:pPr>
        <w:spacing w:after="0" w:line="33" w:lineRule="exact"/>
        <w:rPr>
          <w:sz w:val="24"/>
          <w:szCs w:val="24"/>
          <w:color w:val="auto"/>
        </w:rPr>
      </w:pPr>
    </w:p>
    <w:p>
      <w:pPr>
        <w:ind w:left="220"/>
        <w:spacing w:after="0"/>
        <w:tabs>
          <w:tab w:leader="none" w:pos="5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 I.R.S. Identification Nos. of Above Persons (Entities Only)</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Calm Seas Capital</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26-1342718</w:t>
      </w:r>
    </w:p>
    <w:p>
      <w:pPr>
        <w:spacing w:after="0" w:line="28" w:lineRule="exact"/>
        <w:rPr>
          <w:sz w:val="24"/>
          <w:szCs w:val="24"/>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90"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Nevada</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Borders>
              <w:top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80"/>
              </w:rPr>
              <w:t>Shares</w:t>
            </w:r>
          </w:p>
        </w:tc>
        <w:tc>
          <w:tcPr>
            <w:tcW w:w="380" w:type="dxa"/>
            <w:vAlign w:val="bottom"/>
            <w:tcBorders>
              <w:right w:val="single" w:sz="8" w:color="auto"/>
            </w:tcBorders>
          </w:tcPr>
          <w:p>
            <w:pPr>
              <w:spacing w:after="0"/>
              <w:rPr>
                <w:sz w:val="18"/>
                <w:szCs w:val="18"/>
                <w:color w:val="auto"/>
              </w:rPr>
            </w:pPr>
          </w:p>
        </w:tc>
        <w:tc>
          <w:tcPr>
            <w:tcW w:w="990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94"/>
              </w:rPr>
              <w:t>Beneficially</w:t>
            </w:r>
          </w:p>
        </w:tc>
        <w:tc>
          <w:tcPr>
            <w:tcW w:w="38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Borders>
              <w:right w:val="single" w:sz="8" w:color="auto"/>
            </w:tcBorders>
          </w:tcPr>
          <w:p>
            <w:pPr>
              <w:jc w:val="center"/>
              <w:ind w:left="32"/>
              <w:spacing w:after="0" w:line="190" w:lineRule="exact"/>
              <w:rPr>
                <w:sz w:val="20"/>
                <w:szCs w:val="20"/>
                <w:color w:val="auto"/>
              </w:rPr>
            </w:pPr>
            <w:r>
              <w:rPr>
                <w:rFonts w:ascii="Arial" w:cs="Arial" w:eastAsia="Arial" w:hAnsi="Arial"/>
                <w:sz w:val="18"/>
                <w:szCs w:val="18"/>
                <w:color w:val="auto"/>
                <w:w w:val="91"/>
              </w:rPr>
              <w:t>Owned by</w:t>
            </w: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(6)</w:t>
            </w:r>
          </w:p>
        </w:tc>
        <w:tc>
          <w:tcPr>
            <w:tcW w:w="9900" w:type="dxa"/>
            <w:vAlign w:val="bottom"/>
          </w:tcPr>
          <w:p>
            <w:pPr>
              <w:ind w:left="80"/>
              <w:spacing w:after="0" w:line="190"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82"/>
              </w:rPr>
              <w:t>Each</w:t>
            </w:r>
          </w:p>
        </w:tc>
        <w:tc>
          <w:tcPr>
            <w:tcW w:w="380" w:type="dxa"/>
            <w:vAlign w:val="bottom"/>
            <w:tcBorders>
              <w:right w:val="single" w:sz="8" w:color="auto"/>
            </w:tcBorders>
          </w:tcPr>
          <w:p>
            <w:pPr>
              <w:spacing w:after="0"/>
              <w:rPr>
                <w:sz w:val="18"/>
                <w:szCs w:val="18"/>
                <w:color w:val="auto"/>
              </w:rPr>
            </w:pPr>
          </w:p>
        </w:tc>
        <w:tc>
          <w:tcPr>
            <w:tcW w:w="9900" w:type="dxa"/>
            <w:vAlign w:val="bottom"/>
            <w:vMerge w:val="restart"/>
          </w:tcPr>
          <w:p>
            <w:pPr>
              <w:ind w:left="260"/>
              <w:spacing w:after="0"/>
              <w:rPr>
                <w:sz w:val="20"/>
                <w:szCs w:val="20"/>
                <w:color w:val="auto"/>
              </w:rPr>
            </w:pPr>
            <w:r>
              <w:rPr>
                <w:rFonts w:ascii="Arial" w:cs="Arial" w:eastAsia="Arial" w:hAnsi="Arial"/>
                <w:sz w:val="18"/>
                <w:szCs w:val="18"/>
                <w:color w:val="auto"/>
              </w:rPr>
              <w:t>108,230</w:t>
            </w:r>
          </w:p>
        </w:tc>
        <w:tc>
          <w:tcPr>
            <w:tcW w:w="0" w:type="dxa"/>
            <w:vAlign w:val="bottom"/>
          </w:tcPr>
          <w:p>
            <w:pPr>
              <w:spacing w:after="0"/>
              <w:rPr>
                <w:sz w:val="1"/>
                <w:szCs w:val="1"/>
                <w:color w:val="auto"/>
              </w:rPr>
            </w:pPr>
          </w:p>
        </w:tc>
      </w:tr>
      <w:tr>
        <w:trPr>
          <w:trHeight w:val="231"/>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89"/>
              </w:rPr>
              <w:t>Reporting</w:t>
            </w:r>
          </w:p>
        </w:tc>
        <w:tc>
          <w:tcPr>
            <w:tcW w:w="380" w:type="dxa"/>
            <w:vAlign w:val="bottom"/>
            <w:tcBorders>
              <w:bottom w:val="single" w:sz="8" w:color="auto"/>
              <w:right w:val="single" w:sz="8" w:color="auto"/>
            </w:tcBorders>
          </w:tcPr>
          <w:p>
            <w:pPr>
              <w:spacing w:after="0"/>
              <w:rPr>
                <w:sz w:val="20"/>
                <w:szCs w:val="20"/>
                <w:color w:val="auto"/>
              </w:rPr>
            </w:pPr>
          </w:p>
        </w:tc>
        <w:tc>
          <w:tcPr>
            <w:tcW w:w="9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Borders>
              <w:right w:val="single" w:sz="8" w:color="auto"/>
            </w:tcBorders>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9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01" w:right="239" w:bottom="0"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140" w:type="dxa"/>
            <w:vAlign w:val="bottom"/>
            <w:tcBorders>
              <w:left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Person</w:t>
            </w:r>
          </w:p>
        </w:tc>
        <w:tc>
          <w:tcPr>
            <w:tcW w:w="80" w:type="dxa"/>
            <w:vAlign w:val="bottom"/>
          </w:tcPr>
          <w:p>
            <w:pPr>
              <w:spacing w:after="0"/>
              <w:rPr>
                <w:sz w:val="18"/>
                <w:szCs w:val="18"/>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(7)</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With</w:t>
            </w:r>
          </w:p>
        </w:tc>
        <w:tc>
          <w:tcPr>
            <w:tcW w:w="8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2"/>
        </w:trPr>
        <w:tc>
          <w:tcPr>
            <w:tcW w:w="48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99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(8)</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108,230</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108,230</w:t>
            </w: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6"/>
              </w:rPr>
              <w:t>5.87%</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1420" w:type="dxa"/>
            <w:vAlign w:val="bottom"/>
            <w:tcBorders>
              <w:top w:val="single" w:sz="8" w:color="auto"/>
              <w:left w:val="single" w:sz="8" w:color="auto"/>
              <w:bottom w:val="single" w:sz="8" w:color="auto"/>
              <w:right w:val="single" w:sz="8" w:color="auto"/>
            </w:tcBorders>
            <w:gridSpan w:val="6"/>
          </w:tcPr>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92840H103</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 I.R.S. Identification Nos. of Above Persons (Entities Only)</w:t>
            </w:r>
          </w:p>
        </w:tc>
        <w:tc>
          <w:tcPr>
            <w:tcW w:w="0" w:type="dxa"/>
            <w:vAlign w:val="bottom"/>
          </w:tcPr>
          <w:p>
            <w:pPr>
              <w:spacing w:after="0"/>
              <w:rPr>
                <w:sz w:val="1"/>
                <w:szCs w:val="1"/>
                <w:color w:val="auto"/>
              </w:rPr>
            </w:pPr>
          </w:p>
        </w:tc>
      </w:tr>
      <w:tr>
        <w:trPr>
          <w:trHeight w:val="412"/>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4"/>
          </w:tcPr>
          <w:p>
            <w:pPr>
              <w:ind w:left="280"/>
              <w:spacing w:after="0"/>
              <w:rPr>
                <w:sz w:val="20"/>
                <w:szCs w:val="20"/>
                <w:color w:val="auto"/>
              </w:rPr>
            </w:pPr>
            <w:r>
              <w:rPr>
                <w:rFonts w:ascii="Arial" w:cs="Arial" w:eastAsia="Arial" w:hAnsi="Arial"/>
                <w:sz w:val="18"/>
                <w:szCs w:val="18"/>
                <w:color w:val="auto"/>
              </w:rPr>
              <w:t>Michael McCarthy</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spacing w:after="0"/>
              <w:rPr>
                <w:sz w:val="19"/>
                <w:szCs w:val="19"/>
                <w:color w:val="auto"/>
              </w:rPr>
            </w:pPr>
          </w:p>
        </w:tc>
        <w:tc>
          <w:tcPr>
            <w:tcW w:w="9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3"/>
                <w:szCs w:val="23"/>
                <w:color w:val="auto"/>
              </w:rPr>
            </w:pPr>
          </w:p>
        </w:tc>
        <w:tc>
          <w:tcPr>
            <w:tcW w:w="9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4"/>
                <w:szCs w:val="24"/>
                <w:color w:val="auto"/>
              </w:rPr>
            </w:pPr>
          </w:p>
        </w:tc>
        <w:tc>
          <w:tcPr>
            <w:tcW w:w="9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4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spacing w:after="0"/>
              <w:rPr>
                <w:sz w:val="6"/>
                <w:szCs w:val="6"/>
                <w:color w:val="auto"/>
              </w:rPr>
            </w:pPr>
          </w:p>
        </w:tc>
        <w:tc>
          <w:tcPr>
            <w:tcW w:w="9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4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spacing w:after="0"/>
              <w:rPr>
                <w:sz w:val="18"/>
                <w:szCs w:val="18"/>
                <w:color w:val="auto"/>
              </w:rPr>
            </w:pPr>
          </w:p>
        </w:tc>
        <w:tc>
          <w:tcPr>
            <w:tcW w:w="9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(5)</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1140" w:type="dxa"/>
            <w:vAlign w:val="bottom"/>
            <w:tcBorders>
              <w:left w:val="single" w:sz="8" w:color="auto"/>
              <w:right w:val="single" w:sz="8" w:color="auto"/>
            </w:tcBorders>
            <w:gridSpan w:val="3"/>
          </w:tcPr>
          <w:p>
            <w:pPr>
              <w:jc w:val="center"/>
              <w:ind w:left="32"/>
              <w:spacing w:after="0" w:line="201" w:lineRule="exact"/>
              <w:rPr>
                <w:sz w:val="20"/>
                <w:szCs w:val="20"/>
                <w:color w:val="auto"/>
              </w:rPr>
            </w:pPr>
            <w:r>
              <w:rPr>
                <w:rFonts w:ascii="Arial" w:cs="Arial" w:eastAsia="Arial" w:hAnsi="Arial"/>
                <w:sz w:val="18"/>
                <w:szCs w:val="18"/>
                <w:color w:val="auto"/>
                <w:w w:val="80"/>
              </w:rPr>
              <w:t>Shares</w:t>
            </w:r>
          </w:p>
        </w:tc>
        <w:tc>
          <w:tcPr>
            <w:tcW w:w="80" w:type="dxa"/>
            <w:vAlign w:val="bottom"/>
          </w:tcPr>
          <w:p>
            <w:pPr>
              <w:spacing w:after="0"/>
              <w:rPr>
                <w:sz w:val="17"/>
                <w:szCs w:val="17"/>
                <w:color w:val="auto"/>
              </w:rPr>
            </w:pPr>
          </w:p>
        </w:tc>
        <w:tc>
          <w:tcPr>
            <w:tcW w:w="3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(6)</w:t>
            </w:r>
          </w:p>
        </w:tc>
        <w:tc>
          <w:tcPr>
            <w:tcW w:w="99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4"/>
              </w:rPr>
              <w:t>Beneficially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108,230</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700" w:type="dxa"/>
            <w:vAlign w:val="bottom"/>
            <w:tcBorders>
              <w:right w:val="single" w:sz="8" w:color="auto"/>
            </w:tcBorders>
            <w:gridSpan w:val="2"/>
          </w:tcPr>
          <w:p>
            <w:pPr>
              <w:jc w:val="center"/>
              <w:ind w:right="231"/>
              <w:spacing w:after="0" w:line="190" w:lineRule="exact"/>
              <w:rPr>
                <w:sz w:val="20"/>
                <w:szCs w:val="20"/>
                <w:color w:val="auto"/>
              </w:rPr>
            </w:pPr>
            <w:r>
              <w:rPr>
                <w:rFonts w:ascii="Arial" w:cs="Arial" w:eastAsia="Arial" w:hAnsi="Arial"/>
                <w:sz w:val="18"/>
                <w:szCs w:val="18"/>
                <w:color w:val="auto"/>
                <w:w w:val="82"/>
              </w:rPr>
              <w:t>Each</w:t>
            </w:r>
          </w:p>
        </w:tc>
        <w:tc>
          <w:tcPr>
            <w:tcW w:w="80" w:type="dxa"/>
            <w:vAlign w:val="bottom"/>
          </w:tcPr>
          <w:p>
            <w:pPr>
              <w:spacing w:after="0"/>
              <w:rPr>
                <w:sz w:val="16"/>
                <w:szCs w:val="16"/>
                <w:color w:val="auto"/>
              </w:rPr>
            </w:pPr>
          </w:p>
        </w:tc>
        <w:tc>
          <w:tcPr>
            <w:tcW w:w="3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90"/>
              </w:rPr>
              <w:t>(7)</w:t>
            </w:r>
          </w:p>
        </w:tc>
        <w:tc>
          <w:tcPr>
            <w:tcW w:w="99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0"/>
              </w:rPr>
              <w:t>Person</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9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700" w:type="dxa"/>
            <w:vAlign w:val="bottom"/>
            <w:tcBorders>
              <w:right w:val="single" w:sz="8" w:color="auto"/>
            </w:tcBorders>
            <w:gridSpan w:val="2"/>
            <w:vMerge w:val="restart"/>
          </w:tcPr>
          <w:p>
            <w:pPr>
              <w:jc w:val="center"/>
              <w:ind w:right="231"/>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99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(8)</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108,230</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108,230</w:t>
            </w: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6"/>
              </w:rPr>
              <w:t>5.87%</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Name of Issuer</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VISTAGEN THERAPEUTICS, INC.</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South San Francisco, California, 94080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Name of Person Filing</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Calm Seas Capital</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Michael McCarthy</w:t>
      </w:r>
    </w:p>
    <w:p>
      <w:pPr>
        <w:sectPr>
          <w:pgSz w:w="11900" w:h="16838" w:orient="portrait"/>
          <w:cols w:equalWidth="0" w:num="1">
            <w:col w:w="11420"/>
          </w:cols>
          <w:pgMar w:left="240" w:top="140" w:right="239" w:bottom="0" w:gutter="0" w:footer="0" w:header="0"/>
        </w:sectPr>
      </w:pPr>
    </w:p>
    <w:bookmarkStart w:id="2" w:name="page3"/>
    <w:bookmarkEnd w:id="2"/>
    <w:p>
      <w:pPr>
        <w:ind w:left="2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4650 Wedekind Rd. Suite 2</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Sparks, NV 89431</w:t>
      </w:r>
    </w:p>
    <w:p>
      <w:pPr>
        <w:spacing w:after="0" w:line="85" w:lineRule="exact"/>
        <w:rPr>
          <w:sz w:val="20"/>
          <w:szCs w:val="20"/>
          <w:color w:val="auto"/>
        </w:rPr>
      </w:pPr>
    </w:p>
    <w:p>
      <w:pPr>
        <w:ind w:left="280" w:right="9420" w:hanging="2"/>
        <w:spacing w:after="0" w:line="432" w:lineRule="auto"/>
        <w:tabs>
          <w:tab w:leader="none" w:pos="525"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Citizenship </w:t>
      </w:r>
      <w:r>
        <w:rPr>
          <w:rFonts w:ascii="Arial" w:cs="Arial" w:eastAsia="Arial" w:hAnsi="Arial"/>
          <w:sz w:val="15"/>
          <w:szCs w:val="15"/>
          <w:color w:val="auto"/>
        </w:rPr>
        <w:t>Nevada, United States</w:t>
      </w: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par value $0.001 per share</w:t>
      </w:r>
    </w:p>
    <w:p>
      <w:pPr>
        <w:spacing w:after="0" w:line="100" w:lineRule="exact"/>
        <w:rPr>
          <w:sz w:val="20"/>
          <w:szCs w:val="20"/>
          <w:color w:val="auto"/>
        </w:rPr>
      </w:pPr>
    </w:p>
    <w:p>
      <w:pPr>
        <w:ind w:left="280" w:right="9560" w:hanging="2"/>
        <w:spacing w:after="0" w:line="429" w:lineRule="auto"/>
        <w:tabs>
          <w:tab w:leader="none" w:pos="52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92840H103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An investment adviser in accordance with §240.13d-1(b)(1)(ii)(E);</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(h)</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 savings associations as defined in Section 3(b) of the Federal Deposit Insurance Act (12 U.S.C. 1813);</w:t>
            </w:r>
          </w:p>
        </w:tc>
      </w:tr>
      <w:tr>
        <w:trPr>
          <w:trHeight w:val="220"/>
        </w:trPr>
        <w:tc>
          <w:tcPr>
            <w:tcW w:w="280" w:type="dxa"/>
            <w:vAlign w:val="bottom"/>
          </w:tcPr>
          <w:p>
            <w:pPr>
              <w:spacing w:after="0"/>
              <w:rPr>
                <w:sz w:val="20"/>
                <w:szCs w:val="20"/>
                <w:color w:val="auto"/>
              </w:rPr>
            </w:pPr>
            <w:r>
              <w:rPr>
                <w:rFonts w:ascii="Arial" w:cs="Arial" w:eastAsia="Arial" w:hAnsi="Arial"/>
                <w:sz w:val="18"/>
                <w:szCs w:val="18"/>
                <w:b w:val="1"/>
                <w:bCs w:val="1"/>
                <w:color w:val="auto"/>
              </w:rPr>
              <w:t>(i)</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w w:val="91"/>
              </w:rPr>
              <w:t>] A church plan that is excluded from the definition of an investment company under section 3(c)(14) of the Investment Company</w:t>
            </w: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Act of 1940 (15 U.S.C. 80a-3);</w:t>
            </w:r>
          </w:p>
        </w:tc>
      </w:tr>
    </w:tbl>
    <w:p>
      <w:pPr>
        <w:ind w:left="620" w:hanging="342"/>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 Group, in accordance with §240.13d-1(b)(1)(ii)(J).</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Amount beneficially owned:</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Calm Seas Capital beneficially owns 108,230 shares of the Issuer's common stock.</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Mr. Michael McCarthy is the Managing Director of Calm Seas Capital and has voting and dispositive power over the securities described above.</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Percent of class:</w:t>
      </w:r>
    </w:p>
    <w:p>
      <w:pPr>
        <w:spacing w:after="0" w:line="108" w:lineRule="exact"/>
        <w:rPr>
          <w:sz w:val="20"/>
          <w:szCs w:val="20"/>
          <w:color w:val="auto"/>
        </w:rPr>
      </w:pPr>
    </w:p>
    <w:p>
      <w:pPr>
        <w:ind w:left="280" w:right="260"/>
        <w:spacing w:after="0" w:line="277" w:lineRule="auto"/>
        <w:rPr>
          <w:sz w:val="20"/>
          <w:szCs w:val="20"/>
          <w:color w:val="auto"/>
        </w:rPr>
      </w:pPr>
      <w:r>
        <w:rPr>
          <w:rFonts w:ascii="Arial" w:cs="Arial" w:eastAsia="Arial" w:hAnsi="Arial"/>
          <w:sz w:val="18"/>
          <w:szCs w:val="18"/>
          <w:color w:val="auto"/>
        </w:rPr>
        <w:t>5.87%. Based on 1,748,399 shares of the Issuer's common stock outstanding on November 13, 2015, as reported by VistaGen Therapeutics, Inc. in its Quarterly Report on Form 10-Q for the quarter ending September 30, 2015.</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98" w:lineRule="exact"/>
        <w:rPr>
          <w:sz w:val="20"/>
          <w:szCs w:val="20"/>
          <w:color w:val="auto"/>
        </w:rPr>
      </w:pPr>
    </w:p>
    <w:p>
      <w:pPr>
        <w:ind w:left="760" w:hanging="212"/>
        <w:spacing w:after="0"/>
        <w:tabs>
          <w:tab w:leader="none" w:pos="7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0</w:t>
      </w:r>
    </w:p>
    <w:p>
      <w:pPr>
        <w:spacing w:after="0" w:line="99" w:lineRule="exact"/>
        <w:rPr>
          <w:rFonts w:ascii="Arial" w:cs="Arial" w:eastAsia="Arial" w:hAnsi="Arial"/>
          <w:sz w:val="18"/>
          <w:szCs w:val="18"/>
          <w:b w:val="1"/>
          <w:bCs w:val="1"/>
          <w:color w:val="auto"/>
        </w:rPr>
      </w:pPr>
    </w:p>
    <w:p>
      <w:pPr>
        <w:ind w:left="540" w:right="7300" w:firstLine="8"/>
        <w:spacing w:after="0" w:line="360" w:lineRule="auto"/>
        <w:tabs>
          <w:tab w:leader="none" w:pos="80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108,230</w:t>
      </w:r>
    </w:p>
    <w:p>
      <w:pPr>
        <w:ind w:left="860" w:hanging="312"/>
        <w:spacing w:after="0"/>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0</w:t>
      </w:r>
    </w:p>
    <w:p>
      <w:pPr>
        <w:spacing w:after="0" w:line="99" w:lineRule="exact"/>
        <w:rPr>
          <w:rFonts w:ascii="Arial" w:cs="Arial" w:eastAsia="Arial" w:hAnsi="Arial"/>
          <w:sz w:val="18"/>
          <w:szCs w:val="18"/>
          <w:b w:val="1"/>
          <w:bCs w:val="1"/>
          <w:color w:val="auto"/>
        </w:rPr>
      </w:pPr>
    </w:p>
    <w:p>
      <w:pPr>
        <w:ind w:left="540" w:right="6320" w:firstLine="8"/>
        <w:spacing w:after="0" w:line="391" w:lineRule="auto"/>
        <w:tabs>
          <w:tab w:leader="none" w:pos="84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108,230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16" w:right="359" w:bottom="105"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February 5, 2016</w:t>
      </w:r>
      <w:r>
        <w:rPr>
          <w:sz w:val="20"/>
          <w:szCs w:val="20"/>
          <w:color w:val="auto"/>
        </w:rPr>
        <w:tab/>
      </w:r>
      <w:r>
        <w:rPr>
          <w:rFonts w:ascii="Arial" w:cs="Arial" w:eastAsia="Arial" w:hAnsi="Arial"/>
          <w:sz w:val="16"/>
          <w:szCs w:val="16"/>
          <w:color w:val="auto"/>
        </w:rPr>
        <w:t>Calm Seas Capital</w:t>
      </w:r>
    </w:p>
    <w:p>
      <w:pPr>
        <w:spacing w:after="0" w:line="77" w:lineRule="exact"/>
        <w:rPr>
          <w:sz w:val="20"/>
          <w:szCs w:val="20"/>
          <w:color w:val="auto"/>
        </w:rPr>
      </w:pPr>
    </w:p>
    <w:p>
      <w:pPr>
        <w:ind w:left="63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1905</wp:posOffset>
            </wp:positionV>
            <wp:extent cx="234061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Michael McCarthy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060"/>
      </w:cols>
      <w:pgMar w:left="240" w:top="36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lowerLetter"/>
      <w:start w:val="10"/>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2020-01-19T12:26:25Z</dcterms:created>
  <dcterms:modified xsi:type="dcterms:W3CDTF">2020-01-19T12:26:25Z</dcterms:modified>
</cp:coreProperties>
</file>