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183515</wp:posOffset>
            </wp:positionH>
            <wp:positionV relativeFrom="page">
              <wp:posOffset>311785</wp:posOffset>
            </wp:positionV>
            <wp:extent cx="2778760" cy="1320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778760" cy="1320800"/>
                    </a:xfrm>
                    <a:prstGeom prst="rect">
                      <a:avLst/>
                    </a:prstGeom>
                    <a:noFill/>
                  </pic:spPr>
                </pic:pic>
              </a:graphicData>
            </a:graphic>
          </wp:anchor>
        </w:drawing>
        <w:t>VistaGen Therapeutics, Inc.</w:t>
      </w:r>
    </w:p>
    <w:p>
      <w:pPr>
        <w:spacing w:after="0" w:line="39" w:lineRule="exact"/>
        <w:rPr>
          <w:sz w:val="24"/>
          <w:szCs w:val="24"/>
          <w:color w:val="auto"/>
        </w:rPr>
      </w:pPr>
    </w:p>
    <w:p>
      <w:pPr>
        <w:ind w:left="9080"/>
        <w:spacing w:after="0"/>
        <w:rPr>
          <w:sz w:val="20"/>
          <w:szCs w:val="20"/>
          <w:color w:val="auto"/>
        </w:rPr>
      </w:pPr>
      <w:r>
        <w:rPr>
          <w:rFonts w:ascii="Arial" w:cs="Arial" w:eastAsia="Arial" w:hAnsi="Arial"/>
          <w:sz w:val="18"/>
          <w:szCs w:val="18"/>
          <w:color w:val="auto"/>
        </w:rPr>
        <w:t>343 Allerton Avenue</w:t>
      </w:r>
    </w:p>
    <w:p>
      <w:pPr>
        <w:spacing w:after="0" w:line="9" w:lineRule="exact"/>
        <w:rPr>
          <w:sz w:val="24"/>
          <w:szCs w:val="24"/>
          <w:color w:val="auto"/>
        </w:rPr>
      </w:pPr>
    </w:p>
    <w:p>
      <w:pPr>
        <w:ind w:left="9080"/>
        <w:spacing w:after="0"/>
        <w:rPr>
          <w:sz w:val="20"/>
          <w:szCs w:val="20"/>
          <w:color w:val="auto"/>
        </w:rPr>
      </w:pPr>
      <w:r>
        <w:rPr>
          <w:rFonts w:ascii="Arial" w:cs="Arial" w:eastAsia="Arial" w:hAnsi="Arial"/>
          <w:sz w:val="16"/>
          <w:szCs w:val="16"/>
          <w:color w:val="auto"/>
        </w:rPr>
        <w:t>South San Francisco, CA 94080</w:t>
      </w:r>
    </w:p>
    <w:p>
      <w:pPr>
        <w:spacing w:after="0" w:line="32" w:lineRule="exact"/>
        <w:rPr>
          <w:sz w:val="24"/>
          <w:szCs w:val="24"/>
          <w:color w:val="auto"/>
        </w:rPr>
      </w:pPr>
    </w:p>
    <w:p>
      <w:pPr>
        <w:ind w:left="9080"/>
        <w:spacing w:after="0"/>
        <w:rPr>
          <w:sz w:val="20"/>
          <w:szCs w:val="20"/>
          <w:color w:val="auto"/>
        </w:rPr>
      </w:pPr>
      <w:r>
        <w:rPr>
          <w:rFonts w:ascii="Arial" w:cs="Arial" w:eastAsia="Arial" w:hAnsi="Arial"/>
          <w:sz w:val="18"/>
          <w:szCs w:val="18"/>
          <w:color w:val="auto"/>
        </w:rPr>
        <w:t>650.577.3600 fax:</w:t>
      </w:r>
    </w:p>
    <w:p>
      <w:pPr>
        <w:spacing w:after="0" w:line="9" w:lineRule="exact"/>
        <w:rPr>
          <w:sz w:val="24"/>
          <w:szCs w:val="24"/>
          <w:color w:val="auto"/>
        </w:rPr>
      </w:pPr>
    </w:p>
    <w:p>
      <w:pPr>
        <w:ind w:left="9080"/>
        <w:spacing w:after="0"/>
        <w:rPr>
          <w:sz w:val="20"/>
          <w:szCs w:val="20"/>
          <w:color w:val="auto"/>
        </w:rPr>
      </w:pPr>
      <w:r>
        <w:rPr>
          <w:rFonts w:ascii="Arial" w:cs="Arial" w:eastAsia="Arial" w:hAnsi="Arial"/>
          <w:sz w:val="18"/>
          <w:szCs w:val="18"/>
          <w:color w:val="auto"/>
        </w:rPr>
        <w:t>650.244.9991</w:t>
      </w:r>
    </w:p>
    <w:p>
      <w:pPr>
        <w:spacing w:after="0" w:line="9" w:lineRule="exact"/>
        <w:rPr>
          <w:sz w:val="24"/>
          <w:szCs w:val="24"/>
          <w:color w:val="auto"/>
        </w:rPr>
      </w:pPr>
    </w:p>
    <w:p>
      <w:pPr>
        <w:ind w:left="9080"/>
        <w:spacing w:after="0"/>
        <w:rPr>
          <w:sz w:val="20"/>
          <w:szCs w:val="20"/>
          <w:color w:val="auto"/>
        </w:rPr>
      </w:pPr>
      <w:r>
        <w:rPr>
          <w:rFonts w:ascii="Arial" w:cs="Arial" w:eastAsia="Arial" w:hAnsi="Arial"/>
          <w:sz w:val="18"/>
          <w:szCs w:val="18"/>
          <w:color w:val="auto"/>
        </w:rPr>
        <w:t>www.vistagen.com</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July 25, 2014</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VistaGen Therapeutics, Inc.</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333-195901)</w:t>
      </w:r>
    </w:p>
    <w:p>
      <w:pPr>
        <w:spacing w:after="0" w:line="200" w:lineRule="exact"/>
        <w:rPr>
          <w:sz w:val="24"/>
          <w:szCs w:val="24"/>
          <w:color w:val="auto"/>
        </w:rPr>
      </w:pPr>
    </w:p>
    <w:p>
      <w:pPr>
        <w:spacing w:after="0" w:line="28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4"/>
          <w:szCs w:val="24"/>
          <w:color w:val="auto"/>
        </w:rPr>
      </w:pPr>
    </w:p>
    <w:p>
      <w:pPr>
        <w:jc w:val="both"/>
        <w:spacing w:after="0" w:line="279" w:lineRule="auto"/>
        <w:rPr>
          <w:sz w:val="20"/>
          <w:szCs w:val="20"/>
          <w:color w:val="auto"/>
        </w:rPr>
      </w:pPr>
      <w:r>
        <w:rPr>
          <w:rFonts w:ascii="Arial" w:cs="Arial" w:eastAsia="Arial" w:hAnsi="Arial"/>
          <w:sz w:val="17"/>
          <w:szCs w:val="17"/>
          <w:color w:val="auto"/>
        </w:rPr>
        <w:t>VistaGen Therapeutics, Inc. (the “</w:t>
      </w:r>
      <w:r>
        <w:rPr>
          <w:rFonts w:ascii="Arial" w:cs="Arial" w:eastAsia="Arial" w:hAnsi="Arial"/>
          <w:sz w:val="17"/>
          <w:szCs w:val="17"/>
          <w:i w:val="1"/>
          <w:iCs w:val="1"/>
          <w:color w:val="auto"/>
        </w:rPr>
        <w:t>Company</w:t>
      </w:r>
      <w:r>
        <w:rPr>
          <w:rFonts w:ascii="Arial" w:cs="Arial" w:eastAsia="Arial" w:hAnsi="Arial"/>
          <w:sz w:val="17"/>
          <w:szCs w:val="17"/>
          <w:color w:val="auto"/>
        </w:rPr>
        <w:t>”) hereby requests acceleration of the effectiveness of the Registration Statement on Form S-1 (File No. 333-195901) (the “</w:t>
      </w:r>
      <w:r>
        <w:rPr>
          <w:rFonts w:ascii="Arial" w:cs="Arial" w:eastAsia="Arial" w:hAnsi="Arial"/>
          <w:sz w:val="17"/>
          <w:szCs w:val="17"/>
          <w:i w:val="1"/>
          <w:iCs w:val="1"/>
          <w:color w:val="auto"/>
        </w:rPr>
        <w:t>Registration Statement</w:t>
      </w:r>
      <w:r>
        <w:rPr>
          <w:rFonts w:ascii="Arial" w:cs="Arial" w:eastAsia="Arial" w:hAnsi="Arial"/>
          <w:sz w:val="17"/>
          <w:szCs w:val="17"/>
          <w:color w:val="auto"/>
        </w:rPr>
        <w:t>”) to 10:00 AM, Washington D.C. time, on July 28, 2014, or as soon as is practicable thereafter. The undersigned confirms that it is aware of its responsibilities under the Securities Act of 1933, as amended, and the Securities Exchange Act of 1934, as amended, as they relate to the proposed public offering of the securities registered pursuant to the aforementioned Registration Statement.</w:t>
      </w:r>
    </w:p>
    <w:p>
      <w:pPr>
        <w:spacing w:after="0" w:line="198"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The Company acknowledges that the adequacy and accuracy of the disclosure in the Registration Statement is the responsibility of the Company. The Company further acknowledges that:</w:t>
      </w:r>
    </w:p>
    <w:p>
      <w:pPr>
        <w:spacing w:after="0" w:line="197" w:lineRule="exact"/>
        <w:rPr>
          <w:sz w:val="24"/>
          <w:szCs w:val="24"/>
          <w:color w:val="auto"/>
        </w:rPr>
      </w:pPr>
    </w:p>
    <w:p>
      <w:pPr>
        <w:ind w:left="1460" w:hanging="759"/>
        <w:spacing w:after="0" w:line="277" w:lineRule="auto"/>
        <w:tabs>
          <w:tab w:leader="none" w:pos="1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Commission or the staff, acting pursuant to delegated authority, declare the Registration Statement effective, it does not foreclose the Commission from taking any action with respect to the Registration Statement;</w:t>
      </w:r>
    </w:p>
    <w:p>
      <w:pPr>
        <w:spacing w:after="0" w:line="170" w:lineRule="exact"/>
        <w:rPr>
          <w:rFonts w:ascii="Arial" w:cs="Arial" w:eastAsia="Arial" w:hAnsi="Arial"/>
          <w:sz w:val="18"/>
          <w:szCs w:val="18"/>
          <w:color w:val="auto"/>
        </w:rPr>
      </w:pPr>
    </w:p>
    <w:p>
      <w:pPr>
        <w:ind w:left="1460" w:hanging="759"/>
        <w:spacing w:after="0" w:line="342" w:lineRule="auto"/>
        <w:tabs>
          <w:tab w:leader="none" w:pos="1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action of the Commission or the staff, acting pursuant to delegated authority, in declaring the Registration Statement effective, does not relieve the Company from its full responsibility for the adequacy and accuracy of the disclosure in the Registration Statement; and</w:t>
      </w:r>
    </w:p>
    <w:p>
      <w:pPr>
        <w:spacing w:after="0" w:line="123" w:lineRule="exact"/>
        <w:rPr>
          <w:rFonts w:ascii="Arial" w:cs="Arial" w:eastAsia="Arial" w:hAnsi="Arial"/>
          <w:sz w:val="16"/>
          <w:szCs w:val="16"/>
          <w:color w:val="auto"/>
        </w:rPr>
      </w:pPr>
    </w:p>
    <w:p>
      <w:pPr>
        <w:ind w:left="1460" w:hanging="759"/>
        <w:spacing w:after="0" w:line="277" w:lineRule="auto"/>
        <w:tabs>
          <w:tab w:leader="none" w:pos="1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200" w:lineRule="exact"/>
        <w:rPr>
          <w:sz w:val="24"/>
          <w:szCs w:val="24"/>
          <w:color w:val="auto"/>
        </w:rPr>
      </w:pPr>
    </w:p>
    <w:p>
      <w:pPr>
        <w:spacing w:after="0" w:line="21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Upon grant of our request to accelerate effectiveness, we would appreciate your communicating with the Company’s counsel, Daniel W. Rumsey, via telephone at (619) 795-1134, to confirm the exact time at which the Registration Statement was declared effective.</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Very truly yours,</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/s/ Shawn K. Singh</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Shawn K. Singh</w:t>
      </w:r>
    </w:p>
    <w:p>
      <w:pPr>
        <w:spacing w:after="0" w:line="9"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ind w:right="9340" w:firstLine="8"/>
        <w:spacing w:after="0" w:line="286" w:lineRule="auto"/>
        <w:tabs>
          <w:tab w:leader="none" w:pos="705" w:val="left"/>
        </w:tabs>
        <w:numPr>
          <w:ilvl w:val="0"/>
          <w:numId w:val="2"/>
        </w:numPr>
        <w:rPr>
          <w:rFonts w:ascii="Arial" w:cs="Arial" w:eastAsia="Arial" w:hAnsi="Arial"/>
          <w:sz w:val="17"/>
          <w:szCs w:val="17"/>
          <w:color w:val="auto"/>
        </w:rPr>
      </w:pPr>
      <w:r>
        <w:rPr>
          <w:rFonts w:ascii="Arial" w:cs="Arial" w:eastAsia="Arial" w:hAnsi="Arial"/>
          <w:sz w:val="17"/>
          <w:szCs w:val="17"/>
          <w:color w:val="auto"/>
        </w:rPr>
        <w:t>Daniel W. Rumsey Managing Partner Disclosure Law Group</w:t>
      </w:r>
    </w:p>
    <w:sectPr>
      <w:pgSz w:w="11900" w:h="16838" w:orient="portrait"/>
      <w:cols w:equalWidth="0" w:num="1">
        <w:col w:w="11420"/>
      </w:cols>
      <w:pgMar w:left="240" w:top="99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2020-01-27T23:02:56Z</dcterms:created>
  <dcterms:modified xsi:type="dcterms:W3CDTF">2020-01-27T23:02:56Z</dcterms:modified>
</cp:coreProperties>
</file>