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800" w:type="dxa"/>
            <w:vAlign w:val="bottom"/>
          </w:tcPr>
          <w:p>
            <w:pPr>
              <w:jc w:val="right"/>
              <w:ind w:right="3612"/>
              <w:spacing w:after="0"/>
              <w:rPr>
                <w:sz w:val="20"/>
                <w:szCs w:val="20"/>
                <w:color w:val="auto"/>
              </w:rPr>
            </w:pPr>
            <w:r>
              <w:rPr>
                <w:rFonts w:ascii="Arial" w:cs="Arial" w:eastAsia="Arial" w:hAnsi="Arial"/>
                <w:sz w:val="18"/>
                <w:szCs w:val="18"/>
                <w:b w:val="1"/>
                <w:bCs w:val="1"/>
                <w:color w:val="auto"/>
              </w:rPr>
              <w:t>.</w:t>
            </w:r>
          </w:p>
        </w:tc>
      </w:tr>
      <w:tr>
        <w:trPr>
          <w:trHeight w:val="451"/>
        </w:trPr>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4"/>
        </w:trPr>
        <w:tc>
          <w:tcPr>
            <w:tcW w:w="8100" w:type="dxa"/>
            <w:vAlign w:val="bottom"/>
            <w:gridSpan w:val="6"/>
          </w:tcPr>
          <w:p>
            <w:pPr>
              <w:jc w:val="center"/>
              <w:ind w:left="317"/>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00" w:type="dxa"/>
            <w:vAlign w:val="bottom"/>
            <w:gridSpan w:val="4"/>
          </w:tcPr>
          <w:p>
            <w:pPr>
              <w:jc w:val="center"/>
              <w:ind w:right="191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642"/>
        </w:trPr>
        <w:tc>
          <w:tcPr>
            <w:tcW w:w="2400" w:type="dxa"/>
            <w:vAlign w:val="bottom"/>
            <w:gridSpan w:val="2"/>
          </w:tcPr>
          <w:p>
            <w:pPr>
              <w:jc w:val="center"/>
              <w:ind w:left="77"/>
              <w:spacing w:after="0"/>
              <w:rPr>
                <w:sz w:val="20"/>
                <w:szCs w:val="20"/>
                <w:color w:val="auto"/>
              </w:rPr>
            </w:pPr>
            <w:r>
              <w:rPr>
                <w:rFonts w:ascii="Arial" w:cs="Arial" w:eastAsia="Arial" w:hAnsi="Arial"/>
                <w:sz w:val="18"/>
                <w:szCs w:val="18"/>
                <w:b w:val="1"/>
                <w:bCs w:val="1"/>
                <w:color w:val="auto"/>
                <w:w w:val="90"/>
              </w:rPr>
              <w:t>Nevada</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jc w:val="center"/>
              <w:ind w:left="329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1"/>
              </w:rPr>
              <w:t>(State or other jurisdiction of</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400" w:type="dxa"/>
            <w:vAlign w:val="bottom"/>
            <w:gridSpan w:val="2"/>
          </w:tcPr>
          <w:p>
            <w:pPr>
              <w:jc w:val="center"/>
              <w:ind w:left="77"/>
              <w:spacing w:after="0"/>
              <w:rPr>
                <w:sz w:val="20"/>
                <w:szCs w:val="20"/>
                <w:color w:val="auto"/>
              </w:rPr>
            </w:pPr>
            <w:r>
              <w:rPr>
                <w:rFonts w:ascii="Arial" w:cs="Arial" w:eastAsia="Arial" w:hAnsi="Arial"/>
                <w:sz w:val="18"/>
                <w:szCs w:val="18"/>
                <w:i w:val="1"/>
                <w:iCs w:val="1"/>
                <w:color w:val="auto"/>
                <w:w w:val="93"/>
              </w:rPr>
              <w:t>incorporation or organization)</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0" w:type="dxa"/>
            <w:vAlign w:val="bottom"/>
          </w:tcPr>
          <w:p>
            <w:pPr>
              <w:jc w:val="center"/>
              <w:ind w:left="24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r>
      <w:tr>
        <w:trPr>
          <w:trHeight w:val="222"/>
        </w:trPr>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0"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4"/>
        </w:trPr>
        <w:tc>
          <w:tcPr>
            <w:tcW w:w="1680" w:type="dxa"/>
            <w:vAlign w:val="bottom"/>
          </w:tcPr>
          <w:p>
            <w:pPr>
              <w:spacing w:after="0"/>
              <w:rPr>
                <w:sz w:val="24"/>
                <w:szCs w:val="24"/>
                <w:color w:val="auto"/>
              </w:rPr>
            </w:pPr>
          </w:p>
        </w:tc>
        <w:tc>
          <w:tcPr>
            <w:tcW w:w="2860" w:type="dxa"/>
            <w:vAlign w:val="bottom"/>
            <w:gridSpan w:val="2"/>
          </w:tcPr>
          <w:p>
            <w:pPr>
              <w:jc w:val="center"/>
              <w:ind w:right="1600"/>
              <w:spacing w:after="0"/>
              <w:rPr>
                <w:sz w:val="20"/>
                <w:szCs w:val="20"/>
                <w:color w:val="auto"/>
              </w:rPr>
            </w:pPr>
            <w:r>
              <w:rPr>
                <w:rFonts w:ascii="Arial" w:cs="Arial" w:eastAsia="Arial" w:hAnsi="Arial"/>
                <w:sz w:val="18"/>
                <w:szCs w:val="18"/>
                <w:color w:val="auto"/>
                <w:w w:val="87"/>
              </w:rPr>
              <w:t>Title of each class</w:t>
            </w:r>
          </w:p>
        </w:tc>
        <w:tc>
          <w:tcPr>
            <w:tcW w:w="24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Trading Symbol(s)</w:t>
            </w:r>
          </w:p>
        </w:tc>
        <w:tc>
          <w:tcPr>
            <w:tcW w:w="370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35"/>
        </w:trPr>
        <w:tc>
          <w:tcPr>
            <w:tcW w:w="4540" w:type="dxa"/>
            <w:vAlign w:val="bottom"/>
            <w:gridSpan w:val="3"/>
          </w:tcPr>
          <w:p>
            <w:pPr>
              <w:jc w:val="center"/>
              <w:spacing w:after="0"/>
              <w:rPr>
                <w:sz w:val="20"/>
                <w:szCs w:val="20"/>
                <w:color w:val="auto"/>
              </w:rPr>
            </w:pPr>
            <w:r>
              <w:rPr>
                <w:rFonts w:ascii="Arial" w:cs="Arial" w:eastAsia="Arial" w:hAnsi="Arial"/>
                <w:sz w:val="18"/>
                <w:szCs w:val="18"/>
                <w:color w:val="auto"/>
                <w:w w:val="87"/>
              </w:rPr>
              <w:t>Common Stock, par value $0.001 per share</w:t>
            </w:r>
          </w:p>
        </w:tc>
        <w:tc>
          <w:tcPr>
            <w:tcW w:w="500" w:type="dxa"/>
            <w:vAlign w:val="bottom"/>
          </w:tcPr>
          <w:p>
            <w:pPr>
              <w:spacing w:after="0"/>
              <w:rPr>
                <w:sz w:val="20"/>
                <w:szCs w:val="20"/>
                <w:color w:val="auto"/>
              </w:rPr>
            </w:pPr>
          </w:p>
        </w:tc>
        <w:tc>
          <w:tcPr>
            <w:tcW w:w="1920" w:type="dxa"/>
            <w:vAlign w:val="bottom"/>
            <w:gridSpan w:val="2"/>
          </w:tcPr>
          <w:p>
            <w:pPr>
              <w:jc w:val="center"/>
              <w:ind w:right="600"/>
              <w:spacing w:after="0"/>
              <w:rPr>
                <w:sz w:val="20"/>
                <w:szCs w:val="20"/>
                <w:color w:val="auto"/>
              </w:rPr>
            </w:pPr>
            <w:r>
              <w:rPr>
                <w:rFonts w:ascii="Arial" w:cs="Arial" w:eastAsia="Arial" w:hAnsi="Arial"/>
                <w:sz w:val="18"/>
                <w:szCs w:val="18"/>
                <w:color w:val="auto"/>
                <w:w w:val="95"/>
              </w:rPr>
              <w:t>VTGN</w:t>
            </w:r>
          </w:p>
        </w:tc>
        <w:tc>
          <w:tcPr>
            <w:tcW w:w="58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13, 2020, 47,963,042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2019</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80" w:type="dxa"/>
            <w:vAlign w:val="bottom"/>
            <w:gridSpan w:val="11"/>
          </w:tcPr>
          <w:p>
            <w:pPr>
              <w:ind w:left="92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120" w:type="dxa"/>
            <w:vAlign w:val="bottom"/>
            <w:gridSpan w:val="13"/>
            <w:shd w:val="clear" w:color="auto" w:fill="CCEEFF"/>
          </w:tcPr>
          <w:p>
            <w:pPr>
              <w:jc w:val="center"/>
              <w:ind w:right="356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360" w:type="dxa"/>
            <w:vAlign w:val="bottom"/>
            <w:gridSpan w:val="2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20" w:type="dxa"/>
            <w:vAlign w:val="bottom"/>
            <w:gridSpan w:val="22"/>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December 31, 2019 and March 31, 2019</w:t>
              </w:r>
            </w:hyperlink>
          </w:p>
        </w:tc>
        <w:tc>
          <w:tcPr>
            <w:tcW w:w="88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20" w:type="dxa"/>
            <w:vAlign w:val="bottom"/>
            <w:gridSpan w:val="22"/>
            <w:shd w:val="clear" w:color="auto" w:fill="CCEEFF"/>
          </w:tcPr>
          <w:p>
            <w:pPr>
              <w:ind w:left="140"/>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and nine months ended December 31, 2019</w:t>
              </w:r>
            </w:hyperlink>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922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2018</w:t>
              </w:r>
            </w:hyperlink>
          </w:p>
        </w:tc>
        <w:tc>
          <w:tcPr>
            <w:tcW w:w="500" w:type="dxa"/>
            <w:vAlign w:val="bottom"/>
            <w:tcBorders>
              <w:top w:val="single" w:sz="8" w:color="CCEEFF"/>
            </w:tcBorders>
            <w:gridSpan w:val="2"/>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20" w:type="dxa"/>
            <w:vAlign w:val="bottom"/>
            <w:gridSpan w:val="22"/>
          </w:tcPr>
          <w:p>
            <w:pPr>
              <w:ind w:left="1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December 31, 2019 and 2018</w:t>
              </w:r>
            </w:hyperlink>
          </w:p>
        </w:tc>
        <w:tc>
          <w:tcPr>
            <w:tcW w:w="88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20" w:type="dxa"/>
            <w:vAlign w:val="bottom"/>
            <w:gridSpan w:val="22"/>
            <w:shd w:val="clear" w:color="auto" w:fill="CCEEFF"/>
          </w:tcPr>
          <w:p>
            <w:pPr>
              <w:ind w:left="140"/>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Changes in Stockholders’ (Deficit) Equity for the nine months ended December 31, 2019 and 2018</w:t>
              </w:r>
            </w:hyperlink>
          </w:p>
        </w:tc>
        <w:tc>
          <w:tcPr>
            <w:tcW w:w="880" w:type="dxa"/>
            <w:vAlign w:val="bottom"/>
            <w:shd w:val="clear" w:color="auto" w:fill="CCEEFF"/>
          </w:tcPr>
          <w:p>
            <w:pPr>
              <w:jc w:val="center"/>
              <w:ind w:right="52"/>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20" w:type="dxa"/>
            <w:vAlign w:val="bottom"/>
            <w:gridSpan w:val="22"/>
          </w:tcPr>
          <w:p>
            <w:pPr>
              <w:ind w:left="14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88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Item 2. Management’s Discussion and Analysis of Financial Condition and Results of Operations</w:t>
              </w:r>
            </w:hyperlink>
          </w:p>
        </w:tc>
        <w:tc>
          <w:tcPr>
            <w:tcW w:w="3520" w:type="dxa"/>
            <w:vAlign w:val="bottom"/>
            <w:tcBorders>
              <w:bottom w:val="single" w:sz="8" w:color="CCEEFF"/>
            </w:tcBorders>
            <w:gridSpan w:val="4"/>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right="52"/>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360" w:type="dxa"/>
            <w:vAlign w:val="bottom"/>
            <w:gridSpan w:val="2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4. Controls and Procedures</w:t>
              </w:r>
            </w:hyperlink>
          </w:p>
        </w:tc>
        <w:tc>
          <w:tcPr>
            <w:tcW w:w="88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80" w:type="dxa"/>
            <w:vAlign w:val="bottom"/>
            <w:gridSpan w:val="11"/>
          </w:tcPr>
          <w:p>
            <w:pPr>
              <w:jc w:val="center"/>
              <w:ind w:right="4000"/>
              <w:spacing w:after="0" w:line="176"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PART II. OTHER INFORMATION</w:t>
              </w:r>
            </w:hyperlink>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gridSpan w:val="2"/>
          </w:tcPr>
          <w:p>
            <w:pPr>
              <w:spacing w:after="0" w:line="17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Item 1.</w:t>
              </w:r>
            </w:hyperlink>
          </w:p>
        </w:tc>
        <w:tc>
          <w:tcPr>
            <w:tcW w:w="10020" w:type="dxa"/>
            <w:vAlign w:val="bottom"/>
            <w:gridSpan w:val="22"/>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88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Item 1A. Risk Factors</w:t>
              </w:r>
            </w:hyperlink>
          </w:p>
        </w:tc>
        <w:tc>
          <w:tcPr>
            <w:tcW w:w="8980" w:type="dxa"/>
            <w:vAlign w:val="bottom"/>
            <w:tcBorders>
              <w:bottom w:val="single" w:sz="8" w:color="CCEEFF"/>
            </w:tcBorders>
            <w:gridSpan w:val="16"/>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center"/>
              <w:ind w:right="52"/>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gridSpan w:val="2"/>
          </w:tcPr>
          <w:p>
            <w:pPr>
              <w:spacing w:after="0" w:line="17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Item 2.</w:t>
              </w:r>
            </w:hyperlink>
          </w:p>
        </w:tc>
        <w:tc>
          <w:tcPr>
            <w:tcW w:w="10020" w:type="dxa"/>
            <w:vAlign w:val="bottom"/>
            <w:gridSpan w:val="22"/>
          </w:tcPr>
          <w:p>
            <w:pPr>
              <w:ind w:left="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Unregistered Sales of Equity Securities and Use of Proceeds</w:t>
              </w:r>
            </w:hyperlink>
          </w:p>
        </w:tc>
        <w:tc>
          <w:tcPr>
            <w:tcW w:w="88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Item 3.</w:t>
              </w:r>
            </w:hyperlink>
          </w:p>
        </w:tc>
        <w:tc>
          <w:tcPr>
            <w:tcW w:w="10020" w:type="dxa"/>
            <w:vAlign w:val="bottom"/>
            <w:gridSpan w:val="22"/>
            <w:shd w:val="clear" w:color="auto" w:fill="CCEEFF"/>
          </w:tcPr>
          <w:p>
            <w:pPr>
              <w:ind w:left="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Defaults Upon Senior Secured Securities</w:t>
              </w:r>
            </w:hyperlink>
          </w:p>
        </w:tc>
        <w:tc>
          <w:tcPr>
            <w:tcW w:w="880" w:type="dxa"/>
            <w:vAlign w:val="bottom"/>
            <w:shd w:val="clear" w:color="auto" w:fill="CCEEFF"/>
          </w:tcPr>
          <w:p>
            <w:pPr>
              <w:jc w:val="center"/>
              <w:ind w:right="52"/>
              <w:spacing w:after="0" w:line="17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gridSpan w:val="2"/>
          </w:tcPr>
          <w:p>
            <w:pPr>
              <w:spacing w:after="0" w:line="17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Item 6.</w:t>
              </w:r>
            </w:hyperlink>
          </w:p>
        </w:tc>
        <w:tc>
          <w:tcPr>
            <w:tcW w:w="2900" w:type="dxa"/>
            <w:vAlign w:val="bottom"/>
            <w:tcBorders>
              <w:top w:val="single" w:sz="8" w:color="0000EE"/>
            </w:tcBorders>
            <w:gridSpan w:val="9"/>
          </w:tcPr>
          <w:p>
            <w:pPr>
              <w:ind w:left="2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7120" w:type="dxa"/>
            <w:vAlign w:val="bottom"/>
            <w:tcBorders>
              <w:top w:val="single" w:sz="8" w:color="CCEEFF"/>
            </w:tcBorders>
            <w:gridSpan w:val="13"/>
          </w:tcPr>
          <w:p>
            <w:pPr>
              <w:spacing w:after="0"/>
              <w:rPr>
                <w:sz w:val="15"/>
                <w:szCs w:val="15"/>
                <w:color w:val="auto"/>
              </w:rPr>
            </w:pPr>
          </w:p>
        </w:tc>
        <w:tc>
          <w:tcPr>
            <w:tcW w:w="880" w:type="dxa"/>
            <w:vAlign w:val="bottom"/>
            <w:tcBorders>
              <w:top w:val="single" w:sz="8" w:color="CCEEFF"/>
            </w:tcBorders>
          </w:tcPr>
          <w:p>
            <w:pPr>
              <w:jc w:val="center"/>
              <w:ind w:right="52"/>
              <w:spacing w:after="0" w:line="17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360" w:type="dxa"/>
            <w:vAlign w:val="bottom"/>
            <w:gridSpan w:val="23"/>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880" w:type="dxa"/>
            <w:vAlign w:val="bottom"/>
          </w:tcPr>
          <w:p>
            <w:pPr>
              <w:jc w:val="center"/>
              <w:ind w:right="52"/>
              <w:spacing w:after="0" w:line="176" w:lineRule="exact"/>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9"/>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1"/>
                <w:szCs w:val="21"/>
                <w:color w:val="auto"/>
              </w:rPr>
            </w:pPr>
          </w:p>
        </w:tc>
      </w:tr>
      <w:tr>
        <w:trPr>
          <w:trHeight w:val="241"/>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(Unaudited)</w:t>
            </w: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(Note 2)</w:t>
            </w:r>
          </w:p>
        </w:tc>
      </w:tr>
      <w:tr>
        <w:trPr>
          <w:trHeight w:val="486"/>
        </w:trPr>
        <w:tc>
          <w:tcPr>
            <w:tcW w:w="1240" w:type="dxa"/>
            <w:vAlign w:val="bottom"/>
          </w:tcPr>
          <w:p>
            <w:pPr>
              <w:spacing w:after="0"/>
              <w:rPr>
                <w:sz w:val="24"/>
                <w:szCs w:val="24"/>
                <w:color w:val="auto"/>
              </w:rPr>
            </w:pPr>
          </w:p>
        </w:tc>
        <w:tc>
          <w:tcPr>
            <w:tcW w:w="7580" w:type="dxa"/>
            <w:vAlign w:val="bottom"/>
          </w:tcPr>
          <w:p>
            <w:pPr>
              <w:jc w:val="center"/>
              <w:ind w:left="131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Receivable from supplier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13,651,200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Right of use asset - operating lease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3,665,600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5,330,800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2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1240" w:type="dxa"/>
            <w:vAlign w:val="bottom"/>
          </w:tcPr>
          <w:p>
            <w:pPr>
              <w:spacing w:after="0"/>
              <w:rPr>
                <w:sz w:val="21"/>
                <w:szCs w:val="21"/>
                <w:color w:val="auto"/>
              </w:rPr>
            </w:pPr>
          </w:p>
        </w:tc>
        <w:tc>
          <w:tcPr>
            <w:tcW w:w="7580" w:type="dxa"/>
            <w:vAlign w:val="bottom"/>
          </w:tcPr>
          <w:p>
            <w:pPr>
              <w:jc w:val="center"/>
              <w:ind w:left="1312"/>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1,610,400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1,055,000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obligation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Financing lease obligation</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4,686,300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3,748,200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rent liability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Operating lease obligation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3,798,400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Financing lease obligation</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gridSpan w:val="2"/>
          </w:tcPr>
          <w:p>
            <w:pPr>
              <w:ind w:left="54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4,135,600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11,425,400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6,936,500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Stockholders’ (deficit) equity:</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280"/>
              <w:spacing w:after="0"/>
              <w:rPr>
                <w:sz w:val="20"/>
                <w:szCs w:val="20"/>
                <w:color w:val="auto"/>
              </w:rPr>
            </w:pPr>
            <w:r>
              <w:rPr>
                <w:rFonts w:ascii="Arial" w:cs="Arial" w:eastAsia="Arial" w:hAnsi="Arial"/>
                <w:sz w:val="18"/>
                <w:szCs w:val="18"/>
                <w:color w:val="auto"/>
                <w:w w:val="98"/>
              </w:rPr>
              <w:t>Preferred stock, $0.001 par value; 10,000,000 shares authorized at December 31, 2019 and March 31, 2019: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1"/>
              </w:rPr>
              <w:t>Series A Preferred, 500,000 shares authorized, issued and outstanding at December 31, 2019 and March 31, 2019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w w:val="94"/>
              </w:rPr>
              <w:t>Series B Preferred; 4,000,000 shares authorized at December 31, 2019 and March 31, 2019; 1,160,240 shares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issued and outstanding at December 31, 2019 and March 31, 2019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w w:val="94"/>
              </w:rPr>
              <w:t>Series C Preferred; 3,000,000 shares authorized at December 31, 2019 and March 31, 2019; 2,318,012 shares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issued and outstanding at December 31, 2019 and March 31, 2019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w w:val="95"/>
              </w:rPr>
              <w:t>Common stock, $0.001 par value; 175,000,000 and 100,000,000 shares authorized at December 31, 2019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March 31, 2019, respectively; 44,228,630 and 42,758,630 shares issued and outstanding at December 31, 2019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8820" w:type="dxa"/>
            <w:vAlign w:val="bottom"/>
            <w:gridSpan w:val="2"/>
          </w:tcPr>
          <w:p>
            <w:pPr>
              <w:ind w:left="640"/>
              <w:spacing w:after="0"/>
              <w:rPr>
                <w:sz w:val="20"/>
                <w:szCs w:val="20"/>
                <w:color w:val="auto"/>
              </w:rPr>
            </w:pPr>
            <w:r>
              <w:rPr>
                <w:rFonts w:ascii="Arial" w:cs="Arial" w:eastAsia="Arial" w:hAnsi="Arial"/>
                <w:sz w:val="18"/>
                <w:szCs w:val="18"/>
                <w:color w:val="auto"/>
              </w:rPr>
              <w:t>March 31, 2019, respectively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196,466,000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192,129,900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80"/>
              <w:spacing w:after="0"/>
              <w:rPr>
                <w:sz w:val="20"/>
                <w:szCs w:val="20"/>
                <w:color w:val="auto"/>
              </w:rPr>
            </w:pPr>
            <w:r>
              <w:rPr>
                <w:rFonts w:ascii="Arial" w:cs="Arial" w:eastAsia="Arial" w:hAnsi="Arial"/>
                <w:sz w:val="18"/>
                <w:szCs w:val="18"/>
                <w:color w:val="auto"/>
                <w:w w:val="99"/>
              </w:rPr>
              <w:t>Treasury stock, at cost, 135,665 shares of common stock held at December 31, 2019 and March 31, 2019</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(198,640,700)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(181,133,400)</w:t>
            </w:r>
          </w:p>
        </w:tc>
      </w:tr>
      <w:tr>
        <w:trPr>
          <w:trHeight w:val="27"/>
        </w:trPr>
        <w:tc>
          <w:tcPr>
            <w:tcW w:w="124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820" w:type="dxa"/>
            <w:vAlign w:val="bottom"/>
            <w:gridSpan w:val="2"/>
          </w:tcPr>
          <w:p>
            <w:pPr>
              <w:ind w:left="70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(6,094,600)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7,075,200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5,330,800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8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859"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0"/>
              </w:rPr>
              <w:t>Three Months Ended December</w:t>
            </w:r>
          </w:p>
        </w:tc>
        <w:tc>
          <w:tcPr>
            <w:tcW w:w="100" w:type="dxa"/>
            <w:vAlign w:val="bottom"/>
          </w:tcPr>
          <w:p>
            <w:pPr>
              <w:spacing w:after="0"/>
              <w:rPr>
                <w:sz w:val="18"/>
                <w:szCs w:val="18"/>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13,340,300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2,948,300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5,494,100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5,962,800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7,192,300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17,538,100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18,834,400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(5,962,800)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(7,192,300)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(17,538,100)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(18,834,400)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extinguishment of accounts payable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(5,961,300)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(7,216,800)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(17,504,700)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(18,863,900)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(5,961,500)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(7,216,800)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(17,507,300)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(18,866,300)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Accrued dividend on Series B Preferred stock</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(321,800)</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(290,900)</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(938,100)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(6,283,300)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(7,507,700)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(18,445,400)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(19,714,300)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per common share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basic and diluted net loss attributable to common</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stockholders per common share</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43,158,889</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30,696,312</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42,802,256</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26,418,440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0" w:lineRule="exact"/>
        <w:rPr>
          <w:sz w:val="20"/>
          <w:szCs w:val="20"/>
          <w:color w:val="auto"/>
        </w:rPr>
      </w:pPr>
    </w:p>
    <w:p>
      <w:pPr>
        <w:spacing w:after="0" w:line="229"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r>
      <w:tr>
        <w:trPr>
          <w:trHeight w:val="242"/>
        </w:trPr>
        <w:tc>
          <w:tcPr>
            <w:tcW w:w="882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(17,507,300)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(18,866,300)</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3,088,700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2,519,700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Expense related to modification of warrants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20"/>
              <w:spacing w:after="0"/>
              <w:rPr>
                <w:sz w:val="20"/>
                <w:szCs w:val="20"/>
                <w:color w:val="auto"/>
              </w:rPr>
            </w:pPr>
            <w:r>
              <w:rPr>
                <w:rFonts w:ascii="Arial" w:cs="Arial" w:eastAsia="Arial" w:hAnsi="Arial"/>
                <w:sz w:val="18"/>
                <w:szCs w:val="18"/>
                <w:color w:val="auto"/>
              </w:rPr>
              <w:t>Amortization of fair value of common stock issued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92,100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277,600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Fair value of common stock issued for product licenses and option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20"/>
              <w:spacing w:after="0"/>
              <w:rPr>
                <w:sz w:val="20"/>
                <w:szCs w:val="20"/>
                <w:color w:val="auto"/>
              </w:rPr>
            </w:pPr>
            <w:r>
              <w:rPr>
                <w:rFonts w:ascii="Arial" w:cs="Arial" w:eastAsia="Arial" w:hAnsi="Arial"/>
                <w:sz w:val="18"/>
                <w:szCs w:val="18"/>
                <w:color w:val="auto"/>
              </w:rPr>
              <w:t>Amortization of fair value of warrants issued for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Loss on settlement of accounts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Receivable from supplier</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Right of use asset - operating lease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840"/>
              <w:spacing w:after="0"/>
              <w:rPr>
                <w:sz w:val="20"/>
                <w:szCs w:val="20"/>
                <w:color w:val="auto"/>
              </w:rPr>
            </w:pPr>
            <w:r>
              <w:rPr>
                <w:rFonts w:ascii="Arial" w:cs="Arial" w:eastAsia="Arial" w:hAnsi="Arial"/>
                <w:sz w:val="18"/>
                <w:szCs w:val="18"/>
                <w:color w:val="auto"/>
              </w:rPr>
              <w:t>Operating lease liability</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(196,300)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840"/>
              <w:spacing w:after="0"/>
              <w:rPr>
                <w:sz w:val="20"/>
                <w:szCs w:val="20"/>
                <w:color w:val="auto"/>
              </w:rPr>
            </w:pPr>
            <w:r>
              <w:rPr>
                <w:rFonts w:ascii="Arial" w:cs="Arial" w:eastAsia="Arial" w:hAnsi="Arial"/>
                <w:sz w:val="18"/>
                <w:szCs w:val="18"/>
                <w:color w:val="auto"/>
              </w:rPr>
              <w:t>Deferred rent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109,200</w:t>
            </w:r>
          </w:p>
        </w:tc>
        <w:tc>
          <w:tcPr>
            <w:tcW w:w="140" w:type="dxa"/>
            <w:vAlign w:val="bottom"/>
          </w:tcPr>
          <w:p>
            <w:pPr>
              <w:spacing w:after="0"/>
              <w:rPr>
                <w:sz w:val="19"/>
                <w:szCs w:val="19"/>
                <w:color w:val="auto"/>
              </w:rPr>
            </w:pPr>
          </w:p>
        </w:tc>
      </w:tr>
      <w:tr>
        <w:trPr>
          <w:trHeight w:val="223"/>
        </w:trPr>
        <w:tc>
          <w:tcPr>
            <w:tcW w:w="8820" w:type="dxa"/>
            <w:vAlign w:val="bottom"/>
            <w:shd w:val="clear" w:color="auto" w:fill="CCEEFF"/>
          </w:tcPr>
          <w:p>
            <w:pPr>
              <w:jc w:val="center"/>
              <w:ind w:right="4752"/>
              <w:spacing w:after="0"/>
              <w:rPr>
                <w:sz w:val="20"/>
                <w:szCs w:val="20"/>
                <w:color w:val="auto"/>
              </w:rPr>
            </w:pPr>
            <w:r>
              <w:rPr>
                <w:rFonts w:ascii="Arial" w:cs="Arial" w:eastAsia="Arial" w:hAnsi="Arial"/>
                <w:sz w:val="18"/>
                <w:szCs w:val="18"/>
                <w:color w:val="auto"/>
                <w:w w:val="88"/>
              </w:rPr>
              <w:t>Net cash used in operating activities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(13,177,800)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(10,970,300)</w:t>
            </w:r>
          </w:p>
        </w:tc>
      </w:tr>
      <w:tr>
        <w:trPr>
          <w:trHeight w:val="216"/>
        </w:trPr>
        <w:tc>
          <w:tcPr>
            <w:tcW w:w="8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Construction of tenant improvements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(169,800)</w:t>
            </w: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jc w:val="center"/>
              <w:ind w:right="4772"/>
              <w:spacing w:after="0"/>
              <w:rPr>
                <w:sz w:val="20"/>
                <w:szCs w:val="20"/>
                <w:color w:val="auto"/>
              </w:rPr>
            </w:pPr>
            <w:r>
              <w:rPr>
                <w:rFonts w:ascii="Arial" w:cs="Arial" w:eastAsia="Arial" w:hAnsi="Arial"/>
                <w:sz w:val="18"/>
                <w:szCs w:val="18"/>
                <w:color w:val="auto"/>
                <w:w w:val="88"/>
              </w:rPr>
              <w:t>Net cash used in investing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(169,800)</w:t>
            </w:r>
          </w:p>
        </w:tc>
      </w:tr>
      <w:tr>
        <w:trPr>
          <w:trHeight w:val="216"/>
        </w:trPr>
        <w:tc>
          <w:tcPr>
            <w:tcW w:w="88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6,608,700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warrants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Proceeds from sale of warrants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financing lease obligation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Repayment of notes payable</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(217,000)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(165,300)</w:t>
            </w:r>
          </w:p>
        </w:tc>
      </w:tr>
      <w:tr>
        <w:trPr>
          <w:trHeight w:val="223"/>
        </w:trPr>
        <w:tc>
          <w:tcPr>
            <w:tcW w:w="8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7,047,100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(12,037,000)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(4,093,000)</w:t>
            </w:r>
          </w:p>
        </w:tc>
      </w:tr>
      <w:tr>
        <w:trPr>
          <w:trHeight w:val="223"/>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13,100,300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10,378,300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1,063,300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6,285,300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8820" w:type="dxa"/>
            <w:vAlign w:val="bottom"/>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
        </w:trPr>
        <w:tc>
          <w:tcPr>
            <w:tcW w:w="8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jc w:val="center"/>
              <w:ind w:right="4732"/>
              <w:spacing w:after="0"/>
              <w:rPr>
                <w:sz w:val="20"/>
                <w:szCs w:val="20"/>
                <w:color w:val="auto"/>
              </w:rPr>
            </w:pPr>
            <w:r>
              <w:rPr>
                <w:rFonts w:ascii="Arial" w:cs="Arial" w:eastAsia="Arial" w:hAnsi="Arial"/>
                <w:sz w:val="18"/>
                <w:szCs w:val="18"/>
                <w:color w:val="auto"/>
                <w:w w:val="87"/>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938,100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jc w:val="center"/>
              <w:ind w:right="4792"/>
              <w:spacing w:after="0"/>
              <w:rPr>
                <w:sz w:val="20"/>
                <w:szCs w:val="20"/>
                <w:color w:val="auto"/>
              </w:rPr>
            </w:pPr>
            <w:r>
              <w:rPr>
                <w:rFonts w:ascii="Arial" w:cs="Arial" w:eastAsia="Arial" w:hAnsi="Arial"/>
                <w:sz w:val="18"/>
                <w:szCs w:val="18"/>
                <w:color w:val="auto"/>
                <w:w w:val="88"/>
              </w:rPr>
              <w:t>Accounts payable settled by issuing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(DEFICIT)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Additional</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87"/>
              </w:rPr>
              <w:t>Series A Preferred</w:t>
            </w:r>
          </w:p>
        </w:tc>
        <w:tc>
          <w:tcPr>
            <w:tcW w:w="160" w:type="dxa"/>
            <w:vAlign w:val="bottom"/>
          </w:tcPr>
          <w:p>
            <w:pPr>
              <w:spacing w:after="0"/>
              <w:rPr>
                <w:sz w:val="23"/>
                <w:szCs w:val="23"/>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w w:val="90"/>
              </w:rPr>
              <w:t>Series B Preferred</w:t>
            </w:r>
          </w:p>
        </w:tc>
        <w:tc>
          <w:tcPr>
            <w:tcW w:w="160" w:type="dxa"/>
            <w:vAlign w:val="bottom"/>
          </w:tcPr>
          <w:p>
            <w:pPr>
              <w:spacing w:after="0"/>
              <w:rPr>
                <w:sz w:val="23"/>
                <w:szCs w:val="23"/>
                <w:color w:val="auto"/>
              </w:rPr>
            </w:pPr>
          </w:p>
        </w:tc>
        <w:tc>
          <w:tcPr>
            <w:tcW w:w="150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w w:val="90"/>
              </w:rPr>
              <w:t>Series C Preferred</w:t>
            </w: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4"/>
            <w:vMerge w:val="continue"/>
          </w:tcPr>
          <w:p>
            <w:pPr>
              <w:spacing w:after="0"/>
              <w:rPr>
                <w:sz w:val="23"/>
                <w:szCs w:val="23"/>
                <w:color w:val="auto"/>
              </w:rPr>
            </w:pPr>
          </w:p>
        </w:tc>
        <w:tc>
          <w:tcPr>
            <w:tcW w:w="8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Stock</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4"/>
          </w:tcPr>
          <w:p>
            <w:pPr>
              <w:jc w:val="right"/>
              <w:ind w:right="92"/>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2"/>
                <w:szCs w:val="2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Paid-in</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Treasury</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Accumulated</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1"/>
                <w:szCs w:val="21"/>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Capital</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Deficit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500,000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94"/>
              </w:rPr>
              <w:t>1,160,240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1,200</w:t>
            </w:r>
          </w:p>
        </w:tc>
        <w:tc>
          <w:tcPr>
            <w:tcW w:w="100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94"/>
              </w:rPr>
              <w:t>2,318,012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2,300</w:t>
            </w:r>
          </w:p>
        </w:tc>
        <w:tc>
          <w:tcPr>
            <w:tcW w:w="10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88"/>
              </w:rPr>
              <w:t>23,068,280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23,100</w:t>
            </w:r>
          </w:p>
        </w:tc>
        <w:tc>
          <w:tcPr>
            <w:tcW w:w="194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w w:val="82"/>
              </w:rPr>
              <w:t>$167,401,400$(3,968,100)</w:t>
            </w: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6"/>
                <w:szCs w:val="16"/>
                <w:b w:val="1"/>
                <w:bCs w:val="1"/>
                <w:color w:val="auto"/>
                <w:w w:val="77"/>
              </w:rPr>
              <w:t>$(156,543,800)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$ 6,916,600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from sale of</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warrants for</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cash in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private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placement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offering</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50,000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6"/>
              </w:rPr>
              <w:t>from exercise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of warrants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Accrued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dividends 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stock</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(273,500)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(273,500)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2"/>
              </w:rPr>
              <w:t>compensation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612,600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Fair value of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stock issued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for services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122,900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123,000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Net loss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the quarter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ended June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30, 2018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w w:val="91"/>
              </w:rPr>
              <w:t>(4,214,500)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(4,214,500)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500,000</w:t>
            </w: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0" w:type="dxa"/>
            <w:vAlign w:val="bottom"/>
            <w:gridSpan w:val="3"/>
          </w:tcPr>
          <w:p>
            <w:pPr>
              <w:ind w:left="220"/>
              <w:spacing w:after="0"/>
              <w:rPr>
                <w:sz w:val="20"/>
                <w:szCs w:val="20"/>
                <w:color w:val="auto"/>
              </w:rPr>
            </w:pPr>
            <w:r>
              <w:rPr>
                <w:rFonts w:ascii="Arial" w:cs="Arial" w:eastAsia="Arial" w:hAnsi="Arial"/>
                <w:sz w:val="18"/>
                <w:szCs w:val="18"/>
                <w:b w:val="1"/>
                <w:bCs w:val="1"/>
                <w:color w:val="auto"/>
                <w:w w:val="94"/>
              </w:rPr>
              <w:t>1,160,240</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1,200</w:t>
            </w:r>
          </w:p>
        </w:tc>
        <w:tc>
          <w:tcPr>
            <w:tcW w:w="1000" w:type="dxa"/>
            <w:vAlign w:val="bottom"/>
            <w:gridSpan w:val="3"/>
          </w:tcPr>
          <w:p>
            <w:pPr>
              <w:ind w:left="220"/>
              <w:spacing w:after="0"/>
              <w:rPr>
                <w:sz w:val="20"/>
                <w:szCs w:val="20"/>
                <w:color w:val="auto"/>
              </w:rPr>
            </w:pPr>
            <w:r>
              <w:rPr>
                <w:rFonts w:ascii="Arial" w:cs="Arial" w:eastAsia="Arial" w:hAnsi="Arial"/>
                <w:sz w:val="18"/>
                <w:szCs w:val="18"/>
                <w:b w:val="1"/>
                <w:bCs w:val="1"/>
                <w:color w:val="auto"/>
                <w:w w:val="94"/>
              </w:rPr>
              <w:t>2,318,012</w:t>
            </w:r>
          </w:p>
        </w:tc>
        <w:tc>
          <w:tcPr>
            <w:tcW w:w="200" w:type="dxa"/>
            <w:vAlign w:val="bottom"/>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2,300</w:t>
            </w:r>
          </w:p>
        </w:tc>
        <w:tc>
          <w:tcPr>
            <w:tcW w:w="1040" w:type="dxa"/>
            <w:vAlign w:val="bottom"/>
            <w:gridSpan w:val="3"/>
          </w:tcPr>
          <w:p>
            <w:pPr>
              <w:ind w:left="220"/>
              <w:spacing w:after="0"/>
              <w:rPr>
                <w:sz w:val="20"/>
                <w:szCs w:val="20"/>
                <w:color w:val="auto"/>
              </w:rPr>
            </w:pPr>
            <w:r>
              <w:rPr>
                <w:rFonts w:ascii="Arial" w:cs="Arial" w:eastAsia="Arial" w:hAnsi="Arial"/>
                <w:sz w:val="18"/>
                <w:szCs w:val="18"/>
                <w:b w:val="1"/>
                <w:bCs w:val="1"/>
                <w:color w:val="auto"/>
                <w:w w:val="88"/>
              </w:rPr>
              <w:t>23,213,280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23,200</w:t>
            </w:r>
          </w:p>
        </w:tc>
        <w:tc>
          <w:tcPr>
            <w:tcW w:w="1940" w:type="dxa"/>
            <w:vAlign w:val="bottom"/>
            <w:gridSpan w:val="5"/>
          </w:tcPr>
          <w:p>
            <w:pPr>
              <w:ind w:left="16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167,920,900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940" w:type="dxa"/>
            <w:vAlign w:val="bottom"/>
            <w:gridSpan w:val="4"/>
          </w:tcPr>
          <w:p>
            <w:pPr>
              <w:jc w:val="right"/>
              <w:ind w:right="10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(160,758,300)$ 3,221,700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Proceeds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from sale of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stock and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warrants for</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cash in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private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offering</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3,783,000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4,725,000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4,728,800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Accrued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dividends 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stock</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(283,600)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(283,600)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2"/>
              </w:rPr>
              <w:t>compensation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1,172,400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1,172,400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Fair value of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w w:val="91"/>
              </w:rPr>
              <w:t>common stock</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issued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w w:val="89"/>
              </w:rPr>
              <w:t>PH94B license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and PH10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1,630,435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2,248,400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option</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Fair value of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stock and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issued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334,800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334,900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Net loss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the quarter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ended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September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30, 2018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(7,435,000)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(7,435,000)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September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30, 2018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500,000</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1,160,240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2,318,012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040" w:type="dxa"/>
            <w:vAlign w:val="bottom"/>
            <w:gridSpan w:val="3"/>
          </w:tcPr>
          <w:p>
            <w:pPr>
              <w:ind w:left="220"/>
              <w:spacing w:after="0"/>
              <w:rPr>
                <w:sz w:val="20"/>
                <w:szCs w:val="20"/>
                <w:color w:val="auto"/>
              </w:rPr>
            </w:pPr>
            <w:r>
              <w:rPr>
                <w:rFonts w:ascii="Arial" w:cs="Arial" w:eastAsia="Arial" w:hAnsi="Arial"/>
                <w:sz w:val="18"/>
                <w:szCs w:val="18"/>
                <w:b w:val="1"/>
                <w:bCs w:val="1"/>
                <w:color w:val="auto"/>
                <w:w w:val="88"/>
              </w:rPr>
              <w:t>28,676,715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0"/>
              </w:rPr>
              <w:t>28,700</w:t>
            </w:r>
          </w:p>
        </w:tc>
        <w:tc>
          <w:tcPr>
            <w:tcW w:w="1940" w:type="dxa"/>
            <w:vAlign w:val="bottom"/>
            <w:gridSpan w:val="5"/>
          </w:tcPr>
          <w:p>
            <w:pPr>
              <w:jc w:val="right"/>
              <w:ind w:right="8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176,117,900</w:t>
            </w: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(3,968,100)</w:t>
            </w:r>
          </w:p>
        </w:tc>
        <w:tc>
          <w:tcPr>
            <w:tcW w:w="1940" w:type="dxa"/>
            <w:vAlign w:val="bottom"/>
            <w:gridSpan w:val="4"/>
          </w:tcPr>
          <w:p>
            <w:pPr>
              <w:jc w:val="right"/>
              <w:ind w:right="10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(168,193,300)$ 3,989,200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Proceeds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from sale of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stock and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warrants for</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cash and 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ettlement of</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payable</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in private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placement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offerings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220"/>
              <w:spacing w:after="0"/>
              <w:rPr>
                <w:sz w:val="20"/>
                <w:szCs w:val="20"/>
                <w:color w:val="auto"/>
              </w:rPr>
            </w:pPr>
            <w:r>
              <w:rPr>
                <w:rFonts w:ascii="Arial" w:cs="Arial" w:eastAsia="Arial" w:hAnsi="Arial"/>
                <w:sz w:val="18"/>
                <w:szCs w:val="18"/>
                <w:color w:val="auto"/>
                <w:w w:val="99"/>
              </w:rPr>
              <w:t>1,202,939</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1060" w:type="dxa"/>
            <w:vAlign w:val="bottom"/>
            <w:gridSpan w:val="3"/>
          </w:tcPr>
          <w:p>
            <w:pPr>
              <w:ind w:left="200"/>
              <w:spacing w:after="0"/>
              <w:rPr>
                <w:sz w:val="20"/>
                <w:szCs w:val="20"/>
                <w:color w:val="auto"/>
              </w:rPr>
            </w:pPr>
            <w:r>
              <w:rPr>
                <w:rFonts w:ascii="Arial" w:cs="Arial" w:eastAsia="Arial" w:hAnsi="Arial"/>
                <w:sz w:val="18"/>
                <w:szCs w:val="18"/>
                <w:color w:val="auto"/>
              </w:rPr>
              <w:t>1,851,400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1,852,600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6"/>
              </w:rPr>
              <w:t>from exercise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of warrants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398,800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597,800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Accrued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dividends 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stock</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(290,900)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(290,900)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2"/>
              </w:rPr>
              <w:t>compensation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734,700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734,700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Fair value of</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common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stock issued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for PH10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license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925,926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900</w:t>
            </w:r>
          </w:p>
        </w:tc>
        <w:tc>
          <w:tcPr>
            <w:tcW w:w="1060" w:type="dxa"/>
            <w:vAlign w:val="bottom"/>
            <w:gridSpan w:val="3"/>
          </w:tcPr>
          <w:p>
            <w:pPr>
              <w:ind w:left="200"/>
              <w:spacing w:after="0"/>
              <w:rPr>
                <w:sz w:val="20"/>
                <w:szCs w:val="20"/>
                <w:color w:val="auto"/>
              </w:rPr>
            </w:pPr>
            <w:r>
              <w:rPr>
                <w:rFonts w:ascii="Arial" w:cs="Arial" w:eastAsia="Arial" w:hAnsi="Arial"/>
                <w:sz w:val="18"/>
                <w:szCs w:val="18"/>
                <w:color w:val="auto"/>
              </w:rPr>
              <w:t>1,999,100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Increase in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attributed to</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warrant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8"/>
              </w:rPr>
              <w:t>modifications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25,800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Net loss for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the quarter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ended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1"/>
              </w:rPr>
              <w:t>December 31,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(7,216,800)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(7,216,800)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500,000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1,160,240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2,318,012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0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88"/>
              </w:rPr>
              <w:t>31,204,380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31,200</w:t>
            </w:r>
          </w:p>
        </w:tc>
        <w:tc>
          <w:tcPr>
            <w:tcW w:w="194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w w:val="85"/>
              </w:rPr>
              <w:t>181,035,800</w:t>
            </w: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(3,968,100)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(175,410,100)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$ 1,692,800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1420"/>
          </w:cols>
          <w:pgMar w:left="240" w:top="140" w:right="239" w:bottom="9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9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840" w:type="dxa"/>
            <w:vAlign w:val="bottom"/>
            <w:gridSpan w:val="5"/>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9"/>
        </w:trPr>
        <w:tc>
          <w:tcPr>
            <w:tcW w:w="2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9"/>
          </w:tcPr>
          <w:p>
            <w:pPr>
              <w:ind w:left="40"/>
              <w:spacing w:after="0"/>
              <w:rPr>
                <w:sz w:val="20"/>
                <w:szCs w:val="20"/>
                <w:color w:val="auto"/>
              </w:rPr>
            </w:pPr>
            <w:r>
              <w:rPr>
                <w:rFonts w:ascii="Arial" w:cs="Arial" w:eastAsia="Arial" w:hAnsi="Arial"/>
                <w:sz w:val="18"/>
                <w:szCs w:val="18"/>
                <w:b w:val="1"/>
                <w:bCs w:val="1"/>
                <w:color w:val="auto"/>
              </w:rPr>
              <w:t>VISTAGEN THERAPEUTICS, INC.</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gridSpan w:val="27"/>
          </w:tcPr>
          <w:p>
            <w:pPr>
              <w:jc w:val="center"/>
              <w:ind w:right="240"/>
              <w:spacing w:after="0"/>
              <w:rPr>
                <w:sz w:val="20"/>
                <w:szCs w:val="20"/>
                <w:color w:val="auto"/>
              </w:rPr>
            </w:pPr>
            <w:r>
              <w:rPr>
                <w:rFonts w:ascii="Arial" w:cs="Arial" w:eastAsia="Arial" w:hAnsi="Arial"/>
                <w:sz w:val="18"/>
                <w:szCs w:val="18"/>
                <w:b w:val="1"/>
                <w:bCs w:val="1"/>
                <w:color w:val="auto"/>
                <w:w w:val="97"/>
              </w:rPr>
              <w:t>CONDENSED CONSOLIDATED STATEMENTS OF CHANGES IN STOCKHOLDERS’ (DEFICIT) EQUITY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18"/>
          </w:tcPr>
          <w:p>
            <w:pPr>
              <w:jc w:val="center"/>
              <w:ind w:left="132"/>
              <w:spacing w:after="0"/>
              <w:rPr>
                <w:sz w:val="20"/>
                <w:szCs w:val="20"/>
                <w:color w:val="auto"/>
              </w:rPr>
            </w:pPr>
            <w:r>
              <w:rPr>
                <w:rFonts w:ascii="Arial" w:cs="Arial" w:eastAsia="Arial" w:hAnsi="Arial"/>
                <w:sz w:val="18"/>
                <w:szCs w:val="18"/>
                <w:b w:val="1"/>
                <w:bCs w:val="1"/>
                <w:color w:val="auto"/>
                <w:w w:val="95"/>
              </w:rPr>
              <w:t>FOR THE NINE MONTHS ENDED DECEMBER 31, 2019 AND 2018</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4"/>
          </w:tcPr>
          <w:p>
            <w:pPr>
              <w:jc w:val="center"/>
              <w:ind w:right="66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11"/>
          </w:tcPr>
          <w:p>
            <w:pPr>
              <w:jc w:val="center"/>
              <w:ind w:left="21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Additional</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Series A Preferred</w:t>
            </w:r>
          </w:p>
        </w:tc>
        <w:tc>
          <w:tcPr>
            <w:tcW w:w="1620" w:type="dxa"/>
            <w:vAlign w:val="bottom"/>
            <w:gridSpan w:val="6"/>
          </w:tcPr>
          <w:p>
            <w:pPr>
              <w:ind w:left="40"/>
              <w:spacing w:after="0"/>
              <w:rPr>
                <w:sz w:val="20"/>
                <w:szCs w:val="20"/>
                <w:color w:val="auto"/>
              </w:rPr>
            </w:pPr>
            <w:r>
              <w:rPr>
                <w:rFonts w:ascii="Arial" w:cs="Arial" w:eastAsia="Arial" w:hAnsi="Arial"/>
                <w:sz w:val="18"/>
                <w:szCs w:val="18"/>
                <w:b w:val="1"/>
                <w:bCs w:val="1"/>
                <w:color w:val="auto"/>
                <w:w w:val="99"/>
              </w:rPr>
              <w:t>Series B Preferred</w:t>
            </w:r>
          </w:p>
        </w:tc>
        <w:tc>
          <w:tcPr>
            <w:tcW w:w="150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Series C Preferred</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rPr>
              <w:t>Stock</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93"/>
              </w:rPr>
              <w:t>Stock</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85"/>
              </w:rPr>
              <w:t>Stock</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Paid-in</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Treasury</w:t>
            </w:r>
          </w:p>
        </w:tc>
        <w:tc>
          <w:tcPr>
            <w:tcW w:w="2080" w:type="dxa"/>
            <w:vAlign w:val="bottom"/>
            <w:gridSpan w:val="5"/>
          </w:tcPr>
          <w:p>
            <w:pPr>
              <w:spacing w:after="0"/>
              <w:rPr>
                <w:sz w:val="20"/>
                <w:szCs w:val="20"/>
                <w:color w:val="auto"/>
              </w:rPr>
            </w:pPr>
            <w:r>
              <w:rPr>
                <w:rFonts w:ascii="Arial" w:cs="Arial" w:eastAsia="Arial" w:hAnsi="Arial"/>
                <w:sz w:val="18"/>
                <w:szCs w:val="18"/>
                <w:b w:val="1"/>
                <w:bCs w:val="1"/>
                <w:color w:val="auto"/>
                <w:w w:val="86"/>
              </w:rPr>
              <w:t>Accumulated 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center"/>
              <w:ind w:right="200"/>
              <w:spacing w:after="0" w:line="201"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Shares</w:t>
            </w:r>
          </w:p>
        </w:tc>
        <w:tc>
          <w:tcPr>
            <w:tcW w:w="8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Amount</w:t>
            </w:r>
          </w:p>
        </w:tc>
        <w:tc>
          <w:tcPr>
            <w:tcW w:w="84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Shares</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Capital</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(Deficit)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500,000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9"/>
              </w:rPr>
              <w:t>1,160,240</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1,200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4"/>
              </w:rPr>
              <w:t>2,318,012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42,758,630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42,800</w:t>
            </w:r>
          </w:p>
        </w:tc>
        <w:tc>
          <w:tcPr>
            <w:tcW w:w="196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w w:val="82"/>
              </w:rPr>
              <w:t>$192,129,900$(3,968,100)</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7"/>
              </w:rPr>
              <w:t>$(181,133,400)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$ 7,075,200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Accrued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dividends 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(302,500)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Stock-based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w w:val="94"/>
              </w:rPr>
              <w:t>compensation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87"/>
              </w:rPr>
              <w:t>1,063,000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Net loss for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the quarter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ended June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30, 2019</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(6,209,900)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(6,209,900)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2019</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500,000</w:t>
            </w:r>
          </w:p>
        </w:tc>
        <w:tc>
          <w:tcPr>
            <w:tcW w:w="280" w:type="dxa"/>
            <w:vAlign w:val="bottom"/>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6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1,160,240</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1,200</w:t>
            </w: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2,318,012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42,758,630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42,800</w:t>
            </w:r>
          </w:p>
        </w:tc>
        <w:tc>
          <w:tcPr>
            <w:tcW w:w="1960" w:type="dxa"/>
            <w:vAlign w:val="bottom"/>
            <w:gridSpan w:val="5"/>
          </w:tcPr>
          <w:p>
            <w:pPr>
              <w:ind w:left="18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192,890,400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980" w:type="dxa"/>
            <w:vAlign w:val="bottom"/>
            <w:gridSpan w:val="4"/>
          </w:tcPr>
          <w:p>
            <w:pPr>
              <w:jc w:val="right"/>
              <w:ind w:right="10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(187,343,300) $ 1,625,800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Accrued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dividends 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Preferred</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stock</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(313,800)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(313,800)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Stock-based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2"/>
              </w:rPr>
              <w:t>compensation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393,500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Net loss for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the quarter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ended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30, 2019</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(5,335,900)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(5,335,900)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30, 2019</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500,000</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9"/>
              </w:rPr>
              <w:t>1,160,240</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1,200</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4"/>
              </w:rPr>
              <w:t>2,318,012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42,758,630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42,800</w:t>
            </w:r>
          </w:p>
        </w:tc>
        <w:tc>
          <w:tcPr>
            <w:tcW w:w="196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192,970,100</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(3,968,100)</w:t>
            </w:r>
          </w:p>
        </w:tc>
        <w:tc>
          <w:tcPr>
            <w:tcW w:w="19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 xml:space="preserve">(192,679,200) </w:t>
            </w: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(3,630,400)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from sale of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units of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 and</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for cash in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private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placement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649,400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from sale of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warrants in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private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Proceeds</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409,200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w w:val="98"/>
              </w:rPr>
              <w:t>from exercise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08" w:right="1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of warrants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Accrued</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dividends on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Preferred</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(321,800)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Stock-based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w w:val="94"/>
              </w:rPr>
              <w:t>compensation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1,632,200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1,632,200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Increase in</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attributed to</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warrant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8"/>
              </w:rPr>
              <w:t>modifications</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8"/>
                <w:szCs w:val="18"/>
                <w:color w:val="auto"/>
              </w:rPr>
              <w:t>and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additional</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826,900</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826,900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Net loss for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the quarter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ended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w w:val="93"/>
              </w:rPr>
              <w:t>December 31,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2019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(5,961,500)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(5,961,500)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b w:val="1"/>
                <w:bCs w:val="1"/>
                <w:color w:val="auto"/>
              </w:rPr>
              <w:t>Balances at</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December</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31, 2019</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500,000</w:t>
            </w:r>
          </w:p>
        </w:tc>
        <w:tc>
          <w:tcPr>
            <w:tcW w:w="16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1,160,240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1,200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2,318,012</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44,228,630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44,200</w:t>
            </w:r>
          </w:p>
        </w:tc>
        <w:tc>
          <w:tcPr>
            <w:tcW w:w="1960" w:type="dxa"/>
            <w:vAlign w:val="bottom"/>
            <w:gridSpan w:val="5"/>
          </w:tcPr>
          <w:p>
            <w:pPr>
              <w:jc w:val="right"/>
              <w:ind w:right="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196,466,000</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(3,968,100)</w:t>
            </w:r>
          </w:p>
        </w:tc>
        <w:tc>
          <w:tcPr>
            <w:tcW w:w="1980" w:type="dxa"/>
            <w:vAlign w:val="bottom"/>
            <w:gridSpan w:val="4"/>
          </w:tcPr>
          <w:p>
            <w:pPr>
              <w:jc w:val="right"/>
              <w:ind w:right="40"/>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 xml:space="preserve">(198,640,700) </w:t>
            </w: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(6,094,600)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VistaGen Therapeutics. Inc., a Nevada corporation (which may be referred to as </w:t>
      </w:r>
      <w:r>
        <w:rPr>
          <w:rFonts w:ascii="Arial" w:cs="Arial" w:eastAsia="Arial" w:hAnsi="Arial"/>
          <w:sz w:val="18"/>
          <w:szCs w:val="18"/>
          <w:i w:val="1"/>
          <w:iCs w:val="1"/>
          <w:color w:val="auto"/>
        </w:rPr>
        <w:t>VistaGen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our</w:t>
      </w:r>
      <w:r>
        <w:rPr>
          <w:rFonts w:ascii="Arial" w:cs="Arial" w:eastAsia="Arial" w:hAnsi="Arial"/>
          <w:sz w:val="18"/>
          <w:szCs w:val="18"/>
          <w:color w:val="auto"/>
        </w:rPr>
        <w:t xml:space="preserve">, or </w:t>
      </w:r>
      <w:r>
        <w:rPr>
          <w:rFonts w:ascii="Arial" w:cs="Arial" w:eastAsia="Arial" w:hAnsi="Arial"/>
          <w:sz w:val="18"/>
          <w:szCs w:val="18"/>
          <w:i w:val="1"/>
          <w:iCs w:val="1"/>
          <w:color w:val="auto"/>
        </w:rPr>
        <w:t>us</w:t>
      </w:r>
      <w:r>
        <w:rPr>
          <w:rFonts w:ascii="Arial" w:cs="Arial" w:eastAsia="Arial" w:hAnsi="Arial"/>
          <w:sz w:val="18"/>
          <w:szCs w:val="18"/>
          <w:color w:val="auto"/>
        </w:rPr>
        <w:t>), is a clinical-stage biopharmaceutical company committed to developing new generation medications for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Neuroactive Nasal Spray for Anxiety-related Disorders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it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instead have performance anxiety. They feel physical symptoms of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effect (often many weeks to months) and significant side effects that may make them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with the benzodiazepines and beta blockers, which are not approved by the FDA to treat SAD but may be prescribed by psychiatrists and physicians for treatment of SAD on an off-label basis.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10 to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to begin Phase 3 development of PH94B. Our goal is to develop and commercialize PH94B as the first FDA-approved, fast-acting, on-demand, at-home treatment for SAD. Additional potential anxiety-related neuropsychiatric indications for PH94B include general anxiety disorder, peripartum anxiety (pre- and post-partum anxiety), pre/post-operative anxiety, panic disorder, post-traumatic stress disorder and specific social phobias.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 Neuroactive Nasal Spray for Depression and Suicidal Ideation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systemic exposure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 an Oral NMDAR Antagonist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esketamine and ketamine. With its exceptionally few side effects and excellent safety profile, AV-101 has potential to be an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Probenecid otherwise is a safe and well-known organic anion transport inhibitor. When probenecid was administered adjunctively with AV-101 in an animal model, substantially increased brain concentrations of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w:t>
      </w:r>
      <w:r>
        <w:rPr>
          <w:rFonts w:ascii="Arial" w:cs="Arial" w:eastAsia="Arial" w:hAnsi="Arial"/>
          <w:sz w:val="16"/>
          <w:szCs w:val="16"/>
          <w:color w:val="auto"/>
        </w:rPr>
        <w:t xml:space="preserve"> </w:t>
      </w:r>
      <w:r>
        <w:rPr>
          <w:rFonts w:ascii="Arial" w:cs="Arial" w:eastAsia="Arial" w:hAnsi="Arial"/>
          <w:sz w:val="16"/>
          <w:szCs w:val="16"/>
          <w:i w:val="1"/>
          <w:iCs w:val="1"/>
          <w:color w:val="auto"/>
        </w:rPr>
        <w:t>Study</w:t>
      </w:r>
      <w:r>
        <w:rPr>
          <w:rFonts w:ascii="Arial" w:cs="Arial" w:eastAsia="Arial" w:hAnsi="Arial"/>
          <w:sz w:val="16"/>
          <w:szCs w:val="16"/>
          <w:color w:val="auto"/>
        </w:rPr>
        <w:t>). The findings from the Baylor Study suggest that, in healthy Veterans, the higher dose of AV-101 (1440 mg) was associated with dose-related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and other NMDAR-focused CNS indications for which we have existing data with AV-101 as a monotherapy (epilepsy, levodopa-induced dyskinesia, neuropathic pain and suicidal ideation), to determine the most appropriate path forward for potential clinical development and commercialization of AV-101.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VistaStem Therapeutics – Stem Cell Technology for Drug Rescue and Regenerative Medicine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current CNS drug candidates, we have stem cell technology-based,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to discover and develop, by utilizing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w:t>
      </w:r>
      <w:r>
        <w:rPr>
          <w:rFonts w:ascii="Arial" w:cs="Arial" w:eastAsia="Arial" w:hAnsi="Arial"/>
          <w:sz w:val="16"/>
          <w:szCs w:val="16"/>
          <w:i w:val="1"/>
          <w:iCs w:val="1"/>
          <w:color w:val="auto"/>
        </w:rPr>
        <w:t>3D</w:t>
      </w:r>
      <w:r>
        <w:rPr>
          <w:rFonts w:ascii="Arial" w:cs="Arial" w:eastAsia="Arial" w:hAnsi="Arial"/>
          <w:sz w:val="16"/>
          <w:szCs w:val="16"/>
          <w:color w:val="auto"/>
        </w:rPr>
        <w:t>, our customized cardiac bioassay system,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our CNS pipeline or for out-licensing. VistaStem’s stem cell</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involving hPSC-derived blood, cartilage, heart and liver cells has multiple potential applications. To advance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applications of VistaStem’s cardiac stem cell technology, we licensed to BlueRock Therapeutics LP, a next generation cell therapy and RM company which was acquired by Bayer AG in 2019, rights to certain proprietary technologies relating to the production of cardiac stem cells for the treatment of heart disease (the </w:t>
      </w:r>
      <w:r>
        <w:rPr>
          <w:rFonts w:ascii="Arial" w:cs="Arial" w:eastAsia="Arial" w:hAnsi="Arial"/>
          <w:sz w:val="16"/>
          <w:szCs w:val="16"/>
          <w:i w:val="1"/>
          <w:iCs w:val="1"/>
          <w:color w:val="auto"/>
        </w:rPr>
        <w:t>BlueRock/Bayer Agreement</w:t>
      </w:r>
      <w:r>
        <w:rPr>
          <w:rFonts w:ascii="Arial" w:cs="Arial" w:eastAsia="Arial" w:hAnsi="Arial"/>
          <w:sz w:val="16"/>
          <w:szCs w:val="16"/>
          <w:color w:val="auto"/>
        </w:rPr>
        <w:t>). In a manner similar to the BlueRock/Bayer Agreement, we may pursue additional collaborations or licensing transactions involving VistaStem’s blood, cartilage, and/or liver cells derived from hPSCs for cell-based therapy, cell repair therapy, RM and/or tissue engineering.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a California corporation,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 and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2019 has been derived from our audited consolidated financial statements at that date but does not include all disclosures required by U.S. GAAP. The operating results for the three and nine months ended December 31, 2019 are not necessarily indicative of the operating results to be expected for our fiscal year ending March 31, 2020, or for any other future interim or other period.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2019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$198.6 million accumulated from inception (May 1998) through December 31, 2019. We expect losses and negative cash flows from operations to continue for the foreseeable future as we engage in further development of PH94B, PH10 and AV-101, execute our drug rescue programs and pursue potential drug development and regenerative medicine opportunities.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December 31, 2019, we have financed our operations and technology acquisitions primarily through the issuance and sale of our equity and debt securities for cash proceeds of approximately $80.4 million, as well as from an aggregate of approximately $17.7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At December 31, 2019, we had cash and cash equivalents of approximately $1.1 million. As disclosed in Note 11,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since December 31, 2019, we have received net cash proceeds of approximately $2.68 million from a registered direct public offering of our common stock and a concurrent private placement of warrants to purchase unregistered shares of our common stock (the </w:t>
      </w:r>
      <w:r>
        <w:rPr>
          <w:rFonts w:ascii="Arial" w:cs="Arial" w:eastAsia="Arial" w:hAnsi="Arial"/>
          <w:sz w:val="16"/>
          <w:szCs w:val="16"/>
          <w:i w:val="1"/>
          <w:iCs w:val="1"/>
          <w:color w:val="auto"/>
        </w:rPr>
        <w:t>January 2020 Offering</w:t>
      </w:r>
      <w:r>
        <w:rPr>
          <w:rFonts w:ascii="Arial" w:cs="Arial" w:eastAsia="Arial" w:hAnsi="Arial"/>
          <w:sz w:val="16"/>
          <w:szCs w:val="16"/>
          <w:color w:val="auto"/>
        </w:rPr>
        <w:t xml:space="preserve">). Nevertheless, in the absence of additional financing from the sale of our securities, government research grant awards, strategic collaboration payments, intellectual property licensing or other sources, we believe that our cash position at December 31, 2019, together with the proceeds from the January 2020 Offering, will not be sufficient to fund our planned operations for the twelve months following the issuance of these financial statements and raises substantial doubt that we can continue as a going concern. During the next twelve months, subject to securing appropriate and adequate financing, we plan to prepare for and launch a Phase 3 clinical trial of PH94B for SAD, prepare for a Phase 2b clinical study and certain nonclinical studies involving PH10, PH94B and AV-101 and prepare for and potentially launch a Phase 2b clinical trial of PH10 for MDD. When necessary and advantageous, we plan to raise additional capital, through the sale of our equity securities in one or more (i) private placements to accredited investors, (i) public offerings and/or (ii) in strategic licensing and development collaborations involving one or more of our drug candidates in markets outside the United States. Subject to certain restrictions, our Registration Statement on Form S-3 (Registration No. 333-234025) (the </w:t>
      </w:r>
      <w:r>
        <w:rPr>
          <w:rFonts w:ascii="Arial" w:cs="Arial" w:eastAsia="Arial" w:hAnsi="Arial"/>
          <w:sz w:val="16"/>
          <w:szCs w:val="16"/>
          <w:i w:val="1"/>
          <w:iCs w:val="1"/>
          <w:color w:val="auto"/>
        </w:rPr>
        <w:t>S-3</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 Statement</w:t>
      </w:r>
      <w:r>
        <w:rPr>
          <w:rFonts w:ascii="Arial" w:cs="Arial" w:eastAsia="Arial" w:hAnsi="Arial"/>
          <w:sz w:val="16"/>
          <w:szCs w:val="16"/>
          <w:color w:val="auto"/>
        </w:rPr>
        <w:t>), which became effective on October 7, 2019, is available for future sales of our equity securities in one or more public offerings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While we may make additional sales of our equity securities under the S-3 Registration Statement, we do not have an obligation to do so.</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that could generate revenue or provide funding, including non-dilutive funding, for development of one or more of our CNS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2020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right-of-use assets and lease liabilities and assumptions that have been used historically to value warrants and warrant modifications. With the exception of the BlueRock/Bayer Agreement pursuant to which we recorded sublicense revenue in the third quarter of our fiscal year ended March 31, 2017,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AV-101, and stem cell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CROs, clinical sites, investigators and other professional service providers. We analyze the progress of the clinical trial,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In September and October 2018, we acquired exclusive worldwide licenses to develop and commercialize PH94B and PH10, respectively, by issuing an aggregate of 2,556,361 unregistered shares of our common stock having an issuance-date fair market value of $4,250,000. Since, at the date of each acquisition, neither product candidate had achieved regulatory approval and each requires significant additional development and expense, we expensed the costs related to acquiring the licenses and the option during our fiscal year ended March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compensation cost for all stock-based awards to employees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nor do we have any awards with market or performance conditions. Non-cash expense attributable to compensatory grants of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nine months ended December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Three Months Ended December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Nine Months Ended December</w:t>
            </w:r>
          </w:p>
        </w:tc>
      </w:tr>
      <w:tr>
        <w:trPr>
          <w:trHeight w:val="237"/>
        </w:trPr>
        <w:tc>
          <w:tcPr>
            <w:tcW w:w="6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50"/>
        </w:trPr>
        <w:tc>
          <w:tcPr>
            <w:tcW w:w="6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r>
      <w:tr>
        <w:trPr>
          <w:trHeight w:val="486"/>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502,500</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1,060,600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955,600</w:t>
            </w: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1,129,700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4"/>
              </w:rPr>
              <w:t>2,028,100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1,564,100</w:t>
            </w:r>
          </w:p>
        </w:tc>
        <w:tc>
          <w:tcPr>
            <w:tcW w:w="140" w:type="dxa"/>
            <w:vAlign w:val="bottom"/>
          </w:tcPr>
          <w:p>
            <w:pPr>
              <w:spacing w:after="0"/>
              <w:rPr>
                <w:sz w:val="19"/>
                <w:szCs w:val="19"/>
                <w:color w:val="auto"/>
              </w:rPr>
            </w:pPr>
          </w:p>
        </w:tc>
      </w:tr>
      <w:tr>
        <w:trPr>
          <w:trHeight w:val="23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1,632,200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734,700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4"/>
              </w:rPr>
              <w:t>3,088,700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2,519,700</w:t>
            </w:r>
          </w:p>
        </w:tc>
        <w:tc>
          <w:tcPr>
            <w:tcW w:w="140" w:type="dxa"/>
            <w:vAlign w:val="bottom"/>
            <w:shd w:val="clear" w:color="auto" w:fill="CCEEFF"/>
          </w:tcPr>
          <w:p>
            <w:pPr>
              <w:spacing w:after="0"/>
              <w:rPr>
                <w:sz w:val="20"/>
                <w:szCs w:val="20"/>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May 2019, the Compensation Committee of our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xml:space="preserve">) approved the grant of options from our 2016 Amended and Restated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to purchase an aggregate of 1,220,000 shares of our common stock at a then above-market exercise price of $1.00 per share to the independent members of our Board, our officers and employees and certain consultants. The options vested 25% upon grant with the remaining shares vesting ratably over three years for independent directors, officers and employees, and over two years for consultants. We valued the options granted in May 2019 using the Black-Scholes Option Pricing Model and the following weighted 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May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in May 2019, the Compensation Committee approved, subject to subsequent stockholder approval at our 2019 Annual Meeting of Stockholders (</w:t>
      </w:r>
      <w:r>
        <w:rPr>
          <w:rFonts w:ascii="Arial" w:cs="Arial" w:eastAsia="Arial" w:hAnsi="Arial"/>
          <w:sz w:val="18"/>
          <w:szCs w:val="18"/>
          <w:i w:val="1"/>
          <w:iCs w:val="1"/>
          <w:color w:val="auto"/>
        </w:rPr>
        <w:t>Annual Meeting</w:t>
      </w:r>
      <w:r>
        <w:rPr>
          <w:rFonts w:ascii="Arial" w:cs="Arial" w:eastAsia="Arial" w:hAnsi="Arial"/>
          <w:sz w:val="18"/>
          <w:szCs w:val="18"/>
          <w:color w:val="auto"/>
        </w:rPr>
        <w:t xml:space="preserve">) held in September 2019, the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and designated 7.5 million shares of our authorized common stock to be reserved thereunder. Further, in May 2019, the Compensation Committee granted options pursuant to the 2019 Plan to one of our officers to purchase 170,000 shares of our common stock at a then above-market exercise price of $1.00 per share, which grant was contingent upon the approval of the 2019 Plan by our stockholders. Our stockholders approved the 2019 Plan at our Annual Meeting and ratified the contingent grant. The option vested 25% upon approval of the 2019 Plan and the remaining shares vest ratably over three years. We valued the option using the Black-Scholes Option Pricing Model and the following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September</w:t>
            </w:r>
          </w:p>
        </w:tc>
        <w:tc>
          <w:tcPr>
            <w:tcW w:w="0" w:type="dxa"/>
            <w:vAlign w:val="bottom"/>
          </w:tcPr>
          <w:p>
            <w:pPr>
              <w:spacing w:after="0"/>
              <w:rPr>
                <w:sz w:val="1"/>
                <w:szCs w:val="1"/>
                <w:color w:val="auto"/>
              </w:rPr>
            </w:pPr>
          </w:p>
        </w:tc>
      </w:tr>
      <w:tr>
        <w:trPr>
          <w:trHeight w:val="231"/>
        </w:trPr>
        <w:tc>
          <w:tcPr>
            <w:tcW w:w="10200" w:type="dxa"/>
            <w:vAlign w:val="bottom"/>
            <w:gridSpan w:val="2"/>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Upon approval of the 2019 Plan by our stockholders, no further option or other equity awards were permitted from our 2016 Plan and all remaining authorized shares of our common stock available for issuance under the 2016 Plan, 1,388,412 shares, became available for issuance under the 2019 Plan.</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ended December 31, 2019, we granted options from our 2019 Plan to the independent members of our Board, our officers and employees and certain consultants to purchase an aggregate of 1,990,000 shares of our common stock at exercise prices ranging from $0.50 to $1.41 per share. Options granted to Board members, officers, employees and most consultants were vested 25% at grant with the remaining options vesting ratably over the following 24 months. In the case of options granted to certain consultants, the options were vested 25% at grant but the remaining vesting period was less than 24 months to coincide with contractual terms. We valued the options using the Black-Scholes Option Pricing Model and the following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b w:val="1"/>
                <w:bCs w:val="1"/>
                <w:color w:val="auto"/>
                <w:w w:val="92"/>
              </w:rPr>
              <w:t>Options Granted on</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1" w:lineRule="exact"/>
              <w:rPr>
                <w:sz w:val="20"/>
                <w:szCs w:val="20"/>
                <w:color w:val="auto"/>
              </w:rPr>
            </w:pPr>
            <w:r>
              <w:rPr>
                <w:rFonts w:ascii="Arial" w:cs="Arial" w:eastAsia="Arial" w:hAnsi="Arial"/>
                <w:sz w:val="18"/>
                <w:szCs w:val="18"/>
                <w:b w:val="1"/>
                <w:bCs w:val="1"/>
                <w:color w:val="auto"/>
                <w:w w:val="88"/>
              </w:rPr>
              <w:t>October 21,</w:t>
            </w:r>
          </w:p>
        </w:tc>
        <w:tc>
          <w:tcPr>
            <w:tcW w:w="100" w:type="dxa"/>
            <w:vAlign w:val="bottom"/>
          </w:tcPr>
          <w:p>
            <w:pPr>
              <w:spacing w:after="0"/>
              <w:rPr>
                <w:sz w:val="17"/>
                <w:szCs w:val="17"/>
                <w:color w:val="auto"/>
              </w:rPr>
            </w:pPr>
          </w:p>
        </w:tc>
        <w:tc>
          <w:tcPr>
            <w:tcW w:w="1260" w:type="dxa"/>
            <w:vAlign w:val="bottom"/>
            <w:gridSpan w:val="2"/>
          </w:tcPr>
          <w:p>
            <w:pPr>
              <w:jc w:val="right"/>
              <w:ind w:right="320"/>
              <w:spacing w:after="0" w:line="201" w:lineRule="exact"/>
              <w:rPr>
                <w:sz w:val="20"/>
                <w:szCs w:val="20"/>
                <w:color w:val="auto"/>
              </w:rPr>
            </w:pPr>
            <w:r>
              <w:rPr>
                <w:rFonts w:ascii="Arial" w:cs="Arial" w:eastAsia="Arial" w:hAnsi="Arial"/>
                <w:sz w:val="18"/>
                <w:szCs w:val="18"/>
                <w:b w:val="1"/>
                <w:bCs w:val="1"/>
                <w:color w:val="auto"/>
                <w:w w:val="85"/>
              </w:rPr>
              <w:t>November 7,</w:t>
            </w:r>
          </w:p>
        </w:tc>
        <w:tc>
          <w:tcPr>
            <w:tcW w:w="100" w:type="dxa"/>
            <w:vAlign w:val="bottom"/>
          </w:tcPr>
          <w:p>
            <w:pPr>
              <w:spacing w:after="0"/>
              <w:rPr>
                <w:sz w:val="17"/>
                <w:szCs w:val="17"/>
                <w:color w:val="auto"/>
              </w:rPr>
            </w:pPr>
          </w:p>
        </w:tc>
        <w:tc>
          <w:tcPr>
            <w:tcW w:w="128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87"/>
              </w:rPr>
              <w:t>December 4,</w:t>
            </w:r>
          </w:p>
        </w:tc>
        <w:tc>
          <w:tcPr>
            <w:tcW w:w="1120" w:type="dxa"/>
            <w:vAlign w:val="bottom"/>
            <w:gridSpan w:val="3"/>
          </w:tcPr>
          <w:p>
            <w:pPr>
              <w:jc w:val="center"/>
              <w:spacing w:after="0" w:line="201" w:lineRule="exact"/>
              <w:rPr>
                <w:sz w:val="20"/>
                <w:szCs w:val="20"/>
                <w:color w:val="auto"/>
              </w:rPr>
            </w:pPr>
            <w:r>
              <w:rPr>
                <w:rFonts w:ascii="Arial" w:cs="Arial" w:eastAsia="Arial" w:hAnsi="Arial"/>
                <w:sz w:val="18"/>
                <w:szCs w:val="18"/>
                <w:b w:val="1"/>
                <w:bCs w:val="1"/>
                <w:color w:val="auto"/>
                <w:w w:val="88"/>
              </w:rPr>
              <w:t>December 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2"/>
              <w:spacing w:after="0"/>
              <w:rPr>
                <w:sz w:val="20"/>
                <w:szCs w:val="20"/>
                <w:color w:val="auto"/>
              </w:rPr>
            </w:pPr>
            <w:r>
              <w:rPr>
                <w:rFonts w:ascii="Arial" w:cs="Arial" w:eastAsia="Arial" w:hAnsi="Arial"/>
                <w:sz w:val="18"/>
                <w:szCs w:val="18"/>
                <w:color w:val="auto"/>
                <w:w w:val="92"/>
              </w:rPr>
              <w:t>(weighted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9"/>
              </w:rPr>
              <w:t>(weighted</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average)</w:t>
            </w:r>
          </w:p>
        </w:tc>
        <w:tc>
          <w:tcPr>
            <w:tcW w:w="10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average)</w:t>
            </w: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average)</w:t>
            </w:r>
          </w:p>
        </w:tc>
        <w:tc>
          <w:tcPr>
            <w:tcW w:w="14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color w:val="auto"/>
                <w:w w:val="84"/>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Expected term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88.28%</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December 31, 2019, there were stock options outstanding under our 2016 Plan and 2019 Plan to purchase 9,928,088 shares of our common stock at a weighted average exercise price of $1.37 per share. At that date, there were also 6,805,162 shares of our common stock available for future issuance under the 2019 Plan. See Note 11,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of additional option grants made in January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Lease Liabilities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2019, we adopted Financial Accounting Standards Board (</w:t>
      </w:r>
      <w:r>
        <w:rPr>
          <w:rFonts w:ascii="Arial" w:cs="Arial" w:eastAsia="Arial" w:hAnsi="Arial"/>
          <w:sz w:val="18"/>
          <w:szCs w:val="18"/>
          <w:i w:val="1"/>
          <w:iCs w:val="1"/>
          <w:color w:val="auto"/>
        </w:rPr>
        <w:t>FASB</w:t>
      </w:r>
      <w:r>
        <w:rPr>
          <w:rFonts w:ascii="Arial" w:cs="Arial" w:eastAsia="Arial" w:hAnsi="Arial"/>
          <w:sz w:val="18"/>
          <w:szCs w:val="18"/>
          <w:color w:val="auto"/>
        </w:rPr>
        <w:t>) Accounting Standards Update (</w:t>
      </w:r>
      <w:r>
        <w:rPr>
          <w:rFonts w:ascii="Arial" w:cs="Arial" w:eastAsia="Arial" w:hAnsi="Arial"/>
          <w:sz w:val="18"/>
          <w:szCs w:val="18"/>
          <w:i w:val="1"/>
          <w:iCs w:val="1"/>
          <w:color w:val="auto"/>
        </w:rPr>
        <w:t>ASU</w:t>
      </w:r>
      <w:r>
        <w:rPr>
          <w:rFonts w:ascii="Arial" w:cs="Arial" w:eastAsia="Arial" w:hAnsi="Arial"/>
          <w:sz w:val="18"/>
          <w:szCs w:val="18"/>
          <w:color w:val="auto"/>
        </w:rPr>
        <w:t xml:space="preserve">) No. 2016-02, </w:t>
      </w:r>
      <w:r>
        <w:rPr>
          <w:rFonts w:ascii="Arial" w:cs="Arial" w:eastAsia="Arial" w:hAnsi="Arial"/>
          <w:sz w:val="18"/>
          <w:szCs w:val="18"/>
          <w:i w:val="1"/>
          <w:iCs w:val="1"/>
          <w:color w:val="auto"/>
        </w:rPr>
        <w:t>Leases</w:t>
      </w:r>
      <w:r>
        <w:rPr>
          <w:rFonts w:ascii="Arial" w:cs="Arial" w:eastAsia="Arial" w:hAnsi="Arial"/>
          <w:sz w:val="18"/>
          <w:szCs w:val="18"/>
          <w:color w:val="auto"/>
        </w:rPr>
        <w:t>, which replaced the existing guidance in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xml:space="preserve">) 840, “Leases”, and its subsequent amendments including ASU No.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Targeted Improvements (</w:t>
      </w:r>
      <w:r>
        <w:rPr>
          <w:rFonts w:ascii="Arial" w:cs="Arial" w:eastAsia="Arial" w:hAnsi="Arial"/>
          <w:sz w:val="18"/>
          <w:szCs w:val="18"/>
          <w:i w:val="1"/>
          <w:iCs w:val="1"/>
          <w:color w:val="auto"/>
        </w:rPr>
        <w:t>ASC 842</w:t>
      </w:r>
      <w:r>
        <w:rPr>
          <w:rFonts w:ascii="Arial" w:cs="Arial" w:eastAsia="Arial" w:hAnsi="Arial"/>
          <w:sz w:val="18"/>
          <w:szCs w:val="18"/>
          <w:color w:val="auto"/>
        </w:rPr>
        <w:t>) using the modified transition method.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Our accounting for financing leases, previously referred to as “capital leases” under prior guidance, remained substantially unchanged with our adoption of ASC</w:t>
      </w:r>
    </w:p>
    <w:p>
      <w:pPr>
        <w:spacing w:after="0" w:line="38" w:lineRule="exact"/>
        <w:rPr>
          <w:sz w:val="20"/>
          <w:szCs w:val="20"/>
          <w:color w:val="auto"/>
        </w:rPr>
      </w:pPr>
    </w:p>
    <w:p>
      <w:pPr>
        <w:jc w:val="both"/>
        <w:ind w:firstLine="8"/>
        <w:spacing w:after="0" w:line="302" w:lineRule="auto"/>
        <w:tabs>
          <w:tab w:leader="none" w:pos="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Financing leases are included in property and equipment, net and as current and non-current financing lease liabilities in our condensed consolidated balance sheets. Refer to “Recent Accounting Pronouncements” below and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for additional information regarding our adoption of ASC 842 and its impact on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360" w:type="dxa"/>
            <w:vAlign w:val="bottom"/>
            <w:tcBorders>
              <w:top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Outstanding options under the Company's Amended and Restated 2016 (formerly 2008) Stock Incentive Plan and 2019</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Omnibus Equity Incentive Plan</w:t>
            </w:r>
          </w:p>
        </w:tc>
        <w:tc>
          <w:tcPr>
            <w:tcW w:w="1100" w:type="dxa"/>
            <w:vAlign w:val="bottom"/>
          </w:tcPr>
          <w:p>
            <w:pPr>
              <w:jc w:val="right"/>
              <w:spacing w:after="0"/>
              <w:rPr>
                <w:sz w:val="20"/>
                <w:szCs w:val="20"/>
                <w:color w:val="auto"/>
              </w:rPr>
            </w:pPr>
            <w:r>
              <w:rPr>
                <w:rFonts w:ascii="Arial" w:cs="Arial" w:eastAsia="Arial" w:hAnsi="Arial"/>
                <w:sz w:val="18"/>
                <w:szCs w:val="18"/>
                <w:color w:val="auto"/>
              </w:rPr>
              <w:t>9,928,088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6,410,338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23,050,204</w:t>
            </w: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21,499,955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37,206,544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32,138,545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8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6"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7"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 excludes common shares issuable in payment of dividends on Series B Preferred upon conversion.</w:t>
      </w:r>
    </w:p>
    <w:p>
      <w:pPr>
        <w:ind w:right="560" w:firstLine="8"/>
        <w:spacing w:after="0" w:line="248"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that are measured on a recurring basis at fair value at December 31, 2019 or March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nine months ended December 31, 2019, as compared to the recent accounting pronouncements described in our Form 10-K for our fiscal year ended March 31, 2019, that are of significance or potential significance to us.</w:t>
      </w:r>
    </w:p>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replaced the existing guidance in ASC 840, “Leases”, and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Targeted Improvements (together, </w:t>
      </w:r>
      <w:r>
        <w:rPr>
          <w:rFonts w:ascii="Arial" w:cs="Arial" w:eastAsia="Arial" w:hAnsi="Arial"/>
          <w:sz w:val="16"/>
          <w:szCs w:val="16"/>
          <w:i w:val="1"/>
          <w:iCs w:val="1"/>
          <w:color w:val="auto"/>
        </w:rPr>
        <w:t>ASC 842</w:t>
      </w:r>
      <w:r>
        <w:rPr>
          <w:rFonts w:ascii="Arial" w:cs="Arial" w:eastAsia="Arial" w:hAnsi="Arial"/>
          <w:sz w:val="16"/>
          <w:szCs w:val="16"/>
          <w:color w:val="auto"/>
        </w:rPr>
        <w:t>). The new leasing standards set out the principles for the recognition, measurement, presentation and disclosure of leases for both parties to a contract (i.e. lessees and lessors). The new standards require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prior guidance for operating leases. We adopted the standards on the required effective date of April 1, 2019 and did not restate lease expense or lease-related assets or liabilities reported in prior comparative periods. Presentation of our financing lease for office equipment in the consolidated balance sheet is generally consistent with capitalized lease presentation under the prior lease accounting guidance. Presentation of leases within the consolidated statements of operations and consolidated statements of cash flows is generally consistent with the prior lease accounting guidance. We elected the package of practical expedients permitted under the transition guidance and, accordingly, the adoption of ASC 842 did not change the prior classification of any of our leases. We elected not to record a right-of-use asset or a lease liability on the balance sheet for leases with a term of 12 months or less and will recognize the associated lease payments in the consolidated statements of operations over the lease term. On the April 1, 2019 adoption date, we recognized approximately $4.3 million as total lease liabilities and $3.9 million as total right-of-use assets in our Condensed Consolidated Balance Sheet and derecognized a deferred rent liability of approximately $0.4 million attributable to the operating lease of our primary office and laboratory facilities recorded in accordance with prior guidance.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6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w w:val="93"/>
              </w:rPr>
              <w:t>Prepaid expenses and other current assets are composed of the following at December 31, 2019 and March 31, 2019: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r>
      <w:tr>
        <w:trPr>
          <w:trHeight w:val="252"/>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12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Clinical and nonclinical materials and contract services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Fair value of securities issued for professional services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Public offering filing fees and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Conferences, sponsorships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319,000</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250,900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securities issued for professional services reflects the unamortized portion of the fair value of securities we have issued to certain professional service providers as full or partial compensation for services. The fair value of the securities issued is amortized ratably over the term of the related service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Note 5. Property and Equipment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Property and equipment is composed of the following at December 31, 2019 and March 31, 2019:</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8820" w:type="dxa"/>
            <w:vAlign w:val="bottom"/>
          </w:tcPr>
          <w:p>
            <w:pPr>
              <w:spacing w:after="0"/>
              <w:rPr>
                <w:sz w:val="24"/>
                <w:szCs w:val="24"/>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52"/>
        </w:trPr>
        <w:tc>
          <w:tcPr>
            <w:tcW w:w="88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(1,011,000)</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(933,400)</w:t>
            </w: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Included in amounts reported above for office furniture and equipment is the right-of-use asset related to a financing lease of certain office equipment. Amounts associated with assets subject to the financing lease at December 31, 2019 and March 31, 2019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19"/>
                <w:szCs w:val="19"/>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Office equipment subject to financing lease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(6,500)</w:t>
            </w: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book value of office equipment subject to financing lease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424"/>
        </w:trPr>
        <w:tc>
          <w:tcPr>
            <w:tcW w:w="8820" w:type="dxa"/>
            <w:vAlign w:val="bottom"/>
          </w:tcPr>
          <w:p>
            <w:pPr>
              <w:spacing w:after="0"/>
              <w:rPr>
                <w:sz w:val="20"/>
                <w:szCs w:val="20"/>
                <w:color w:val="auto"/>
              </w:rPr>
            </w:pPr>
            <w:r>
              <w:rPr>
                <w:rFonts w:ascii="Arial" w:cs="Arial" w:eastAsia="Arial" w:hAnsi="Arial"/>
                <w:sz w:val="18"/>
                <w:szCs w:val="18"/>
                <w:b w:val="1"/>
                <w:bCs w:val="1"/>
                <w:color w:val="auto"/>
              </w:rPr>
              <w:t>Note 6. Accrued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Accrued expenses are composed of the following at December 31, 2019 and March 31, 2019: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882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52"/>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1"/>
                <w:szCs w:val="21"/>
                <w:color w:val="auto"/>
              </w:rPr>
            </w:pPr>
          </w:p>
        </w:tc>
      </w:tr>
      <w:tr>
        <w:trPr>
          <w:trHeight w:val="485"/>
        </w:trPr>
        <w:tc>
          <w:tcPr>
            <w:tcW w:w="8820" w:type="dxa"/>
            <w:vAlign w:val="bottom"/>
          </w:tcPr>
          <w:p>
            <w:pPr>
              <w:ind w:left="40"/>
              <w:spacing w:after="0"/>
              <w:rPr>
                <w:sz w:val="20"/>
                <w:szCs w:val="20"/>
                <w:color w:val="auto"/>
              </w:rPr>
            </w:pPr>
            <w:r>
              <w:rPr>
                <w:rFonts w:ascii="Arial" w:cs="Arial" w:eastAsia="Arial" w:hAnsi="Arial"/>
                <w:sz w:val="18"/>
                <w:szCs w:val="18"/>
                <w:color w:val="auto"/>
              </w:rPr>
              <w:t>Accrued expenses for AV-101, PH94B, and PH10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clinical trial, development and related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439,200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951,300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1,685,600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Notes Payable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unsecured promissory notes at December 31, 2019 and March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Borders>
              <w:bottom w:val="single" w:sz="8" w:color="auto"/>
            </w:tcBorders>
            <w:gridSpan w:val="6"/>
          </w:tcPr>
          <w:p>
            <w:pPr>
              <w:jc w:val="center"/>
              <w:ind w:left="432"/>
              <w:spacing w:after="0"/>
              <w:rPr>
                <w:sz w:val="20"/>
                <w:szCs w:val="20"/>
                <w:color w:val="auto"/>
              </w:rPr>
            </w:pPr>
            <w:r>
              <w:rPr>
                <w:rFonts w:ascii="Arial" w:cs="Arial" w:eastAsia="Arial" w:hAnsi="Arial"/>
                <w:sz w:val="18"/>
                <w:szCs w:val="18"/>
                <w:b w:val="1"/>
                <w:bCs w:val="1"/>
                <w:color w:val="auto"/>
                <w:w w:val="87"/>
              </w:rPr>
              <w:t>December 31, 2019</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90"/>
              </w:rPr>
              <w:t>March 31, 2019</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32"/>
              <w:spacing w:after="0"/>
              <w:rPr>
                <w:sz w:val="20"/>
                <w:szCs w:val="20"/>
                <w:color w:val="auto"/>
              </w:rPr>
            </w:pPr>
            <w:r>
              <w:rPr>
                <w:rFonts w:ascii="Arial" w:cs="Arial" w:eastAsia="Arial" w:hAnsi="Arial"/>
                <w:sz w:val="18"/>
                <w:szCs w:val="18"/>
                <w:color w:val="auto"/>
                <w:w w:val="92"/>
              </w:rPr>
              <w:t>Principal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8"/>
                <w:szCs w:val="18"/>
                <w:color w:val="auto"/>
                <w:w w:val="87"/>
              </w:rPr>
              <w:t>Accrued</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90"/>
              </w:rPr>
              <w:t>Accrued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2"/>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32"/>
              <w:spacing w:after="0"/>
              <w:rPr>
                <w:sz w:val="20"/>
                <w:szCs w:val="20"/>
                <w:color w:val="auto"/>
              </w:rPr>
            </w:pPr>
            <w:r>
              <w:rPr>
                <w:rFonts w:ascii="Arial" w:cs="Arial" w:eastAsia="Arial" w:hAnsi="Arial"/>
                <w:sz w:val="18"/>
                <w:szCs w:val="18"/>
                <w:color w:val="auto"/>
                <w:w w:val="86"/>
              </w:rPr>
              <w:t>Balance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Interest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Balance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520"/>
              <w:spacing w:after="0"/>
              <w:rPr>
                <w:sz w:val="20"/>
                <w:szCs w:val="20"/>
                <w:color w:val="auto"/>
              </w:rPr>
            </w:pPr>
            <w:r>
              <w:rPr>
                <w:rFonts w:ascii="Arial" w:cs="Arial" w:eastAsia="Arial" w:hAnsi="Arial"/>
                <w:sz w:val="18"/>
                <w:szCs w:val="18"/>
                <w:color w:val="auto"/>
                <w:w w:val="86"/>
              </w:rPr>
              <w:t>Interest</w:t>
            </w:r>
          </w:p>
        </w:tc>
        <w:tc>
          <w:tcPr>
            <w:tcW w:w="840" w:type="dxa"/>
            <w:vAlign w:val="bottom"/>
            <w:gridSpan w:val="3"/>
          </w:tcPr>
          <w:p>
            <w:pPr>
              <w:ind w:left="100"/>
              <w:spacing w:after="0"/>
              <w:rPr>
                <w:sz w:val="20"/>
                <w:szCs w:val="20"/>
                <w:color w:val="auto"/>
              </w:rPr>
            </w:pPr>
            <w:r>
              <w:rPr>
                <w:rFonts w:ascii="Arial" w:cs="Arial" w:eastAsia="Arial" w:hAnsi="Arial"/>
                <w:sz w:val="18"/>
                <w:szCs w:val="18"/>
                <w:color w:val="auto"/>
              </w:rPr>
              <w:t>Total</w:t>
            </w: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7.75% and 7.15% Notes payable</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 insurance premium financing company (current)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57,300</w:t>
            </w:r>
          </w:p>
        </w:tc>
        <w:tc>
          <w:tcPr>
            <w:tcW w:w="1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2019, we executed a 7.15% promissory note in the principal amount of $230,200 in connection with certain insurance policy premiums. The note is payable in monthly installments of $23,800, including principal and interest, through March 2020, and had an outstanding principal balance of $70,500 at December 31, 2019. In February 2019, we executed a 7.75% promissory note in the principal amount of $63,500 in connection with other insurance policy premiums. That note was payable in monthly installments of $6,600 including principal and interest, through December 2019 and was fully paid at December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At our Annual Meeting of Stockholders on September 5, 2019, as approved by and recommended to our stockholders by our Board, our stockholders approved an amendment to our Restated Articles of Incorporation to increase the authorized number of shares of common stock that we may issue from 100.0 million shares to 175.0 million shares. The amendment became effective on September 6, 2019, upon our filing of a certificate of amendment with the Nevada Secretary of State.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Fall 2019 Private Placement</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Between October 30, 2019 and November 7, 2019, in a self-placed private placement and pursuant to subscription agreements received from certain accredited investors, we sold to such investors units, at a purchase price of $1.00 per unit, consisting of an aggregate of 650,000 unregistered shares of our common stock and warrants, exercisable beginning six months following issuance and through November 1, 2023, to purchase 325,000 unregistered shares of our common stock at an exercise price of $2.00 per share (the </w:t>
      </w:r>
      <w:r>
        <w:rPr>
          <w:rFonts w:ascii="Arial" w:cs="Arial" w:eastAsia="Arial" w:hAnsi="Arial"/>
          <w:sz w:val="16"/>
          <w:szCs w:val="16"/>
          <w:i w:val="1"/>
          <w:iCs w:val="1"/>
          <w:color w:val="auto"/>
        </w:rPr>
        <w:t>Fall 2019 Private Placement</w:t>
      </w:r>
      <w:r>
        <w:rPr>
          <w:rFonts w:ascii="Arial" w:cs="Arial" w:eastAsia="Arial" w:hAnsi="Arial"/>
          <w:sz w:val="16"/>
          <w:szCs w:val="16"/>
          <w:color w:val="auto"/>
        </w:rPr>
        <w:t>). We received cash proceeds of $650,000 from the Fall 2019 Private Placement.</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As further described below under “Winter 2019 Warrant Modification,” in December 2019, we modified the warrants issued in connection with the Fall 2019 Private Placement to (i) reduce the exercise price from $2.00 per share to $0.50 per share and (ii) to allow for the warrants to become immediately exercisable. Further, we issued warrants to purchase an aggregate of 325,000 additional shares of our common stock to the participants in the Fall 2019 Private Placement (the </w:t>
      </w:r>
      <w:r>
        <w:rPr>
          <w:rFonts w:ascii="Arial" w:cs="Arial" w:eastAsia="Arial" w:hAnsi="Arial"/>
          <w:sz w:val="16"/>
          <w:szCs w:val="16"/>
          <w:i w:val="1"/>
          <w:iCs w:val="1"/>
          <w:color w:val="auto"/>
        </w:rPr>
        <w:t>Additional Warrants</w:t>
      </w:r>
      <w:r>
        <w:rPr>
          <w:rFonts w:ascii="Arial" w:cs="Arial" w:eastAsia="Arial" w:hAnsi="Arial"/>
          <w:sz w:val="16"/>
          <w:szCs w:val="16"/>
          <w:color w:val="auto"/>
        </w:rPr>
        <w:t>) to increase the number of unregistered shares of common stock issuable upon exercise of the warrants from 50% to 100%. The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are immediately exercisable through March 31, 2024 at an exercise price of $0.50 per share.</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calculated the fair value of the Additional Warrants using the Black Scholes Option Pricing Model and the weighted average assumptions indicated in the table below, recognizing $88,800 as the fair value of the new warrants and as warrant modification expense, included as a component of general and administrative expenses, in our Condensed Consolidated Statement of Operations and Comprehensive Loss for the three and nine months ended December 31,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Additional</w:t>
            </w:r>
          </w:p>
        </w:tc>
        <w:tc>
          <w:tcPr>
            <w:tcW w:w="0" w:type="dxa"/>
            <w:vAlign w:val="bottom"/>
          </w:tcPr>
          <w:p>
            <w:pPr>
              <w:spacing w:after="0"/>
              <w:rPr>
                <w:sz w:val="1"/>
                <w:szCs w:val="1"/>
                <w:color w:val="auto"/>
              </w:rPr>
            </w:pPr>
          </w:p>
        </w:tc>
      </w:tr>
      <w:tr>
        <w:trPr>
          <w:trHeight w:val="237"/>
        </w:trPr>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Warrants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Winter 2019 Warrant Modification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On December 4, 2019, we modified outstanding warrants previously issued as a part of completed private placements to temporarily reduce, for a period of two years or, if sooner, until the expiration of the warrant, the exercise price of such warrants to $0.50 per share, in order to more closely align the exercise price of the warrants with the trading price of our common stock at such time (the </w:t>
      </w:r>
      <w:r>
        <w:rPr>
          <w:rFonts w:ascii="Arial" w:cs="Arial" w:eastAsia="Arial" w:hAnsi="Arial"/>
          <w:sz w:val="16"/>
          <w:szCs w:val="16"/>
          <w:i w:val="1"/>
          <w:iCs w:val="1"/>
          <w:color w:val="auto"/>
        </w:rPr>
        <w:t>Winter 2019 Warrant Modification</w:t>
      </w:r>
      <w:r>
        <w:rPr>
          <w:rFonts w:ascii="Arial" w:cs="Arial" w:eastAsia="Arial" w:hAnsi="Arial"/>
          <w:sz w:val="16"/>
          <w:szCs w:val="16"/>
          <w:color w:val="auto"/>
        </w:rPr>
        <w:t>). Following the two-year period during which the exercise price is reduced, the exercise price of each modified warrant will revert to its pre-modification price. As a result of the Winter 2019 Warrant Modification, outstanding warrants to purchase a total of approximately 6.6 million unregistered shares of our common stock were modified.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calculated the fair value of the modified warrants, including those issued in the Fall 2019 Private Placement, immediately before and after the modification using the Black Scholes Option Pricing Model for pre-modification valuations and for post-modification valuations for warrants expiring in less than two years. For the warrants expiring after the December 4, 2021 exercise price reversion date, we ran a binomial model using 24 steps, one for each month, and lognormal distribution to estimate our stock price at December 4, 2021, the termination date for the exercise price reduction. We then compared the exercise value of each warrant at each estimated stock price to the remaining option value if the warrant was not exercised on December 4, 2021 and allowed to revert to its original exercise price. For any estimated stock price above $0.50 per share (an in-the-money warrant), we determined that the holders would convert their warrants. For any estimated stock price below $0.50 per share, we determined that the holders would continue to hold their warrants. Given the significant reductions in exercise price (the pre-modification exercise prices range from $1.50 to $2.24 per share), if the warrants are not exercised prior to December 4, 2021, the Black-Scholes values upon the reversion of the exercise prices are very low, such that there is nominal additional value for continuing to hold the warrants. Accordingly, our estimated post-modification fair value for warrants having an expiration date later than the two-year exercise price reversion date, December 4, 2021, is equal to the value of an option determined using the Black Scholes Option Pricing Model having an exercise price of $0.50 per share and a two-year term and related assumptions. The table below indicates the pre- and post-modification weighted average assumptions used in our valuations. We recognized the incremental fair value, $702,500, as warrant modification expense, included as a component of general and administrative expenses, in our Condensed Consolidated Statement of Operations and Comprehensive Loss for the three and nine months ended December 31,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6,611,759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6,611,759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Winter 2019 Warrant Modification, investors holding a total 820,000 warrants elected to exercise their warrants at the reduced price of $0.50 per share, resulting in proceeds to us of $410,000.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19, 2019 Warrant Modification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December 19, 2019, we modified outstanding warrants previously issued as a part of a completed private placement to permanently reduce the exercise price of such warrants to $0.805 per share and to extend the term of such warrants through December 31, 2022, in order to more closely align the exercise price of the warrants with the current trading price of our common stock and to provide additional time for the holders to exercise the warrants (the </w:t>
      </w:r>
      <w:r>
        <w:rPr>
          <w:rFonts w:ascii="Arial" w:cs="Arial" w:eastAsia="Arial" w:hAnsi="Arial"/>
          <w:sz w:val="18"/>
          <w:szCs w:val="18"/>
          <w:i w:val="1"/>
          <w:iCs w:val="1"/>
          <w:color w:val="auto"/>
        </w:rPr>
        <w:t>December 19, 2019</w:t>
      </w:r>
      <w:r>
        <w:rPr>
          <w:rFonts w:ascii="Arial" w:cs="Arial" w:eastAsia="Arial" w:hAnsi="Arial"/>
          <w:sz w:val="18"/>
          <w:szCs w:val="18"/>
          <w:color w:val="auto"/>
        </w:rPr>
        <w:t xml:space="preserve"> </w:t>
      </w:r>
      <w:r>
        <w:rPr>
          <w:rFonts w:ascii="Arial" w:cs="Arial" w:eastAsia="Arial" w:hAnsi="Arial"/>
          <w:sz w:val="18"/>
          <w:szCs w:val="18"/>
          <w:i w:val="1"/>
          <w:iCs w:val="1"/>
          <w:color w:val="auto"/>
        </w:rPr>
        <w:t>Warrant Modification</w:t>
      </w:r>
      <w:r>
        <w:rPr>
          <w:rFonts w:ascii="Arial" w:cs="Arial" w:eastAsia="Arial" w:hAnsi="Arial"/>
          <w:sz w:val="18"/>
          <w:szCs w:val="18"/>
          <w:color w:val="auto"/>
        </w:rPr>
        <w:t>). As a result of the December 19, 2019 Warrant Modification, outstanding warrants to purchase a total of 80,431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were modified.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calculated the fair value of the modified warrants immediately before and after the modification using the Black Scholes Option Pricing Model and the weighted average assumptions indicated in the table below. We recognized the incremental fair value, $35,600, as warrant modification expense, included as a component of general and administrative expenses, in our Condensed Consolidated Statement of Operations and Comprehensive Loss for the three and nine months ended December 31,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0.805</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Winter 2019 Warrant Offering</w:t>
      </w:r>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 xml:space="preserve">In December 2019, we commenced a self-placed private placement of warrants to purchase unregistered shares of our common stock at an offering price of $0.15 per warrant (the </w:t>
      </w:r>
      <w:r>
        <w:rPr>
          <w:rFonts w:ascii="Arial" w:cs="Arial" w:eastAsia="Arial" w:hAnsi="Arial"/>
          <w:sz w:val="15"/>
          <w:szCs w:val="15"/>
          <w:i w:val="1"/>
          <w:iCs w:val="1"/>
          <w:color w:val="auto"/>
        </w:rPr>
        <w:t>Winter 2019 Warrant Offering</w:t>
      </w:r>
      <w:r>
        <w:rPr>
          <w:rFonts w:ascii="Arial" w:cs="Arial" w:eastAsia="Arial" w:hAnsi="Arial"/>
          <w:sz w:val="15"/>
          <w:szCs w:val="15"/>
          <w:color w:val="auto"/>
        </w:rPr>
        <w:t>). Warrants offered and sold in the Winter 2019 Warrant Offering have an exercise price of $0.50 per share and term of three years from the issuance date. Over the course of the Winter 2019 Warrant Offering, we sold warrants to purchase a total of 2.0 million unregistered shares of common stock for cash proceeds to us of $300,000, which we accounted for with a corresponding credit to additional paid-in capital, an equity account.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warrants outstanding and exercisable as of December 31, 2019 subsequent to the issuances and modifications described above.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exercise price of outstanding and exercisable warrants at December 31, 2019 is $1.88 per share and $1.90 per share, respectively.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560" w:type="dxa"/>
            <w:vAlign w:val="bottom"/>
          </w:tcPr>
          <w:p>
            <w:pPr>
              <w:spacing w:after="0"/>
              <w:rPr>
                <w:sz w:val="19"/>
                <w:szCs w:val="19"/>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Warrants</w:t>
            </w:r>
          </w:p>
        </w:tc>
      </w:tr>
      <w:tr>
        <w:trPr>
          <w:trHeight w:val="243"/>
        </w:trPr>
        <w:tc>
          <w:tcPr>
            <w:tcW w:w="300" w:type="dxa"/>
            <w:vAlign w:val="bottom"/>
          </w:tcPr>
          <w:p>
            <w:pPr>
              <w:spacing w:after="0"/>
              <w:rPr>
                <w:sz w:val="21"/>
                <w:szCs w:val="21"/>
                <w:color w:val="auto"/>
              </w:rPr>
            </w:pPr>
          </w:p>
        </w:tc>
        <w:tc>
          <w:tcPr>
            <w:tcW w:w="1680" w:type="dxa"/>
            <w:vAlign w:val="bottom"/>
          </w:tcPr>
          <w:p>
            <w:pPr>
              <w:jc w:val="center"/>
              <w:ind w:left="492"/>
              <w:spacing w:after="0"/>
              <w:rPr>
                <w:sz w:val="20"/>
                <w:szCs w:val="20"/>
                <w:color w:val="auto"/>
              </w:rPr>
            </w:pPr>
            <w:r>
              <w:rPr>
                <w:rFonts w:ascii="Arial" w:cs="Arial" w:eastAsia="Arial" w:hAnsi="Arial"/>
                <w:sz w:val="18"/>
                <w:szCs w:val="18"/>
                <w:b w:val="1"/>
                <w:bCs w:val="1"/>
                <w:color w:val="auto"/>
                <w:w w:val="83"/>
              </w:rPr>
              <w:t>Exercise</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at</w:t>
            </w:r>
          </w:p>
        </w:tc>
        <w:tc>
          <w:tcPr>
            <w:tcW w:w="560" w:type="dxa"/>
            <w:vAlign w:val="bottom"/>
          </w:tcPr>
          <w:p>
            <w:pPr>
              <w:spacing w:after="0"/>
              <w:rPr>
                <w:sz w:val="21"/>
                <w:szCs w:val="21"/>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Exercisable at</w:t>
            </w:r>
          </w:p>
        </w:tc>
      </w:tr>
      <w:tr>
        <w:trPr>
          <w:trHeight w:val="231"/>
        </w:trPr>
        <w:tc>
          <w:tcPr>
            <w:tcW w:w="300" w:type="dxa"/>
            <w:vAlign w:val="bottom"/>
          </w:tcPr>
          <w:p>
            <w:pPr>
              <w:spacing w:after="0"/>
              <w:rPr>
                <w:sz w:val="20"/>
                <w:szCs w:val="20"/>
                <w:color w:val="auto"/>
              </w:rPr>
            </w:pPr>
          </w:p>
        </w:tc>
        <w:tc>
          <w:tcPr>
            <w:tcW w:w="168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Price</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58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560" w:type="dxa"/>
            <w:vAlign w:val="bottom"/>
          </w:tcPr>
          <w:p>
            <w:pPr>
              <w:spacing w:after="0"/>
              <w:rPr>
                <w:sz w:val="20"/>
                <w:szCs w:val="20"/>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December 31,</w:t>
            </w:r>
          </w:p>
        </w:tc>
      </w:tr>
      <w:tr>
        <w:trPr>
          <w:trHeight w:val="264"/>
        </w:trPr>
        <w:tc>
          <w:tcPr>
            <w:tcW w:w="300" w:type="dxa"/>
            <w:vAlign w:val="bottom"/>
          </w:tcPr>
          <w:p>
            <w:pPr>
              <w:spacing w:after="0"/>
              <w:rPr>
                <w:sz w:val="22"/>
                <w:szCs w:val="22"/>
                <w:color w:val="auto"/>
              </w:rPr>
            </w:pPr>
          </w:p>
        </w:tc>
        <w:tc>
          <w:tcPr>
            <w:tcW w:w="1680" w:type="dxa"/>
            <w:vAlign w:val="bottom"/>
          </w:tcPr>
          <w:p>
            <w:pPr>
              <w:jc w:val="center"/>
              <w:ind w:left="492"/>
              <w:spacing w:after="0"/>
              <w:rPr>
                <w:sz w:val="20"/>
                <w:szCs w:val="20"/>
                <w:color w:val="auto"/>
              </w:rPr>
            </w:pPr>
            <w:r>
              <w:rPr>
                <w:rFonts w:ascii="Arial" w:cs="Arial" w:eastAsia="Arial" w:hAnsi="Arial"/>
                <w:sz w:val="18"/>
                <w:szCs w:val="18"/>
                <w:b w:val="1"/>
                <w:bCs w:val="1"/>
                <w:color w:val="auto"/>
                <w:w w:val="89"/>
              </w:rPr>
              <w:t>per Share</w:t>
            </w: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860" w:type="dxa"/>
            <w:vAlign w:val="bottom"/>
            <w:gridSpan w:val="2"/>
          </w:tcPr>
          <w:p>
            <w:pPr>
              <w:jc w:val="center"/>
              <w:ind w:left="472"/>
              <w:spacing w:after="0"/>
              <w:rPr>
                <w:sz w:val="20"/>
                <w:szCs w:val="20"/>
                <w:color w:val="auto"/>
              </w:rPr>
            </w:pPr>
            <w:r>
              <w:rPr>
                <w:rFonts w:ascii="Arial" w:cs="Arial" w:eastAsia="Arial" w:hAnsi="Arial"/>
                <w:sz w:val="18"/>
                <w:szCs w:val="18"/>
                <w:b w:val="1"/>
                <w:bCs w:val="1"/>
                <w:color w:val="auto"/>
                <w:w w:val="84"/>
              </w:rPr>
              <w:t>2019</w:t>
            </w:r>
          </w:p>
        </w:tc>
        <w:tc>
          <w:tcPr>
            <w:tcW w:w="2860" w:type="dxa"/>
            <w:vAlign w:val="bottom"/>
            <w:gridSpan w:val="2"/>
          </w:tcPr>
          <w:p>
            <w:pPr>
              <w:jc w:val="center"/>
              <w:ind w:left="472"/>
              <w:spacing w:after="0"/>
              <w:rPr>
                <w:sz w:val="20"/>
                <w:szCs w:val="20"/>
                <w:color w:val="auto"/>
              </w:rPr>
            </w:pPr>
            <w:r>
              <w:rPr>
                <w:rFonts w:ascii="Arial" w:cs="Arial" w:eastAsia="Arial" w:hAnsi="Arial"/>
                <w:sz w:val="18"/>
                <w:szCs w:val="18"/>
                <w:b w:val="1"/>
                <w:bCs w:val="1"/>
                <w:color w:val="auto"/>
                <w:w w:val="84"/>
              </w:rPr>
              <w:t>2019</w:t>
            </w:r>
          </w:p>
        </w:tc>
        <w:tc>
          <w:tcPr>
            <w:tcW w:w="280" w:type="dxa"/>
            <w:vAlign w:val="bottom"/>
          </w:tcPr>
          <w:p>
            <w:pPr>
              <w:spacing w:after="0"/>
              <w:rPr>
                <w:sz w:val="22"/>
                <w:szCs w:val="22"/>
                <w:color w:val="auto"/>
              </w:rPr>
            </w:pPr>
          </w:p>
        </w:tc>
      </w:tr>
      <w:tr>
        <w:trPr>
          <w:trHeight w:val="243"/>
        </w:trPr>
        <w:tc>
          <w:tcPr>
            <w:tcW w:w="300" w:type="dxa"/>
            <w:vAlign w:val="bottom"/>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228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198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5/20/2020 to 3/31/2024</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8,116,759</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7,791,759</w:t>
            </w:r>
          </w:p>
        </w:tc>
        <w:tc>
          <w:tcPr>
            <w:tcW w:w="28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0.805</w:t>
            </w:r>
          </w:p>
        </w:tc>
        <w:tc>
          <w:tcPr>
            <w:tcW w:w="2840" w:type="dxa"/>
            <w:vAlign w:val="bottom"/>
            <w:gridSpan w:val="2"/>
          </w:tcPr>
          <w:p>
            <w:pPr>
              <w:jc w:val="center"/>
              <w:ind w:left="472"/>
              <w:spacing w:after="0"/>
              <w:rPr>
                <w:sz w:val="20"/>
                <w:szCs w:val="20"/>
                <w:color w:val="auto"/>
              </w:rPr>
            </w:pPr>
            <w:r>
              <w:rPr>
                <w:rFonts w:ascii="Arial" w:cs="Arial" w:eastAsia="Arial" w:hAnsi="Arial"/>
                <w:sz w:val="18"/>
                <w:szCs w:val="18"/>
                <w:color w:val="auto"/>
                <w:w w:val="88"/>
              </w:rPr>
              <w:t>12/31/2022</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80,431</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80,431</w:t>
            </w:r>
          </w:p>
        </w:tc>
        <w:tc>
          <w:tcPr>
            <w:tcW w:w="28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4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12/13/2022</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9,596,200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9,596,200</w:t>
            </w:r>
          </w:p>
        </w:tc>
        <w:tc>
          <w:tcPr>
            <w:tcW w:w="28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2840" w:type="dxa"/>
            <w:vAlign w:val="bottom"/>
            <w:gridSpan w:val="2"/>
          </w:tcPr>
          <w:p>
            <w:pPr>
              <w:jc w:val="center"/>
              <w:ind w:left="492"/>
              <w:spacing w:after="0"/>
              <w:rPr>
                <w:sz w:val="20"/>
                <w:szCs w:val="20"/>
                <w:color w:val="auto"/>
              </w:rPr>
            </w:pPr>
            <w:r>
              <w:rPr>
                <w:rFonts w:ascii="Arial" w:cs="Arial" w:eastAsia="Arial" w:hAnsi="Arial"/>
                <w:sz w:val="18"/>
                <w:szCs w:val="18"/>
                <w:color w:val="auto"/>
                <w:w w:val="88"/>
              </w:rPr>
              <w:t>3/7/2023</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1,388,931</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1,388,931</w:t>
            </w:r>
          </w:p>
        </w:tc>
        <w:tc>
          <w:tcPr>
            <w:tcW w:w="28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4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12/31/2021</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5.30</w:t>
            </w:r>
          </w:p>
        </w:tc>
        <w:tc>
          <w:tcPr>
            <w:tcW w:w="284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5/16/2021</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2,705,883</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2,705,883</w:t>
            </w:r>
          </w:p>
        </w:tc>
        <w:tc>
          <w:tcPr>
            <w:tcW w:w="280" w:type="dxa"/>
            <w:vAlign w:val="bottom"/>
          </w:tcPr>
          <w:p>
            <w:pPr>
              <w:spacing w:after="0"/>
              <w:rPr>
                <w:sz w:val="18"/>
                <w:szCs w:val="18"/>
                <w:color w:val="auto"/>
              </w:rPr>
            </w:pPr>
          </w:p>
        </w:tc>
      </w:tr>
      <w:tr>
        <w:trPr>
          <w:trHeight w:val="216"/>
        </w:trPr>
        <w:tc>
          <w:tcPr>
            <w:tcW w:w="1980" w:type="dxa"/>
            <w:vAlign w:val="bottom"/>
            <w:gridSpan w:val="2"/>
            <w:shd w:val="clear" w:color="auto" w:fill="CCEEFF"/>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 to 3/3/2023</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1,092,000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1,092,000</w:t>
            </w:r>
          </w:p>
        </w:tc>
        <w:tc>
          <w:tcPr>
            <w:tcW w:w="28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10.00</w:t>
            </w:r>
          </w:p>
        </w:tc>
        <w:tc>
          <w:tcPr>
            <w:tcW w:w="284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1/11/2020</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8"/>
                <w:szCs w:val="18"/>
                <w:color w:val="auto"/>
              </w:rPr>
            </w:pP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23,050,204</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22,725,204</w:t>
            </w:r>
          </w:p>
        </w:tc>
        <w:tc>
          <w:tcPr>
            <w:tcW w:w="280" w:type="dxa"/>
            <w:vAlign w:val="bottom"/>
          </w:tcPr>
          <w:p>
            <w:pPr>
              <w:spacing w:after="0"/>
              <w:rPr>
                <w:sz w:val="18"/>
                <w:szCs w:val="18"/>
                <w:color w:val="auto"/>
              </w:rPr>
            </w:pPr>
          </w:p>
        </w:tc>
      </w:tr>
      <w:tr>
        <w:trPr>
          <w:trHeight w:val="21"/>
        </w:trPr>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the warrants outstanding at December 31, 2019, 2,705,883 shares of common stock underlying the warrants exercisable at $5.30 per share issued in our May 2016 public offering, 1,388,931 shares of common stock underlying the warrants exercisable at $1.82 per share issued in our September 2017 public offering and 9,596,200 shares of common stock underlying the warrants exercisable at $1.50 per share issued in our December 2017 public offering are registered for resale by the warrant holders. The common shares issuable upon exercise of our remaining outstanding warrants are unregistered. At December 31, 2019, none of our outstanding warrants are subject to down round anti-dilution protection features and all of the outstanding warrants are exercisable by the holders only by payment in cash of the stated exercise price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Cato Research Ltd. (</w:t>
      </w:r>
      <w:r>
        <w:rPr>
          <w:rFonts w:ascii="Arial" w:cs="Arial" w:eastAsia="Arial" w:hAnsi="Arial"/>
          <w:sz w:val="18"/>
          <w:szCs w:val="18"/>
          <w:i w:val="1"/>
          <w:iCs w:val="1"/>
          <w:color w:val="auto"/>
        </w:rPr>
        <w:t>CRL</w:t>
      </w:r>
      <w:r>
        <w:rPr>
          <w:rFonts w:ascii="Arial" w:cs="Arial" w:eastAsia="Arial" w:hAnsi="Arial"/>
          <w:sz w:val="18"/>
          <w:szCs w:val="18"/>
          <w:color w:val="auto"/>
        </w:rPr>
        <w:t>).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that we have engaged for a wide range of material aspects related to the nonclinical and clinical development, manufacturing and regulatory affairs associated with our efforts to develop and commercialize PH94B, PH10, AV-101. At December 31, 2019, CBV held approximately 2% of our outstanding common stock.</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prior May 2007 master services agreement, we incurred expenses of $842,100 and $1,075,800 during the quarters ended December 31, 2019 and 2018, respectively, and $3,858,000 and $2,705,600 for the nine months ended December 31, 2019 and 2018, respectively. At December 31, 2019 and March 31, 2019, we had recorded accounts payable and accrued expenses related to CRL aggregating $898,500 and $657,800, respectively. We anticipate periodic expenses for CRO services from CRL related to nonclinical and clinical development of, and regulatory affairs related to PH94B, PH10, AV-101 and other potential product candidates will increase in future periods.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our fiscal year ended March 31, 2019, we issued an aggregate of 2,556,361 shares of our unregistered common stock having an issue-date fair market value of $4,250,000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to acquire exclusive worldwide licenses to develop and commercialize PH94B and PH10. We recorded the acquisition of the licenses as research and development expense during our fiscal year ended March 31, 2019. During the quarters ended December 31, 2019 and 2018, we recorded $30,000 in each quarter, and during the nine months ended December 31, 2019 and 2018, we recorded $90,000 and $40,000, respectively, representing monthly support payments to Pherin under the terms of the PH94B license agreement. We recorded no amounts payable to Pherin at December 31, 2019 or March 31, 2019. At December 31, 2019, Pherin held approximately 3%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December 31, 2019, we engaged the consulting firm headed by one of the independent members of our Board to provide various market research studies and commercial modeling projects for certain of our CNS pipeline candidates and recorded research and development expense of $5,600 for the quarter ended December 31, 2019 and $108,400 for the nine months ended December 31, 2019 related to such studies. We incurred no such expenses for the three months ended December 31, 2018 and $11,700 for the nine months ended December 31, 2018. We recorded no amounts payable at December 31, 2019 or March 31, 2019 related to these studies.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lease our headquarters office and laboratory space in South San Francisco, California under the terms of a lease that expires on July 31, 2022 and that provides an option to renew for an additional five years at then-current market rates. Consistent with the guidance in ASC 842, effective beginning April 1, 2019, we have recorded this lease in our Condensed Consolidated Balance Sheet as an operating lease. For the purpose of determining the right-of-use asset and associated lease liability, we determined that the renewal of this lease is reasonably probable. The lease of our South San Francisco facilities does not include any restrictions or covenants requiring special treatment under ASC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 at December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0200" w:type="dxa"/>
            <w:vAlign w:val="bottom"/>
            <w:gridSpan w:val="2"/>
          </w:tcPr>
          <w:p>
            <w:pPr>
              <w:spacing w:after="0"/>
              <w:rPr>
                <w:sz w:val="20"/>
                <w:szCs w:val="20"/>
                <w:color w:val="auto"/>
              </w:rPr>
            </w:pPr>
            <w:r>
              <w:rPr>
                <w:rFonts w:ascii="Arial" w:cs="Arial" w:eastAsia="Arial" w:hAnsi="Arial"/>
                <w:sz w:val="18"/>
                <w:szCs w:val="18"/>
                <w:i w:val="1"/>
                <w:iCs w:val="1"/>
                <w:color w:val="auto"/>
              </w:rPr>
              <w:t>Assets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Right of use asset – operating lease</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Current operating lease obligation</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301,400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Non-current operating lease obligation</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560" w:type="dxa"/>
            <w:vAlign w:val="bottom"/>
            <w:gridSpan w:val="5"/>
          </w:tcPr>
          <w:p>
            <w:pPr>
              <w:spacing w:after="0"/>
              <w:rPr>
                <w:sz w:val="20"/>
                <w:szCs w:val="20"/>
                <w:color w:val="auto"/>
              </w:rPr>
            </w:pPr>
            <w:r>
              <w:rPr>
                <w:rFonts w:ascii="Arial" w:cs="Arial" w:eastAsia="Arial" w:hAnsi="Arial"/>
                <w:sz w:val="18"/>
                <w:szCs w:val="18"/>
                <w:color w:val="auto"/>
                <w:w w:val="88"/>
              </w:rPr>
              <w:t>The following table summarizes the effect of operating lease costs in the Company’s condensed consolidated statements of operations: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For the Three Months</w:t>
            </w:r>
          </w:p>
        </w:tc>
        <w:tc>
          <w:tcPr>
            <w:tcW w:w="18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For the Nine Months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Ended</w:t>
            </w:r>
          </w:p>
        </w:tc>
        <w:tc>
          <w:tcPr>
            <w:tcW w:w="500" w:type="dxa"/>
            <w:vAlign w:val="bottom"/>
          </w:tcPr>
          <w:p>
            <w:pPr>
              <w:spacing w:after="0"/>
              <w:rPr>
                <w:sz w:val="19"/>
                <w:szCs w:val="19"/>
                <w:color w:val="auto"/>
              </w:rPr>
            </w:pPr>
          </w:p>
        </w:tc>
        <w:tc>
          <w:tcPr>
            <w:tcW w:w="136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December 31, 2019</w:t>
            </w:r>
          </w:p>
        </w:tc>
        <w:tc>
          <w:tcPr>
            <w:tcW w:w="18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December 31,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203,100</w:t>
            </w: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560" w:type="dxa"/>
            <w:vAlign w:val="bottom"/>
            <w:gridSpan w:val="5"/>
          </w:tcPr>
          <w:p>
            <w:pPr>
              <w:spacing w:after="0"/>
              <w:rPr>
                <w:sz w:val="20"/>
                <w:szCs w:val="20"/>
                <w:color w:val="auto"/>
              </w:rPr>
            </w:pPr>
            <w:r>
              <w:rPr>
                <w:rFonts w:ascii="Arial" w:cs="Arial" w:eastAsia="Arial" w:hAnsi="Arial"/>
                <w:sz w:val="18"/>
                <w:szCs w:val="18"/>
                <w:color w:val="auto"/>
                <w:w w:val="95"/>
              </w:rPr>
              <w:t>The minimum (base rental) lease payments related to our South San Francisco operating lease are expected to be as follows: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Fiscal Years Ending March 31,</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 (remaining three months)</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2,720,400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5,684,400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(1,584,600)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Present value of operating lease liabilities</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4,099,800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Under the prior lease guidance, future minimum lease payments, under the non-cancellable portion (excluding the five-year extension assumed under ASC 842)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the South San Francisco operating lease were as follows at March 31,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60" w:type="dxa"/>
            <w:vAlign w:val="bottom"/>
            <w:gridSpan w:val="2"/>
          </w:tcPr>
          <w:p>
            <w:pPr>
              <w:spacing w:after="0"/>
              <w:rPr>
                <w:sz w:val="20"/>
                <w:szCs w:val="20"/>
                <w:color w:val="auto"/>
              </w:rPr>
            </w:pPr>
            <w:r>
              <w:rPr>
                <w:rFonts w:ascii="Arial" w:cs="Arial" w:eastAsia="Arial" w:hAnsi="Arial"/>
                <w:sz w:val="18"/>
                <w:szCs w:val="18"/>
                <w:b w:val="1"/>
                <w:bCs w:val="1"/>
                <w:color w:val="auto"/>
              </w:rPr>
              <w:t>Fiscal Years Ending March 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2,163,400</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remaining lease term, including the assumed five-year extension at the expiration of the current lease period, and the discount rate assumption for our South San Francisco operating lease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87"/>
              </w:rPr>
              <w:t>As of December</w:t>
            </w:r>
          </w:p>
        </w:tc>
      </w:tr>
      <w:tr>
        <w:trPr>
          <w:trHeight w:val="237"/>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31, 2019</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0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7.58</w:t>
            </w:r>
          </w:p>
        </w:tc>
        <w:tc>
          <w:tcPr>
            <w:tcW w:w="1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Assumed discount rate</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w w:val="82"/>
              </w:rPr>
              <w:t>8.54%</w:t>
            </w: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Supplemental disclosure of cash flow information related to the Company’s operating leases included in cash flows used by operating activities in the condensed consolidated statements of cash flows is as follows:</w:t>
      </w:r>
    </w:p>
    <w:p>
      <w:pPr>
        <w:spacing w:after="0" w:line="180" w:lineRule="exact"/>
        <w:rPr>
          <w:sz w:val="20"/>
          <w:szCs w:val="20"/>
          <w:color w:val="auto"/>
        </w:rPr>
      </w:pPr>
    </w:p>
    <w:p>
      <w:pPr>
        <w:ind w:left="10260"/>
        <w:spacing w:after="0"/>
        <w:rPr>
          <w:sz w:val="20"/>
          <w:szCs w:val="20"/>
          <w:color w:val="auto"/>
        </w:rPr>
      </w:pPr>
      <w:r>
        <w:rPr>
          <w:rFonts w:ascii="Arial" w:cs="Arial" w:eastAsia="Arial" w:hAnsi="Arial"/>
          <w:sz w:val="18"/>
          <w:szCs w:val="18"/>
          <w:b w:val="1"/>
          <w:bCs w:val="1"/>
          <w:color w:val="auto"/>
        </w:rPr>
        <w:t>For the Nine</w:t>
      </w:r>
    </w:p>
    <w:p>
      <w:pPr>
        <w:spacing w:after="0" w:line="21" w:lineRule="exact"/>
        <w:rPr>
          <w:sz w:val="20"/>
          <w:szCs w:val="20"/>
          <w:color w:val="auto"/>
        </w:rPr>
      </w:pPr>
    </w:p>
    <w:p>
      <w:pPr>
        <w:ind w:left="10200"/>
        <w:spacing w:after="0"/>
        <w:rPr>
          <w:sz w:val="20"/>
          <w:szCs w:val="20"/>
          <w:color w:val="auto"/>
        </w:rPr>
      </w:pPr>
      <w:r>
        <w:rPr>
          <w:rFonts w:ascii="Arial" w:cs="Arial" w:eastAsia="Arial" w:hAnsi="Arial"/>
          <w:sz w:val="16"/>
          <w:szCs w:val="16"/>
          <w:b w:val="1"/>
          <w:bCs w:val="1"/>
          <w:color w:val="auto"/>
        </w:rPr>
        <w:t>Months Ended</w:t>
      </w:r>
    </w:p>
    <w:p>
      <w:pPr>
        <w:spacing w:after="0" w:line="32" w:lineRule="exact"/>
        <w:rPr>
          <w:sz w:val="20"/>
          <w:szCs w:val="20"/>
          <w:color w:val="auto"/>
        </w:rPr>
      </w:pPr>
    </w:p>
    <w:p>
      <w:pPr>
        <w:ind w:left="102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p>
      <w:pPr>
        <w:ind w:left="1056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158" w:lineRule="exact"/>
        <w:rPr>
          <w:sz w:val="20"/>
          <w:szCs w:val="20"/>
          <w:color w:val="auto"/>
        </w:rPr>
      </w:pPr>
    </w:p>
    <w:p>
      <w:pPr>
        <w:spacing w:after="0"/>
        <w:tabs>
          <w:tab w:leader="none" w:pos="10180" w:val="left"/>
          <w:tab w:leader="none" w:pos="10700" w:val="left"/>
        </w:tabs>
        <w:rPr>
          <w:sz w:val="20"/>
          <w:szCs w:val="20"/>
          <w:color w:val="auto"/>
        </w:rPr>
      </w:pPr>
      <w:r>
        <w:rPr>
          <w:rFonts w:ascii="Arial" w:cs="Arial" w:eastAsia="Arial" w:hAnsi="Arial"/>
          <w:sz w:val="18"/>
          <w:szCs w:val="18"/>
          <w:color w:val="auto"/>
        </w:rPr>
        <w:t>Cash paid for amounts included in the measurement of lease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561,900</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nine months ended December 31, 2019, other than the initial adoption of ASC 842 that required right of use assets and lease liabilities to be recorded, we recorded no new right of use assets arising from new lease liabilities.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and $10,500 for the three and nine months ended December 31, 2019, respectively, attributable to this lease.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February 13, 2020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 of Common Stock and Concurrent Warrant Offering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January 24, 2020, we entered into a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8"/>
          <w:szCs w:val="18"/>
          <w:i w:val="1"/>
          <w:iCs w:val="1"/>
          <w:color w:val="auto"/>
        </w:rPr>
        <w:t>January 2020 Offering</w:t>
      </w:r>
      <w:r>
        <w:rPr>
          <w:rFonts w:ascii="Arial" w:cs="Arial" w:eastAsia="Arial" w:hAnsi="Arial"/>
          <w:sz w:val="18"/>
          <w:szCs w:val="18"/>
          <w:color w:val="auto"/>
        </w:rPr>
        <w:t xml:space="preserve">). Concurrently with the January 2020 Offering, we also commenced a private placement in which we issued and sold warrants (the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exercisable for an aggregate of 3,870,077 unregistered shares of our common stock (the </w:t>
      </w:r>
      <w:r>
        <w:rPr>
          <w:rFonts w:ascii="Arial" w:cs="Arial" w:eastAsia="Arial" w:hAnsi="Arial"/>
          <w:sz w:val="18"/>
          <w:szCs w:val="18"/>
          <w:i w:val="1"/>
          <w:iCs w:val="1"/>
          <w:color w:val="auto"/>
        </w:rPr>
        <w:t>Warrant Shares</w:t>
      </w:r>
      <w:r>
        <w:rPr>
          <w:rFonts w:ascii="Arial" w:cs="Arial" w:eastAsia="Arial" w:hAnsi="Arial"/>
          <w:sz w:val="18"/>
          <w:szCs w:val="18"/>
          <w:color w:val="auto"/>
        </w:rPr>
        <w:t>), having an exercise price of $0.73 per Warrant Share. The 3,870,077 shares of common stock sold in the January 2020 Offering (but not the Warrants or the Warrant Shares) were offered and sold pursuant to a prospectus, dated September 30, 2019, and a prospectus supplement dated January 24, 2020, in connection with a takedown from our shelf registration statement on Form S-3 (File No. 333-234025).</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Warrants contain customary provisions allowing for adjustment to the exercise price and number of Warrant Shares issuable only in the event of any stock dividend and split, reverse stock split, recapitalization, reorganization or similar transaction, as described in the Warrants. In addition, subject to limited exceptions, holders of the Warrants will not have the right to exercise any portion of their respective Warrants if the holder, together with any affiliates, would beneficially own in excess of 4.99% of the number of shares of our Common Stock outstanding immediately after giving effect to such exercise. The Warrants are exercisable from any time after the six-month anniversary of issuance (the </w:t>
      </w:r>
      <w:r>
        <w:rPr>
          <w:rFonts w:ascii="Arial" w:cs="Arial" w:eastAsia="Arial" w:hAnsi="Arial"/>
          <w:sz w:val="16"/>
          <w:szCs w:val="16"/>
          <w:i w:val="1"/>
          <w:iCs w:val="1"/>
          <w:color w:val="auto"/>
        </w:rPr>
        <w:t>Initial Exercise Date</w:t>
      </w:r>
      <w:r>
        <w:rPr>
          <w:rFonts w:ascii="Arial" w:cs="Arial" w:eastAsia="Arial" w:hAnsi="Arial"/>
          <w:sz w:val="16"/>
          <w:szCs w:val="16"/>
          <w:color w:val="auto"/>
        </w:rPr>
        <w:t>) and will expire on the fifth year anniversary of the Initial Exercise Date. The Warrants and the Warrants Shares have not been registered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the 2019 Plan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January 2020, we issued options to purchase 75,000 shares of our common stock at an exercise price of $0.7074 per share pursuant to the 2019 Plan to a consultant as partial compensation under a professional services contract. The options were vested 25% upon grant with the remaining shares vested ratably over the next twelve months.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VistaGen Therapeutics. Inc., a Nevada corporation (which may be referred to as </w:t>
      </w:r>
      <w:r>
        <w:rPr>
          <w:rFonts w:ascii="Arial" w:cs="Arial" w:eastAsia="Arial" w:hAnsi="Arial"/>
          <w:sz w:val="18"/>
          <w:szCs w:val="18"/>
          <w:i w:val="1"/>
          <w:iCs w:val="1"/>
          <w:color w:val="auto"/>
        </w:rPr>
        <w:t>VistaGen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our</w:t>
      </w:r>
      <w:r>
        <w:rPr>
          <w:rFonts w:ascii="Arial" w:cs="Arial" w:eastAsia="Arial" w:hAnsi="Arial"/>
          <w:sz w:val="18"/>
          <w:szCs w:val="18"/>
          <w:color w:val="auto"/>
        </w:rPr>
        <w:t xml:space="preserve">, or </w:t>
      </w:r>
      <w:r>
        <w:rPr>
          <w:rFonts w:ascii="Arial" w:cs="Arial" w:eastAsia="Arial" w:hAnsi="Arial"/>
          <w:sz w:val="18"/>
          <w:szCs w:val="18"/>
          <w:i w:val="1"/>
          <w:iCs w:val="1"/>
          <w:color w:val="auto"/>
        </w:rPr>
        <w:t>us</w:t>
      </w:r>
      <w:r>
        <w:rPr>
          <w:rFonts w:ascii="Arial" w:cs="Arial" w:eastAsia="Arial" w:hAnsi="Arial"/>
          <w:sz w:val="18"/>
          <w:szCs w:val="18"/>
          <w:color w:val="auto"/>
        </w:rPr>
        <w:t>), is a a clinical-stage biopharmaceutical company committed to developing differentiated new generation medications for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Neuroactive Nasal Spray for Anxiety-related Disorders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it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them. Some people with SAD do not have anxiety in social situations, but instead have performance anxiety. They feel physical symptoms of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effect (often many weeks to months) and significant side effects that may make them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with the benzodiazepines and beta blockers, which are not approved by the FDA to treat SAD but may be prescribed by psychiatrists and physicians for treatment of SAD on an off-label basis.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10 to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to begin Phase 3 development of PH94B. Our goal is to develop and commercialize PH94B as the first FDA-approved, fast-acting, on-demand, at-home treatment for SAD. Additional potential anxiety-related neuropsychiatric indications for PH94B include general anxiety disorder, peripartum anxiety (pre- and post-partum anxiety), pre/post-operative anxiety, panic disorder, post-traumatic stress disorder and specific social phobias.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PH10 Neuroactive Nasal Spray for Depression and Suicidal Ideation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systemic exposure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 an Oral NMDAR Antagonist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esketamine and ketamine. With its exceptionally few side effects and excellent safety profile, AV-101 has potential to be an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Probenecid otherwise is a safe and well-known organic anion transport inhibitor. When probenecid was administered adjunctively with AV-101 in an animal model, substantially increased brain concentrations of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w:t>
      </w:r>
      <w:r>
        <w:rPr>
          <w:rFonts w:ascii="Arial" w:cs="Arial" w:eastAsia="Arial" w:hAnsi="Arial"/>
          <w:sz w:val="16"/>
          <w:szCs w:val="16"/>
          <w:color w:val="auto"/>
        </w:rPr>
        <w:t xml:space="preserve"> </w:t>
      </w:r>
      <w:r>
        <w:rPr>
          <w:rFonts w:ascii="Arial" w:cs="Arial" w:eastAsia="Arial" w:hAnsi="Arial"/>
          <w:sz w:val="16"/>
          <w:szCs w:val="16"/>
          <w:i w:val="1"/>
          <w:iCs w:val="1"/>
          <w:color w:val="auto"/>
        </w:rPr>
        <w:t>Study</w:t>
      </w:r>
      <w:r>
        <w:rPr>
          <w:rFonts w:ascii="Arial" w:cs="Arial" w:eastAsia="Arial" w:hAnsi="Arial"/>
          <w:sz w:val="16"/>
          <w:szCs w:val="16"/>
          <w:color w:val="auto"/>
        </w:rPr>
        <w:t>). The findings from the Baylor Study suggest that, in healthy Veterans, the higher dose of AV-101 (1440 mg) was associated with dose-related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and other NMDAR-focused CNS indications for which we have existing data with AV-101 as a monotherapy (epilepsy, levodopa-induced dyskinesia, neuropathic pain and suicidal ideation), to determine the most appropriate path forward for potential clinical development and commercialization of AV-101.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VistaStem Therapeutics – Stem Cell Technology for Drug Rescue and Regenerative Medicine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our current CNS drug candidates, we have stem cell technology-based, pipeline-enabling programs through our wholly-owned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VistaStem is focused on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to discover and develop, by utilizing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w:t>
      </w:r>
      <w:r>
        <w:rPr>
          <w:rFonts w:ascii="Arial" w:cs="Arial" w:eastAsia="Arial" w:hAnsi="Arial"/>
          <w:sz w:val="16"/>
          <w:szCs w:val="16"/>
          <w:i w:val="1"/>
          <w:iCs w:val="1"/>
          <w:color w:val="auto"/>
        </w:rPr>
        <w:t>3D</w:t>
      </w:r>
      <w:r>
        <w:rPr>
          <w:rFonts w:ascii="Arial" w:cs="Arial" w:eastAsia="Arial" w:hAnsi="Arial"/>
          <w:sz w:val="16"/>
          <w:szCs w:val="16"/>
          <w:color w:val="auto"/>
        </w:rPr>
        <w:t>, our customized cardiac bioassay system,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our CNS pipeline or for out-licensing. VistaStem’s stem cell</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involving hPSC-derived blood, cartilage, heart and liver cells has multiple potential applications. To advance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applications of VistaStem’s cardiac stem cell technology, we licensed to BlueRock Therapeutics LP, a next generation cell therapy and RM company which was acquired by Bayer AG in 2019, rights to certain proprietary technologies relating to the production of cardiac stem cells for the treatment of heart disease (the </w:t>
      </w:r>
      <w:r>
        <w:rPr>
          <w:rFonts w:ascii="Arial" w:cs="Arial" w:eastAsia="Arial" w:hAnsi="Arial"/>
          <w:sz w:val="16"/>
          <w:szCs w:val="16"/>
          <w:i w:val="1"/>
          <w:iCs w:val="1"/>
          <w:color w:val="auto"/>
        </w:rPr>
        <w:t>BlueRock/Bayer Agreement</w:t>
      </w:r>
      <w:r>
        <w:rPr>
          <w:rFonts w:ascii="Arial" w:cs="Arial" w:eastAsia="Arial" w:hAnsi="Arial"/>
          <w:sz w:val="16"/>
          <w:szCs w:val="16"/>
          <w:color w:val="auto"/>
        </w:rPr>
        <w:t>). In a manner similar to the BlueRock/Bayer Agreement, we may pursue additional collaborations or licensing transactions involving VistaStem’s blood, cartilage, and/or liver cells derived from hPSCs for cell-based therapy, cell repair therapy, RM and/or tissue engineering.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a California corporation, is our wholly-owned subsidiary. Our Condensed Consolidated Financial Statements in this Report also include the accounts of VistaStem and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2019, as filed with the SEC on June 25, 2019, and in Note 3 to the accompanying unaudited Condensed Consolidated Financial Statements included in Part 1, Item 1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 time and effort to developing AV-101 for multiple CNS indications, including manufacturing research, process development and production of AV-101 drug substance and finished drug product, preclinical efficacy and safety studies, and clinical efficacy and safety studies in CNS indications. In addition, beginning during our fiscal year ended March 31, 2019, we have devoted substantial resources to focused on development and commercialization of PH94B and PH10, for which we are actively pursuing initiatives to advance manufacturing research, process development and production programs for drug substance and finished drug product, additional preclinical safety studies, and clinical efficacy and safety studies in multiple neuropsychiatry indications. Also, from-time-to-time, we have devoted resources to VistaStem’s stem cell technology research and development, bioassay development and small molecule drug rescue initiatives,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stem cell technologies, with the corollary initiatives of recruiting and retaining personnel and raising working capital. As of December 31, 2019, we had an accumulated deficit of approximately $198.6 million. Our net loss for the nine months ended December 31, 2019 and 2018 was approximately $17.5 million and $18.9 million, respectively, including $4.25 million in non-cash expense in 2018 for the acquisition of the licenses of PH94B and PH10. We expect losses to continue for the foreseeable future, as we pursue further clinical development of PH94B for SAD and other anxiety-related indications, PH10 for MDD and for additional depression-related indications and suicidal ideation, and preclinical studies and evaluation of the potential future development path for AV-101 for various NMDAR-focused CNS indications, including dyskinesia in Parkinson’s disease patients receiving levodopa therapy, epilepsy, MDD, neuropathic pain and suicidal ideation.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Nine Months Ended December 31, 2019</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December 31, 2019, we continued to advance our manufacturing preclinical and clinical development, and regulatory initiatives necessary to develop and commercialize our CNS product Phase 3 clinical development of PH94B for SAD, PH10 for MDD and AV-101 for MDD and other NMDAR-focused indications. In addition, we continued to expand the regulatory and intellectual property foundation to support broad clinical development and, ultimately, commercialization of our product candidates in the U.S. and foreign markets, and on a limited basis, advance drug rescue applications of our stem cell technology to further expand our CNS pipeline.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particular, during the nine months ended December 31, 2019, we completed the Elevate Study, as discussed previously in </w:t>
      </w:r>
      <w:r>
        <w:rPr>
          <w:rFonts w:ascii="Arial" w:cs="Arial" w:eastAsia="Arial" w:hAnsi="Arial"/>
          <w:sz w:val="16"/>
          <w:szCs w:val="16"/>
          <w:i w:val="1"/>
          <w:iCs w:val="1"/>
          <w:color w:val="auto"/>
        </w:rPr>
        <w:t>Business Overview</w:t>
      </w:r>
      <w:r>
        <w:rPr>
          <w:rFonts w:ascii="Arial" w:cs="Arial" w:eastAsia="Arial" w:hAnsi="Arial"/>
          <w:sz w:val="16"/>
          <w:szCs w:val="16"/>
          <w:color w:val="auto"/>
        </w:rPr>
        <w:t>.</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in December 2019, pursuant to our Material Transfer Cooperative Research and Development Agreement with the VA and our arrangements with Baylor, Baylor completed a successful Phase 1b target engagement study of AV-101 which involved dosing of healthy volunteer U.S. Military Veterans to define a dose-response relationship between AV-101 and relevant biomarkers related to NMDAR function and other biomarkers possibly related to suicidal ideation in U.S. Military Veterans.</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333333"/>
        </w:rPr>
        <w:t xml:space="preserve">We continue to pursue </w:t>
      </w:r>
      <w:r>
        <w:rPr>
          <w:rFonts w:ascii="Arial" w:cs="Arial" w:eastAsia="Arial" w:hAnsi="Arial"/>
          <w:sz w:val="18"/>
          <w:szCs w:val="18"/>
          <w:color w:val="0E0E0E"/>
        </w:rPr>
        <w:t>initiatives to secure a broad portfolio of patent protection for our CNS product candidates that covers the treatment of multiple CNS</w:t>
      </w:r>
      <w:r>
        <w:rPr>
          <w:rFonts w:ascii="Arial" w:cs="Arial" w:eastAsia="Arial" w:hAnsi="Arial"/>
          <w:sz w:val="18"/>
          <w:szCs w:val="18"/>
          <w:color w:val="333333"/>
        </w:rPr>
        <w:t xml:space="preserve"> </w:t>
      </w:r>
      <w:r>
        <w:rPr>
          <w:rFonts w:ascii="Arial" w:cs="Arial" w:eastAsia="Arial" w:hAnsi="Arial"/>
          <w:sz w:val="18"/>
          <w:szCs w:val="18"/>
          <w:color w:val="0E0E0E"/>
        </w:rPr>
        <w:t>indications, chemical synthesis methods, and, for AV-101, unit dose formulations effective to treat depression and other CNS indications. With respect to CNS treatments, we obtained patents in several countries for the treatment of depression and we have recently received a Notice of Allowance from the U.S. Patent and Trademark Office for our patent application related to treatment of dyskinesia in Parkinson’s disease patients receiving levodopa therapy. For AV-101, we are also pursuing additional patent applications related to treatment of, among other NMDAR-focused indications, depression, epilepsy, neuropathic pain, obsessive-compulsive disorder, suicidal ideation and tinnitus. Additional patent applications to other aspects of prognostic testing and treatment using AV-101 are under consideration.</w:t>
      </w:r>
    </w:p>
    <w:p>
      <w:pPr>
        <w:sectPr>
          <w:pgSz w:w="11900" w:h="16838" w:orient="portrait"/>
          <w:cols w:equalWidth="0" w:num="1">
            <w:col w:w="11420"/>
          </w:cols>
          <w:pgMar w:left="240" w:top="131" w:right="239" w:bottom="3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373"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Subsequent to the completion of our underwritten public offering of common stock in February 2019, which generated $11.5 million in gross proceeds to us, during the quarter ended December 31, 2019, we completed a self-directed private placement of units consisting of unregistered shares of our common stock and warrants to purchase unregistered shares of our common stock pursuant to which we received cash proceeds of $650,000 and a self-directed private placement of warrants to purchase unregistered shares of our common stock pursuant to which we received cash proceeds of $300,000. Additionally, we modified certain outstanding warrants previously issued in completed private placement transactions to reduce the exercise price and certain holders exercised their modified warrants pursuant to which we received $410,000 in cash proceeds. In January 2020, we completed a self-placed registered direct public offering under our effective registration statement on Form S-3 and concurrent private placement of warrants to purchase shares of our common stock, pursuant to which we received approximately $2.68 million in cash proceeds (the </w:t>
      </w:r>
      <w:r>
        <w:rPr>
          <w:rFonts w:ascii="Arial" w:cs="Arial" w:eastAsia="Arial" w:hAnsi="Arial"/>
          <w:sz w:val="16"/>
          <w:szCs w:val="16"/>
          <w:i w:val="1"/>
          <w:iCs w:val="1"/>
          <w:color w:val="auto"/>
        </w:rPr>
        <w:t>January 2020 Offering</w:t>
      </w:r>
      <w:r>
        <w:rPr>
          <w:rFonts w:ascii="Arial" w:cs="Arial" w:eastAsia="Arial" w:hAnsi="Arial"/>
          <w:sz w:val="16"/>
          <w:szCs w:val="16"/>
          <w:color w:val="auto"/>
        </w:rPr>
        <w:t>). As a matter of course, we continue to minimize, to the greatest extent possible, cash commitments and expenditures for both internal and external research and development and general and administrative services. To further advance the nonclinical and clinical development of PH94B, PH10,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three months ended December 31, 2019 and 2018 (amounts in thousands).</w:t>
      </w:r>
    </w:p>
    <w:p>
      <w:pPr>
        <w:spacing w:after="0" w:line="269"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color w:val="auto"/>
        </w:rPr>
        <w:t>Three Months Ended December</w:t>
      </w:r>
    </w:p>
    <w:p>
      <w:pPr>
        <w:spacing w:after="0" w:line="44"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(5,961)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reported no revenue for either the quarter ended December 31, 2019 or December 31, 2018 and we presently have no recurring revenue generating arrangements with respect to PH94B, PH10, AV-101 or other potential product candidates. While we may potentially receive payments or royalties in the future under our December 2016 BlueRock/Bayer Agreement, in the event certain performance-based milestones and commercial sales are achieved, there can be no assurance that the BlueRock/Bayer Agreement will provide revenue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expense decreased from $5.3 million to $3.0 million for the quarters ended December 31, 2019 and 2018, respectively. Expense for the quarter ended December 31, 2018 included $2.0 million noncash expense associated with the stock-based acquisition of our license to develop and commercialize PH10. Expenses related to the Elevate Study and other AV-101 related nonclinical activities decreased in the quarter ended December 31, 2019 compared to 2018, as the Elevate study reached its conclusion following the final patient dosing in September 2019. Increased expense for nonclinical activities, including manufacturing, and regulatory activities for PH94B and PH10 generally offset the reduction in AV-101 expenses. In addition to the noncash PH10 license acquisition in the quarter ended December 31, 2018, other noncash expenses, primarily stock-based compensation and depreciation, accounted for approximately $526,000 and $297,000 in the quarters ended December 31, 2019 and 2018,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PH94B and PH10 license (2018) and 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salaries and benefits expense reflects the impact of modest salary increases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members of our scientific staff effective in April 2019.</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Stock-based compensation expense reflects the amortization of option grants made to our CSO, CMO, scientific staff and certain clinical and scientific consultants since June 2016, all earlier outstanding grants having become fully vested and amortized. Grants awarded after December 31, 2018, including those granted during the quarter ended December 31, 2019, account for approximately $174,000 of expense in the quarter ended December 31, 2019, partially offset by the impact of certain November 2016 and September 2017 grants that became fully vested and amortized during the quarter ended December 31, 2019. Expense attributable to recent option grants is generally being amortized over two-year to three-year vesting periods, with one-quarter of the grants made in August 2018, May 2019, and during the quarter ended December 31, 2019 being immediately vested and expensed upon grant, in accordance with the terms of the respective grants.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services reflects fees incurred for project-based scientific, nonclinical and clinical development and regulatory advisory services rendered to us by third parties, in 2018, primarily by members of our Scientific Advisory Board and CNS Clinical and Regulatory Advisory Board. Expense for 2019 also reflects consulting and analytical services in support of our PH94B and PH10 initiatives.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license expense reflects both recurring annual license fees, as well as legal counsel and other costs related to patent prosecution and protection pursuant to our stem cell technology license agreements, our AV-101 patents, or that we have elected to pursue for commercial purposes.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intellectual property portfolios of PH94B and PH10.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 project expense for each of the quarters presented primarily reflects the costs of conducting the Elevate Study, including various CRO, investigator and clinical site costs, as well as expense incurred to manufacture additional quantities of AV-101 for use in potential future clinical development of AV-101 in a number of potential CNS indications.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Project expenses for the quarter ended December 31, 2019 related to PH94B and PH10 primarily reflect manufacturing and regulatory initiatives necessary to facilitate Phase 3 clinical development of PH94B for SAD and Phase 2b development of PH10 for MDD. As disclosed earlier, noncash expense of $2.0 million in 2018 related to the acquisition of the PH10 license reflects the fair value of an aggregate of 925,926 unregistered shares of our common stock issued to Pherin in October 2018 under the terms of the PH10 license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General and administrative expense increased to approximately $2.9 million, from approximately $1.9 million for the quarters ended December 31, 2019 and 2018, respectively. Noncash expense, $1,975,000 in the quarter ended December 31, 2019, increased from $597,000 in the quarter ended December 31, 2018 primarily due to increases in stock-based compensation and warrant modification expenses offset by noncash components of investor and public relations expenses. The following table indicates the primary components of general and administrative expense for each of the periods (amounts in thousands):</w:t>
      </w:r>
    </w:p>
    <w:p>
      <w:pPr>
        <w:spacing w:after="0" w:line="16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increase in salaries and benefits primarily reflects the impact of modest salary increases granted effective April 2019 to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Vice President-Corporate Development (</w:t>
      </w:r>
      <w:r>
        <w:rPr>
          <w:rFonts w:ascii="Arial" w:cs="Arial" w:eastAsia="Arial" w:hAnsi="Arial"/>
          <w:sz w:val="16"/>
          <w:szCs w:val="16"/>
          <w:i w:val="1"/>
          <w:iCs w:val="1"/>
          <w:color w:val="auto"/>
        </w:rPr>
        <w:t>VP Corporate Development</w:t>
      </w:r>
      <w:r>
        <w:rPr>
          <w:rFonts w:ascii="Arial" w:cs="Arial" w:eastAsia="Arial" w:hAnsi="Arial"/>
          <w:sz w:val="16"/>
          <w:szCs w:val="16"/>
          <w:color w:val="auto"/>
        </w:rPr>
        <w:t>) and a non-officer member of our administrative staff.</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Stock-based compensation expense reflects the amortization of option grants made to our CEO, CFO, VP Corporate Development, administrative staff, independent members of our Board and certain consultants since June 2016, all earlier grants having become fully vested and amortized. Grants awarded after December 31, 2018, including those granted during the quarter ended December 31, 2019, account for approximately $514,000 of expense in the quarter ended December 31, 2019, partially offset by the impact of certain November 2016 and September 2017 grants that became fully vested and amortized during the quarter ended December 31, 2019. Expense attributable to recent option grants is generally being amortized over two-year to three-year vesting periods, with one-quarter of the grants made in August 2018, May 2019, and during the quarter ended December 31, 2019 being immediately vested and expensed upon grant, in accordance with the terms of the respective grants.</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Board fees represents fees paid as consideration for the Board and Board Committee services to the independent members of our Board. The 2019 increase reflects the addition of a new independent member to our Board in January 2019.</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Legal, accounting and other professional fees for the quarters ended December 31, 2019 and 2018 includes expense related to routine legal fees as well as the accounting expense related to the quarterly review of our financial statements. In 2019 and 2018, we also incurred $39,000 and $68,000, respectively, attributable to services provided by international business development consultants.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and foreign markets and other communication activities focused on expanding global market awareness of the Company, its CNS product candidate pipeline and technologies and its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In the quarter ended December 31, 2018, in addition to cash fees and expenses we incurred for such activities, we recognized $102,000 of noncash expense attributable to the amortization of the fair value of stock and warrants granted in previous periods to various corporate development, investor relations, and market awareness service providers. The fair value of such securities had been fully amortized prior to the quarter ended December 31, 2019.</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both periods, travel expense reflects costs associated with management presentations and meetings held in multiple U.S. and international markets, in 2019, with existing and potential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During the quarter ended December 31, 2019, we modified outstanding warrants previously issued as a part of completed private placements, including warrants issued in the Fall 2019 Private Placement, to purchase an aggregate of approximately 6.6 million unregistered shares of our common stock to temporarily reduce, for a period of two years or until the expiration of the warrant, if sooner, the exercise price of such warrants to $0.50 per share, in order to more closely align the exercise price of the warrants with the trading price of our common stock at such time (the </w:t>
      </w:r>
      <w:r>
        <w:rPr>
          <w:rFonts w:ascii="Arial" w:cs="Arial" w:eastAsia="Arial" w:hAnsi="Arial"/>
          <w:sz w:val="16"/>
          <w:szCs w:val="16"/>
          <w:i w:val="1"/>
          <w:iCs w:val="1"/>
          <w:color w:val="auto"/>
        </w:rPr>
        <w:t>Winter 2019 Warrant Modification</w:t>
      </w:r>
      <w:r>
        <w:rPr>
          <w:rFonts w:ascii="Arial" w:cs="Arial" w:eastAsia="Arial" w:hAnsi="Arial"/>
          <w:sz w:val="16"/>
          <w:szCs w:val="16"/>
          <w:color w:val="auto"/>
        </w:rPr>
        <w:t>). Following the two-year period during which the exercise price is reduced, the exercise price will revert to its pre-modification price. We determined that the Winter 2019 Warrant Modification increased the fair value of the warrants by $702,500, which we recognized as noncash warrant modification expense.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Additionally, during the quarter ended December 31, 2019, we issued warrants to purchase an aggregate of 325,000 additional shares of our common stock to the participants in the Fall 2019 Private Placement (the </w:t>
      </w:r>
      <w:r>
        <w:rPr>
          <w:rFonts w:ascii="Arial" w:cs="Arial" w:eastAsia="Arial" w:hAnsi="Arial"/>
          <w:sz w:val="16"/>
          <w:szCs w:val="16"/>
          <w:i w:val="1"/>
          <w:iCs w:val="1"/>
          <w:color w:val="auto"/>
        </w:rPr>
        <w:t>Additional Warrants</w:t>
      </w:r>
      <w:r>
        <w:rPr>
          <w:rFonts w:ascii="Arial" w:cs="Arial" w:eastAsia="Arial" w:hAnsi="Arial"/>
          <w:sz w:val="16"/>
          <w:szCs w:val="16"/>
          <w:color w:val="auto"/>
        </w:rPr>
        <w:t>) to increase the number of unregistered shares of common stock issuable upon exercise of the warrants from 50% to 100%. The Additional Warrants are immediately exercisable through March 31, 2024 at an exercise price of $0.50 per share. We determined that the fair value of the Additional Warrants was $88,800, which we also recognized as noncash warrant modification expense</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Further, on December 19, 2019, we modified outstanding warrants previously issued as a part of a completed private placement to purchase a total of 80,431 shares of our unregistered common stock to permanently reduce the exercise price of such warrants to $0.805 per share and to extend the term of such warrants through December 31, 2022, in order to more closely align the exercise price of the warrants with the current trading price of our common stock and to provide additional time for the holders to exercise the warrants (the </w:t>
      </w:r>
      <w:r>
        <w:rPr>
          <w:rFonts w:ascii="Arial" w:cs="Arial" w:eastAsia="Arial" w:hAnsi="Arial"/>
          <w:sz w:val="16"/>
          <w:szCs w:val="16"/>
          <w:i w:val="1"/>
          <w:iCs w:val="1"/>
          <w:color w:val="auto"/>
        </w:rPr>
        <w:t>December 19, 2019 Warrant Modification</w:t>
      </w:r>
      <w:r>
        <w:rPr>
          <w:rFonts w:ascii="Arial" w:cs="Arial" w:eastAsia="Arial" w:hAnsi="Arial"/>
          <w:sz w:val="16"/>
          <w:szCs w:val="16"/>
          <w:color w:val="auto"/>
        </w:rPr>
        <w:t xml:space="preserve">). We determined that the December 19, 2019 Warrant Modification increased the fair value of the warrants by $35,600, which we recognized as noncash warrant modification expense. Total noncash warrant modification expense for the quarter ended December 31, 2019 was $826,900. Refer to Note 8, </w:t>
      </w:r>
      <w:r>
        <w:rPr>
          <w:rFonts w:ascii="Arial" w:cs="Arial" w:eastAsia="Arial" w:hAnsi="Arial"/>
          <w:sz w:val="16"/>
          <w:szCs w:val="16"/>
          <w:i w:val="1"/>
          <w:iCs w:val="1"/>
          <w:color w:val="auto"/>
        </w:rPr>
        <w:t>Capital Stock</w:t>
      </w:r>
      <w:r>
        <w:rPr>
          <w:rFonts w:ascii="Arial" w:cs="Arial" w:eastAsia="Arial" w:hAnsi="Arial"/>
          <w:sz w:val="16"/>
          <w:szCs w:val="16"/>
          <w:color w:val="auto"/>
        </w:rPr>
        <w:t>, in the accompanying Condensed Consolidated Financial Statements in Part I of this Report for additional information.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quarter ended December 31, 2018, we modified certain warrants issued in the Summer 2018 Private Placement to comply with certain provisions of The Nasdaq Stock Market Rules applicable to the private placement by increasing the exercise price of such warrants to purchase an aggregate of 304,000 shares of our common stock from $1.50 per share to $1.59 per share or $1.69 per share, depending on the effective date of the related subscription agreement. As additional consideration for the modification, we granted the investors additional warrants to purchase an aggregate of 23,800 unregistered shares of our common stock at an exercise price of $1.75 per share through February 28, 2022. We determined that the modification decreased the fair value of the modified warrants, which decrease is not recognized; however, the fair value of the new warrants was determined to be $25,800, which we recognized as noncash warrant modification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of interest expense, totaled $1,400 for the quarter ended December 31, 2019 compared to interest expense of $1,800 for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 following table indicates the primary components of interest income and expense for each of the periods (amounts in thousands):</w:t>
      </w:r>
    </w:p>
    <w:p>
      <w:pPr>
        <w:spacing w:after="0" w:line="23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on premium financing and capital lease (2018)</w:t>
            </w:r>
          </w:p>
        </w:tc>
        <w:tc>
          <w:tcPr>
            <w:tcW w:w="8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completion of our underwritten public offering in February 2019, which generated $11.5 million in gross proceeds to us, during the current fiscal year, we deposited a portion of the proceeds in interest-bearing cash equivalent accounts and earned interest income. Interest expense in both periods relates to interest paid on insurance premium financing notes and on a lease of office equipment treated as a capitalized lease in 2018 and as a financing lease subject to ASC 842 in 2019.</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a private placement in fall of 2018, we settled an outstanding professional service payable by accepting a subscription agreement in the amount of $40,000 and issuing the corresponding number of shares of Common Stock and warrants. The fair value of the common stock and warrant issued in settlement of the payable was determined to be $62,700 on the effective date of the agreement. Accordingly, we recognized a loss on extinguishment of accounts payable in the amount of $22,700 in the quarter ended December 31, 2018.</w:t>
      </w:r>
    </w:p>
    <w:p>
      <w:pPr>
        <w:spacing w:after="0" w:line="13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$321,800 and $290,900 for the quarters ended December 31, 2019 and 2018, respectively, representing the 10% cumulative dividend payable on outstanding shares of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December 31,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December 31, 2019 and 2018 (amounts in thousands).</w:t>
      </w:r>
    </w:p>
    <w:p>
      <w:pPr>
        <w:spacing w:after="0" w:line="246" w:lineRule="exact"/>
        <w:rPr>
          <w:sz w:val="20"/>
          <w:szCs w:val="20"/>
          <w:color w:val="auto"/>
        </w:rPr>
      </w:pPr>
    </w:p>
    <w:p>
      <w:pPr>
        <w:jc w:val="center"/>
        <w:ind w:left="874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accounts payable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(17,505)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reported no revenue for either the nine months ended December 31, 2019 or 2018 and we presently have no recurring revenue generating arrangements with respect to PH94B, PH10, AV-101 or other potential product candidates. While we may potentially receive payments or royalties in the future under our December 2016 BlueRock/Bayer Agreement in the event certain performance-based milestones and commercial sales are achieved, there can be no assurance that the BlueRock/Bayer Agreement will provide revenue to us in the near term or at all.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expense decreased to $11.5 million compared to $13.3 million for the nine months ended December 31, 2019 and 2018, respectively. The 2018 acquisition of the PH94B license and the PH10 option and license through the issuance of our common stock, which resulted in an aggregate of $4.25 million of noncash expense, is the primary driver of the decrease, offset by cash expenses attributable to the Elevate Study and various AV-101 nonclinical activities, including manufacturing additional quantities of AV-101 and other developmental studies, and cash expenses for nonclinical activities, including manufacturing, and regulatory activities supporting the continuing development of PH94B for SAD and PH10 for MDD. Other noncash expenses included in research and development expense (excluding the noncash PH94B license and PH10 option and license acquisition in 2018), primarily stock compensation and depreciation, accounted for approximately $1,133,000 and $1,026,000 in the nine months ended December 31, 2019 and 2018,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PH94B and PH10 licenses (2018) and 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Salaries and benefits expense reported for the nine months ended December 31, 2018 includes a total of approximately $319,000 for bonus payments made to our CMO, CSO and members of our scientific staff during the second quarter based on achievement of goals and objectives for the fiscal year ended March 31, 2018. Partially offsetting the absence of a comparable bonus expense in the nine months ended December 31, 2019 is the impact of modest salary increases granted to our CMO, CSO and members of our scientific staff effective in April 2019. Bonuses based on the achievement of goals and objectives for the fiscal year ended March 31, 2019 were accrued during that fiscal year and had no expense impact during the nine months ended December 31, 2019.</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Stock-based compensation expense reflects the amortization of option grants made to our CSO, CMO, scientific staff and certain consultants since June 2016, all earlier outstanding grants having become fully vested and amortized. Grants awarded after December 31, 2018 account for approximately $269,000 of expense in the nine months ended December 31, 2019, partially offset by the impact of certain November 2016 and September 2017 grants that became fully vested and amortized during the quarter ended December 31, 2019 and grants made during the nine months ended December 31, 2018 for which less than nine months of amortization was recorded. Stock-based compensation expense for the nine months ended December 31, 2018 included the modification in late August 2018 of outstanding options held by our CMO, CSO and members of our scientific staff having exercise prices over $1.56 per share to reduce the exercise price to $1.50 per share, resulting in the immediate recognition of $104,000 attributable to the modification. Expense attributable to recent option grants is generally being amortized over two-year to three-year vesting periods, with one-quarter of the grants made in August 2018, May 2019, and during the quarter ended December 31, 2019 being immediately vested and expensed upon grant, in accordance with the terms of the respective grants.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services reflects fees incurred for project-based scientific, nonclinical and clinical development and regulatory advisory services rendered to us by third parties, in 2018, primarily by members of our Scientific Advisory Board and CNS Clinical and Regulatory Advisory Board. The increase in 2019 expense primarily reflects consulting and analytical services in support of our PH94B and PH10 initiatives.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license expense reflects both recurring annual license fees, as well as legal counsel and other costs related to patent prosecution and protection pursuant to our stem cell technology license agreements, our AV-101 patents, or that we have elected to pursue for commercial purposes.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AV-101 project expense for each of the periods presented primarily reflects the costs of conducting the Elevate Study, including various CRO, investigator and clinical site costs, as well as expense incurred to manufacture additional quantities of AV-101 for potential future clinical development of AV-101 in a number of potential CNS indications.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Expenses for the nine months ended December 31, 2019 related to PH94B and PH10 primarily reflect manufacturing and regulatory initiatives necessary to facilitate pivotal Phase 3 clinical development of PH94B for SAD and to facilitate Phase 2 development of PH10 for MDD. As disclosed earlier, noncash expense of $4.25 million in 2018 related to the acquisition of the PH94B license and the PH10 option and license and represents the fair value of an aggregate of 2,556,361 unregistered shares of our common stock issued to Pherin in September and October 2018 under the terms of the license and option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Stem cell and other project related expenses reflects costs associated with drug rescue applications of our stem cell technology in both years.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 increased to approximately $6.0 million, from approximately $5.5 million for the nine months ended December 31, 2019 and 2018, respectively, primarily due to increased noncash stock compensation and warrant modification expenses, offset by decreases in cash based salaries and benefits and investor and public relations expenses. Noncash expense, $3,020,000 for the nine months ended December 31, 2019, increased from $1,892,000 for the nine months ended December 31, 2018. The following table indicates the primary components of general and administrative expense for each of the periods (amounts in thousands):</w:t>
      </w:r>
    </w:p>
    <w:p>
      <w:pPr>
        <w:spacing w:after="0" w:line="19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Salaries and benefits expense reported for the nine months ended December 31, 2018 includes a total of approximately $435,000 for bonus payments made to our CEO, CFO, VP-Corporate Development and a non-officer member of our administrative staff during the quarter ended September 30, 2018 based on achievement of goals and objectives for the fiscal year ended March 31, 2018. Partially offsetting the absence of a comparable bonus expense in the nine months ended December 31, 2019 is the impact of modest salary increases granted to our CEO, CFO, VP-Corporate Development and a member of our administrative staff effective in April 2019. Bonuses based on the achievement of goals and objectives for the fiscal year ended March 31, 2019 were accrued during that fiscal year and had no expense impact during the nine months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Stock-based compensation expense reflects the amortization of option grants made to our CEO, CFO, VP Corporate Development, administrative staff, independent members of our Board and certain consultants since June 2016, all earlier grants having become fully vested and amortized. Grants awarded after December 31, 2018 account for approximately $737,000 of the expense in the nine months ended December 31, 2019, partially offset by the impact of certain November 2016 and September 2017 grants that became fully vested and amortized during the quarter ended December 31, 2019 and grants made during the nine months ended December 31, 2018 for which less than nine months of amortization was recorded. Stock-based compensation expense for the nine months ended December 31, 2018 included the impact of the modification in late August 2018 of outstanding options held by our CEO, CFO, VP-Corporate Development and a member of our administrative staff having exercise prices over $1.56 per share to reduce the exercise price to $1.50 per share, resulting in the immediate recognition of $154,000 attributable to the modification. Expense attributable to recent option grants is generally being amortized over two-year to three-year vesting periods, with one-quarter of the grants made in August 2018, January 2019, May 2019, September 2019 and during the quarter ended December 31, 2019 being immediately vested and expensed upon grant, in accordance with the terms of the respective grants.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represents fees paid as consideration for the Board and Board Committee services of the independent members of our Board. The 2019 increase reflects the addition of a new independent member to our Board in January 2019.</w:t>
      </w:r>
    </w:p>
    <w:p>
      <w:pPr>
        <w:spacing w:after="0" w:line="18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Legal, accounting and other professional fees for the nine months ended December 31, 2019 and 2018 includes expense related to routine legal fees as well as the accounting expense related to the annual audit of the prior year’s financial statements and the review of the quarterly financial statements for the current fiscal year. In 2019 and 2018, we also incurred $99,000 and $81,000, respectively, attributable to services provided by international business development consultants.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and public relations services, and well as market awareness and strategic advisory and support functions and initiatives that included numerous meetings in multiple U.S. and foreign markets and other communication activities focused on expanding global market awareness of the Company, its CNS product candidate pipeline and technologies and its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In the nine months ended December 31, 2019, in addition to cash fees and expenses we incurred for such activities, we recognized $105,900 of noncash expense attributable to the amortization of the fair value of stock and warrants granted in the prior fiscal year to various corporate development, investor relations, and market awareness service providers. During the nine months ended December 31, 2018, in addition to cash fees and expenses, we granted: (i) an aggregate of 100,000 unregistered shares of our common stock to certain financial advisory service providers in the quarter ended June 30, 2018 as full or partial compensation for their services and recognized noncash expense of approximately $123,000 representing the fair value of the stock at the time of issuance; and (ii) an aggregate of 50,000 unregistered shares of our common stock and four-year warrants to purchase an aggregate of 288,000 unregistered shares of our common stock having an aggregate fair value of approximately $336,000 to various corporate development, investor relations, and market awareness service providers and recognized aggregate non-cash expense of approximately $169,000 in the three quarters ended December 31, 2018. The balance of the fair value of the securities granted in 2018 was fully amortized by September 30, 2019.</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both periods, travel expense reflects costs associated with management presentations and meetings held in multiple U.S. and international markets, in 2019, with existing and potential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increase in rent expense reflects our implementation of ASC 842 effective April 1, 2019 and the requirement to recognize, as an operating lease, a right-of-use asset and a lease liability, both of which must be amortized over the expected lease term, for our South San Francisco office and laboratory facility lease.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the accompanying Condensed Consolidated Financial Statements in Part I of this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quarter ended December 31, 2019, we completed the Winter 2019 Warrant Modification during which we modified outstanding warrants previously issued as a part of completed private placements, including warrants issued in the Fall 2019 Private Placement, to purchase an aggregate of approximately 6.6 million unregistered shares of our common stock to temporarily reduce, for a period of two years or until the expiration of the warrant, if sooner, the exercise price of such warrants to $0.50 per share, in order to more closely align the exercise price of the warrants with the trading price of our common stock at such time. Following the two-year period during which the exercise price is reduced, the exercise price will revert to its pre-modification price. We determined that the Winter 2019 Warrant Modification increased the fair value of the warrants by $702,500, which we recognized as noncash warrant modification expense.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Additionally, during the quarter ended December 31, 2019, we issued the Additional Warrants to purchase an aggregate of 325,000 additional shares of our common stock to the participants in the Fall 2019 Private Placement to increase the number of unregistered shares of common stock issuable upon exercise of the warrants from 50% to 100%. The Additional Warrants are immediately exercisable through March 31, 2024 at an exercise price of $0.50 per share. We determined that the fair value of the Additional Warrants was $88,800, which we also recognized as noncash warrant modification expense</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Further, on December 19, 2019, we completed the December 19, 2019 Warrant Modification, during which we modified outstanding warrants previously issued as a part of a completed private placement to purchase a total of 80,431 shares of our unregistered common stock to permanently reduce the exercise price of such warrants to $0.805 per share and to extend the term of such warrants through December 31, 2022, in order to more closely align the exercise price of the warrants with the current trading price of our common stock and to provide additional time for the holders to exercise the warrants. We determined that the December 19, 2019 Warrant Modification increased the fair value of the warrants by $35,600, which we recognized as noncash warrant modification expense. Total noncash warrant modification expense for the quarter ended December 31, 2019 was $826,900. Refer to Note 8, </w:t>
      </w:r>
      <w:r>
        <w:rPr>
          <w:rFonts w:ascii="Arial" w:cs="Arial" w:eastAsia="Arial" w:hAnsi="Arial"/>
          <w:sz w:val="16"/>
          <w:szCs w:val="16"/>
          <w:i w:val="1"/>
          <w:iCs w:val="1"/>
          <w:color w:val="auto"/>
        </w:rPr>
        <w:t>Capital Stock</w:t>
      </w:r>
      <w:r>
        <w:rPr>
          <w:rFonts w:ascii="Arial" w:cs="Arial" w:eastAsia="Arial" w:hAnsi="Arial"/>
          <w:sz w:val="16"/>
          <w:szCs w:val="16"/>
          <w:color w:val="auto"/>
        </w:rPr>
        <w:t>, in the accompanying Condensed Consolidated Financial Statements in Part I of this Report for additional information.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 months ended December 31, 2018, we modified certain warrants issued in the Summer 2018 Private Placement to comply with certain provisions of The Nasdaq Stock Market Rules applicable to the private placement by increasing the exercise price of such warrants to purchase an aggregate of 304,000 shares of our common stock from $1.50 per share to $1.59 per share or $1.69 per share, depending on the effective date of the related subscription agreement. As additional consideration for the modification, we granted the investors additional warrants to purchase an aggregate of 23,800 unregistered shares of our common stock at an exercise price of $1.75 per share through February 28, 2022. We determined that the modification decreased the fair value of the modified warrants, which decrease is not recognized; however, the fair value of the new warrants was determined to be $25,800, which we recognized as noncash warrant modification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net of interest expense, totaled $33,3000 for the nine months ended December 31, 2019 compared to interest expense of $6,800 for the nine months ended December 31, 2018. The following table indicates the primary components of interest income and expense for each of the periods (amounts in thousands):</w:t>
      </w:r>
    </w:p>
    <w:p>
      <w:pPr>
        <w:spacing w:after="0" w:line="188"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on premium financing and capital lease (2018)</w:t>
            </w:r>
          </w:p>
        </w:tc>
        <w:tc>
          <w:tcPr>
            <w:tcW w:w="8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Following the completion of our underwritten public offering in February 2019, which generated $11.5 million in gross proceeds to us, during the quarter ended June 30, 2019, we deposited a portion of the proceeds in interest-bearing cash equivalent accounts and earned interest income. Interest expense in both periods relates to interest paid on insurance premium financing notes and on a lease of office equipment treated as a capitalized lease in 2018 and as a financing lease subject to ASC 842 in 2019.</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a private placement in fall of 2018, we settled an outstanding professional service payable by accepting a subscription agreement in the amount of $40,000 and issuing the corresponding number of shares of Common Stock and warrants. The fair value of the common stock and warrant issued in settlement of the payable was determined to be $62,700 on the effective date of the agreement. Accordingly, we recognized a loss on extinguishment of accounts payable in the amount of $22,700 in the quarter ended December 31, 2018.</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$938,100 and $848,000 for the nine months ended December 31, 2019 and 2018, respectively, representing the 10% cumulative dividend payable on outstanding shares of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December 31, 2019, we have financed our operations and technology acquisitions primarily through the issuance and sale of our equity and debt securities for cash proceeds of approximately $80.4 million, as well as from an aggregate of approximately $17.7 million of government research grant awards (excluding the fair market value of government sponsored and funded clinical trials such as the Baylor Study), strategic collaboration payments, intellectual property sublicensing and other revenues. Additionally, we have issued equity securities with an approximate value at issuance of $38.1 million in non-cash acquisitions of product licenses and in settlements of certain liabilities, including liabilities for professional services rendered to us or as compensation for such services.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At December 31, 2019, we had cash and cash equivalents of approximately $1.1 million. As disclosed in Note 11, </w:t>
      </w:r>
      <w:r>
        <w:rPr>
          <w:rFonts w:ascii="Arial" w:cs="Arial" w:eastAsia="Arial" w:hAnsi="Arial"/>
          <w:sz w:val="16"/>
          <w:szCs w:val="16"/>
          <w:i w:val="1"/>
          <w:iCs w:val="1"/>
          <w:color w:val="auto"/>
        </w:rPr>
        <w:t>Subsequent Events</w:t>
      </w:r>
      <w:r>
        <w:rPr>
          <w:rFonts w:ascii="Arial" w:cs="Arial" w:eastAsia="Arial" w:hAnsi="Arial"/>
          <w:sz w:val="16"/>
          <w:szCs w:val="16"/>
          <w:color w:val="auto"/>
        </w:rPr>
        <w:t>, in the accompanying Condensed Consolidated Financial Statements included in Part I of this Report, since December 31, 2019, we have received cash proceeds of approximately $2.68 million from the January 2020 Offering. Nevertheless, in the absence of additional financing from the sale of our securities, government research grant awards, strategic collaboration payments, intellectual property licensing or other sources, we believe that our cash position at December 31, 2019, together with the proceeds from the January 2020 Offering, will not be sufficient to fund our planned operations for the twelve months following the issuance of these financial statements and raises substantial doubt that we can continue as a going concern. During the next twelve months, subject to securing appropriate and adequate financing, we plan to prepare for and launch a Phase 3 clinical trial of PH94B for SAD, prepare for a Phase 2b clinical study and certain nonclinical studies involving PH10, PH94B and AV-101 and prepare for and potentially launch a Phase 2b clinical trial of PH10 for MDD. When necessary and advantageous, we plan to raise additional capital, through the sale of our equity securities in one or more (i) private placements to accredited investors, (i) public offerings and/or</w:t>
      </w:r>
    </w:p>
    <w:p>
      <w:pPr>
        <w:spacing w:after="0" w:line="5" w:lineRule="exact"/>
        <w:rPr>
          <w:sz w:val="20"/>
          <w:szCs w:val="20"/>
          <w:color w:val="auto"/>
        </w:rPr>
      </w:pPr>
    </w:p>
    <w:p>
      <w:pPr>
        <w:jc w:val="both"/>
        <w:ind w:firstLine="8"/>
        <w:spacing w:after="0" w:line="254" w:lineRule="auto"/>
        <w:tabs>
          <w:tab w:leader="none" w:pos="27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strategic licensing and development collaborations involving one or more of our drug candidates in markets outside the United States. Subject to certain restrictions, our Registration Statement on Form S-3 (Registration No. 333-234025) (the </w:t>
      </w:r>
      <w:r>
        <w:rPr>
          <w:rFonts w:ascii="Arial" w:cs="Arial" w:eastAsia="Arial" w:hAnsi="Arial"/>
          <w:sz w:val="18"/>
          <w:szCs w:val="18"/>
          <w:i w:val="1"/>
          <w:iCs w:val="1"/>
          <w:color w:val="auto"/>
        </w:rPr>
        <w:t>S-3 Registration Statement</w:t>
      </w:r>
      <w:r>
        <w:rPr>
          <w:rFonts w:ascii="Arial" w:cs="Arial" w:eastAsia="Arial" w:hAnsi="Arial"/>
          <w:sz w:val="18"/>
          <w:szCs w:val="18"/>
          <w:color w:val="auto"/>
        </w:rPr>
        <w:t>), which became effective on October 7, 2019, is available for future sales of our equity securities in one or more public offerings from time to time. While we may make additional sales of our equity securities under the S-3 Registration Statement, we do not have an obligation to do so.</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that could generate revenue or provide funding, including non-dilutive funding, for development of one or more of our CNS product candidates. We may also seek additional government grant awards or agreements similar to our relationships with Baylor and the VA in connection with the Baylor Study. Such strategic collaborations may provide non-dilutive resources to advance our strategic initiatives while reducing a portion of our future cash outlays and working capital requirements. We may also pursue intellectual property arrangements similar to the BlueRock/Bayer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financings or government or other strategic collaborations will be available to us in sufficient amounts, in a timely manner, or on terms acceptable to us, if at all. If we are unable to obtain substantial additional financing on a timely basis when needed in 2020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Nine Months Ended December</w:t>
      </w:r>
    </w:p>
    <w:p>
      <w:pPr>
        <w:spacing w:after="0" w:line="21"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6985</wp:posOffset>
            </wp:positionV>
            <wp:extent cx="15608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increase in cash used in operations results primarily from the conduct of our Elevate Study, which commenced at the end of the fourth quarter of our fiscal year ended March 31, 2018, and the nonclinical manufacturing advancements related to PH94B and PH10 during our current fiscal year. Cash used in investing activities in 2018 reflects the cost of tenant improvements at our office and laboratory facilities in South San Francisco, California, substantially all of which were reimbursed by our landlord under the terms of our November 2016 lease extension, which reimbursement is reflected in operating activities. Cash provided by financing activities in 2019 reflects the cash proceeds from our Fall 2019 Private Placement, our Fall 2019 Warrant Offering and the exercise of certain warrants following the modification of their exercise prices, net of routine insurance premium financing note and lease payments. Cash provided by financing activities in 2018 primarily reflects the cash proceeds from our Summer 2018 Private Placement, Fall 2018 Private Placement and warrant exercises, net of routine insurance premium financing note and lease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elsewhere in this Report.</w:t>
      </w:r>
    </w:p>
    <w:p>
      <w:pPr>
        <w:spacing w:after="0" w:line="1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our Annual Report on Form 10-K for our fiscal year ended March 31, 2019 filed with the Securities and Exchange Commission on June 25, 2019, we identified two material weaknesses in our internal control over financial reporting relating to (i) segregation of duties and (ii) the functionality of our accounting software. Management does not believe that these weaknesses have resulted in any deficient financial reporting and believes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2019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drug candidates, as well as, but to a more limited extent, our ability to acquire, license or produce, develop and commercialize additional product candidates. Each of our current drug candidates will require substantial additional nonclinical and clinical development, manufacturing and regulatory approval before any of them may be commercialized, and there can be no assurance that any of them will ever achieve regulatory approval. Any new chemical entity (</w:t>
      </w:r>
      <w:r>
        <w:rPr>
          <w:rFonts w:ascii="Arial" w:cs="Arial" w:eastAsia="Arial" w:hAnsi="Arial"/>
          <w:sz w:val="16"/>
          <w:szCs w:val="16"/>
          <w:i w:val="1"/>
          <w:iCs w:val="1"/>
          <w:color w:val="auto"/>
        </w:rPr>
        <w:t>NCE</w:t>
      </w:r>
      <w:r>
        <w:rPr>
          <w:rFonts w:ascii="Arial" w:cs="Arial" w:eastAsia="Arial" w:hAnsi="Arial"/>
          <w:sz w:val="16"/>
          <w:szCs w:val="16"/>
          <w:color w:val="auto"/>
        </w:rPr>
        <w:t>)we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U.S. until we receive approval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61" w:lineRule="exact"/>
        <w:rPr>
          <w:sz w:val="20"/>
          <w:szCs w:val="20"/>
          <w:color w:val="auto"/>
        </w:rPr>
      </w:pPr>
    </w:p>
    <w:p>
      <w:pPr>
        <w:jc w:val="both"/>
        <w:ind w:left="240" w:hanging="232"/>
        <w:spacing w:after="0" w:line="306"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85" w:lineRule="exact"/>
        <w:rPr>
          <w:rFonts w:ascii="Arial" w:cs="Arial" w:eastAsia="Arial" w:hAnsi="Arial"/>
          <w:sz w:val="18"/>
          <w:szCs w:val="18"/>
          <w:color w:val="auto"/>
        </w:rPr>
      </w:pPr>
    </w:p>
    <w:p>
      <w:pPr>
        <w:ind w:left="240" w:hanging="232"/>
        <w:spacing w:after="0" w:line="332"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w:t>
      </w:r>
      <w:r>
        <w:rPr>
          <w:rFonts w:ascii="Arial" w:cs="Arial" w:eastAsia="Arial" w:hAnsi="Arial"/>
          <w:sz w:val="16"/>
          <w:szCs w:val="16"/>
          <w:color w:val="231F20"/>
        </w:rPr>
        <w:t>A combination</w:t>
      </w:r>
      <w:r>
        <w:rPr>
          <w:rFonts w:ascii="Arial" w:cs="Arial" w:eastAsia="Arial" w:hAnsi="Arial"/>
          <w:sz w:val="16"/>
          <w:szCs w:val="16"/>
          <w:color w:val="auto"/>
        </w:rPr>
        <w:t xml:space="preserve"> </w:t>
      </w:r>
      <w:r>
        <w:rPr>
          <w:rFonts w:ascii="Arial" w:cs="Arial" w:eastAsia="Arial" w:hAnsi="Arial"/>
          <w:sz w:val="16"/>
          <w:szCs w:val="16"/>
          <w:color w:val="231F20"/>
        </w:rPr>
        <w:t xml:space="preserve">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 combination products are subject to cGMP requirements applicable to both drugs and devices, including the Quality</w:t>
      </w:r>
      <w:r>
        <w:rPr>
          <w:rFonts w:ascii="Arial" w:cs="Arial" w:eastAsia="Arial" w:hAnsi="Arial"/>
          <w:sz w:val="16"/>
          <w:szCs w:val="16"/>
          <w:color w:val="231F20"/>
        </w:rPr>
        <w:t xml:space="preserve"> </w:t>
      </w:r>
      <w:r>
        <w:rPr>
          <w:rFonts w:ascii="Arial" w:cs="Arial" w:eastAsia="Arial" w:hAnsi="Arial"/>
          <w:sz w:val="16"/>
          <w:szCs w:val="16"/>
          <w:color w:val="000000"/>
        </w:rPr>
        <w:t>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for if it believes that the respective designation is no longer supported by data from our clinical development programs.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review or approval will compare to conventional FDA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With respect to our current product candidates, if one or more of the future Phase 3 clinical trials of PH94B for SAD, any future clinical study of AV-101 or a future Phase 2 clinical trial of PH10 for MDD fail(s) to produce positive results, the development timeline and regulatory approval and commercialization prospects for PH94B, PH10 or AV-101 and, correspondingly, our business and financial prospects,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future clinical trials of our product candidates, it may adversely affect or delay our clinical development and commercialization of PH94B, PH10 or AV-101.</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observed in any clinical trials of our product candidates to date, if treatment-related SAEs or other undesirable side effects or safety concerns, or unexpected characteristics attributable to PH94B, PH10 and/or AV-101 are observed in any furture clinical trials, including investigator-sponsored clinical trials, it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3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8" w:lineRule="exact"/>
        <w:rPr>
          <w:rFonts w:ascii="Arial" w:cs="Arial" w:eastAsia="Arial" w:hAnsi="Arial"/>
          <w:sz w:val="16"/>
          <w:szCs w:val="16"/>
          <w:color w:val="auto"/>
        </w:rPr>
      </w:pPr>
    </w:p>
    <w:p>
      <w:pPr>
        <w:ind w:left="660" w:right="180" w:hanging="652"/>
        <w:spacing w:after="0" w:line="26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PH94B, PH10, AV-101 or other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will need to complete at least two pivotal Phase 3 clinical studies of PH94B, additional toxicology and other standard nonclinical and clinical safety studies, as well as certain standard smaller clinical studies prior to our submission of an NDA for regulatory approval of PH94B as an on-demand treatment for SAD or any other CNS indication.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treatment for MDD, or any other CNS indication. For AV-101, for treatment of any CNS indication, we will need to complete at least two Phase 2 clinical studies, two pivotal Phase 3 clinical trials, additional toxicology and other standard nonclinical and clinical safety studies, as well as certain standard smaller clinical studies prior to the submission of an NDA for regulatory approval.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81" w:lineRule="exact"/>
        <w:rPr>
          <w:sz w:val="20"/>
          <w:szCs w:val="20"/>
          <w:color w:val="auto"/>
        </w:rPr>
      </w:pPr>
    </w:p>
    <w:p>
      <w:pPr>
        <w:ind w:left="240" w:hanging="232"/>
        <w:spacing w:after="0" w:line="268"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product candidates may be harmed and our ability to generate product revenue will be delayed.</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PH94B, PH10, AV-101 or other future product candidates may be delayed and we may not be able to obtain regulatory approval for or commercialize PH94B, PH10, AV-101 or other future product candidates and our business could be substantially harmed.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74"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20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rely completely on third-parties to manufacture, formulate,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anf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product candidate in the U.S., we may never receive regulatory approval to market PH94B, PH10, AV-101 or any other product candidate outside of the U.S.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PH94B, PH10, AV-101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Before we can commercialize our product candidates in the U.S. or any market outside the U.S., the U.S.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or establish those capabilities prior to market approval. If we are unable to establish adequate contractual arrangements for such sales, marketing and distribution capabilities, or if we are unable to do so on commercially reasonable terms, or if we are unable to establish such capabilities on our own,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240" w:hanging="232"/>
        <w:spacing w:after="0" w:line="332" w:lineRule="auto"/>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pharmacological action and safety profile as our orally-administered AV-101 or our intranasally-administered PH10. However, new antidepressant products with other mechanisms of pharmacological action or products approved for other indications, including the FDA-approved anesthetic ketamine hydrochloride administered intravenously, are being or may be used off-label for treatment of MDD, as well as other CNS indications for which AV-101 or PH10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used before or instead of standard antidepressant medications to treat patients with MDD. Management is also unaware of any FDA-approved rapid-onset, on-demand treatment for SAD having the same mechanism of pharmacological action and safety profile as our PH94B.</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field of new generation, oral adjunctive treatments for adult patients with MDD with an inadequate response to standard FDA-approved ADs, we believe our principal competitors may be Axsome’s AX-05, Alkermes’ ALKS-5461, Allergan’s AGN-241751 and Sage’s Sage-217. Additional potential competitors may include, but not be limited to, academic and private commercial clinics providing intravenous ketamine therapy on an off-label basis and Janssen’s intranasally-administered Spravato (esketamine). With respect to PH94B and current FDA-approved treatment options for SAD in the U.S., our competition may include, but is not limited to, certain current generic ADs approved by the FDA for treatment of SAD and certain classes of drugs used on an off-label basis for treatment of SAD, including benzodiazepines such as alprazolam, and beta blockers such as propranolol.</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AV-101 and PH10, we believe that a range of pharmaceutical and biotechnology companies have programs to develop drug candidates for the treatment of depression, including MDD, Parkinson’s disease levodopa-induced dyskinesia, neuropathic pain, epilepsy, and other neurological conditions and diseases, including, but not limited to, Abbott Laboratories, Acadia, Allergan, Alkermes, Aptynix, AstraZeneca, Axsome, Eli Lilly, GlaxoSmithKline, IntraCellular, Janssen, Lundbeck, Merck, Novartis, Ono, Otsuka, Pfizer, Relmada, Roche, Sage, Sumitomo Dainippon, and Takeda, as well as any affiliates of the foregoing companies.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We may fail to pursue additional development opportunities for PH94B, PH10 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PH94B, PH10 and AV-101, with additional limited focus on NCE drug rescue and, through a third-party collaboration, regenerative medicine.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240" w:hanging="232"/>
        <w:spacing w:after="0" w:line="306" w:lineRule="auto"/>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240" w:hanging="232"/>
        <w:spacing w:after="0" w:line="259"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240" w:hanging="232"/>
        <w:spacing w:after="0" w:line="256"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240" w:right="20" w:hanging="232"/>
        <w:spacing w:after="0" w:line="306" w:lineRule="auto"/>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0"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 treatment of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development stage biopharmaceutical company.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97"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PH94B, PH10, AV-101 and/or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NCEs using our stem cell technology, and we cannot provide any assurance that we will successfully develop and commercialize PH94B, PH10, AV-101 or acquire or license additional product candidates or discover and develop NCEs, or that, if produced, PH94B, PH10, AV-101 or any other product candidate will be successfully commercialized.</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development and research and development programs designed to identify, acquire or license additional product candidates, or, as the case may be, produce DR NCEs require substantial technical, financial and human resources, whether or not any additional product candidate is acquired or licensed or NCEs are ultimately identified and produced.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PH94B, PH10, AV-101, drug rescue NCEs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NCEs and no operating history with respect to the production of NCEs, and we may never be able to produce a NCE.</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are unable to develop and commercialize PH94B, PH10, AV-101 or acquire or license additional product candidates, or produce suitable NCEs, we may not be able to generate sufficient revenues to execute our business plan, which likely would result in significant harm to our financial position and results of operations, which could adversely impact our stock price.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With respect to drug rescue, 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NCEs, independently or with partners, including:</w:t>
      </w:r>
    </w:p>
    <w:p>
      <w:pPr>
        <w:spacing w:after="0" w:line="186"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identify potential candidates in the public domain, obtain sufficient quantities of them, and assess them using our bioassay systems;</w:t>
      </w:r>
    </w:p>
    <w:p>
      <w:pPr>
        <w:spacing w:after="0" w:line="248"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seek to rescue drug candidates that are not available to us in the public domain, the extent to which third parties may be willing to out-license or sell certain candidates to us on commercially reasonable terms;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240" w:right="20" w:hanging="232"/>
        <w:spacing w:after="0" w:line="26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resources available to us to develop and commercialize lead NCEs internally, or, if we sell or out-license them to partners, the resources such partners choose to dedicate to development and commercialization of any NCEs they acquire or license from us.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acquire additional product candidates or produce proprietary NCEs, we can give no assurance that we will be able to develop and commercialize them as marketable drugs, on our own or in collaboration with others. Before we generate any revenues from PH94B, PH10, AV-101 or additional acquired or licensed products candidates or any NCEs, we or our potential collaborators must complete preclinical and clinical development programs, submit clinical and manufacturing data to the FDA, qualify a third party CMO, receive regulatory approval in one or more jurisdictions, satisfy the FDA that our CMO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Success of our subsidiary, VistaStem,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Drug rescue programs are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business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generate revenue from our drug rescue activities, we must produce proprietary NCEs for which there proves to be demand within the healthcare marketplace, and, if we intend to out-license a particular NCE for development and commercialization prior to market approval, then also among pharmaceutical companies and other potential collaborators. However, we may produce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business may be adversely affected.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in the case of DR, and explore, in the case of drug discovery and RM, potential applications of our stem cell technology platform.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RM business opportunities and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 capabilities of our technology, which would have a material adverse effect on our business.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$24.6 million and $14.3 million during our fiscal years ended March 31, 2019 and 2018, respectively, and approximately $17.5 million for the nine months ended December 31, 2019. At December 31, 2019, we had an accumulated deficit of approximately $198.6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$17.7 million in revenues, consisting of receipt of non-dilutive cash payments from collaborators, sublicense revenue,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product candidate, or we enter into one or more development and commercialization agreements with respect to PH94B, PH10, AV-101 or one or more other future product candidates. Our ability to generate revenue depends on a number of factors, including, but not limited to, our ability to:</w:t>
      </w:r>
    </w:p>
    <w:p>
      <w:pPr>
        <w:spacing w:after="0" w:line="174"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the U.S. and foreign jurisdictions;</w:t>
      </w:r>
    </w:p>
    <w:p>
      <w:pPr>
        <w:spacing w:after="0" w:line="248" w:lineRule="exact"/>
        <w:rPr>
          <w:rFonts w:ascii="Arial" w:cs="Arial" w:eastAsia="Arial" w:hAnsi="Arial"/>
          <w:sz w:val="16"/>
          <w:szCs w:val="16"/>
          <w:color w:val="auto"/>
        </w:rPr>
      </w:pPr>
    </w:p>
    <w:p>
      <w:pPr>
        <w:ind w:left="240" w:hanging="232"/>
        <w:spacing w:after="0" w:line="268"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commercialization collaboration or partnership with respect to the commercialization of our product candidates,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Our audited consolidated financial statements for the year ended March 31, 2019 included in our Annual Report on Form 10-K for the year ended March 31, 2019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VistaStem’s stem cell technology platform. In particular, we have expended substantial resources on research and development of methods and processes relating to the production of AV-101 API and drug product, advancing AV-101 through IND-enabling preclinical development, Phase 1 clinical safety studies, and into ongoing Phase 2 clinical development, including the Elevate Study completed in 2019, as well as research and development and regulatory expenses related to the production of PH94B and PH10 and our stem cell technology platform, including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 and our cardiac stem cell technology for potential RM applications in connection with the Bluerock/Bayer Agreement, and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2019, we had cash and cash equivalents of approximately $1.1 million. We do not believe this amount, plus the approximate $2.68 million proceeds of our January 2020 Offering, is sufficient to enable us to fund our planned operations for at least the twelve months following the issuance of the financial statements included elsewhere in this Report. We expect to seek additional capital to produce PH94B study material, conduct PH94B pivotal Phase 3 clinical trials, produce additional AV-101 study material for future nonclinical and clinical studies, conduct AV-101 Phase 3-enabling toxicology studies, conduct pivotal Phase 3 clinical studies of AV-101 in MDD, conduct AV-101 Phase 2 studies in LID, MDD, NP and SI, produce PH10 study material and conduct a Phase 2b clinical trial of PH10 in MDD, acquire or license and conduct research and development of additional product candidates and to fund our internal operations.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clinical trials is highly uncertain, we cannot reasonably estimate the actual amounts necessary to successfully complete the development and commercialization of our product candidates, on our own or in collaboration with others. As with prior periods, we will continue to incur costs associated with other development programs for PH94B, PH10 and AV-101.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have completed in the past, and are currently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later in 2019 and thereafter.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and clinical studies;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sz w:val="20"/>
          <w:szCs w:val="20"/>
          <w:color w:val="auto"/>
        </w:rPr>
      </w:pPr>
    </w:p>
    <w:p>
      <w:pPr>
        <w:ind w:left="120" w:hanging="121"/>
        <w:spacing w:after="0" w:line="268" w:lineRule="auto"/>
        <w:rPr>
          <w:sz w:val="20"/>
          <w:szCs w:val="20"/>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6"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our ability to engage in certain types of capital raising transactions may be limited by the Listing Rules of the Nasdaq Stock Market and/or General Instruction I.B.6 of Form S-3 so long as the market value of our common stock held by non-affiliates remains below $75 million.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w:t>
      </w:r>
    </w:p>
    <w:p>
      <w:pPr>
        <w:jc w:val="both"/>
        <w:ind w:right="20" w:firstLine="8"/>
        <w:spacing w:after="0" w:line="255"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any additional material weaknesses in our internal controls, or significant deficiencies, or the absence of formalized policies and procedures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2019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2019, we had federal and state net operating loss carryforwards of approximately $109.0 million and $63.6 million, respectively, which begin to expire in fiscal 2020.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Chief Financial Officer, and Vice President – Corporate Development as well as our other employees, consultants and scientific collaborators. As of the date of this Annual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should we elect to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any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2"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Our efforts to comply with these regulations are likely to result in increased general and administrative expenses and management time and attention directed to compliance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 candidates, or form strategic alliances, in the future, and we may not realize the benefits of such acquisitions.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current political environment in the U.S. has led many incumbents and political candidates to propose various measures to reduce the prices for pharmaceuticals. As we near the U.S. presidential 2020 elections,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hPSC technology.</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additional patent claims that we may obtain cannot be predicted with certainty.</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in large measure on whether the differences between our technology and the prior art allow our inventions to be patentable over relevant prior art. Such prior art includes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which may prevent a pending patent application from being granted or result in an issued patent being held invalid or unenforceable.</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certain of our product candidates or that were evaluated in early (often pre-clinical) studies.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our filing of our initial AV-101 patent applications,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5"/>
          <w:szCs w:val="15"/>
          <w:i w:val="1"/>
          <w:iCs w:val="1"/>
          <w:color w:val="auto"/>
        </w:rPr>
        <w:t>USPTO</w:t>
      </w:r>
      <w:r>
        <w:rPr>
          <w:rFonts w:ascii="Arial" w:cs="Arial" w:eastAsia="Arial" w:hAnsi="Arial"/>
          <w:sz w:val="15"/>
          <w:szCs w:val="15"/>
          <w:color w:val="auto"/>
        </w:rPr>
        <w:t>) in our two granted U.S. patents related to</w:t>
      </w:r>
    </w:p>
    <w:p>
      <w:pPr>
        <w:spacing w:after="0" w:line="5" w:lineRule="exact"/>
        <w:rPr>
          <w:sz w:val="20"/>
          <w:szCs w:val="20"/>
          <w:color w:val="auto"/>
        </w:rPr>
      </w:pPr>
    </w:p>
    <w:p>
      <w:pPr>
        <w:jc w:val="both"/>
        <w:ind w:firstLine="8"/>
        <w:spacing w:after="0" w:line="253" w:lineRule="auto"/>
        <w:tabs>
          <w:tab w:leader="none" w:pos="2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unit dose formulations of AV-101 effective to treat depression and (ii) methods of treating depression with AV-101, respectively. However, it was submitted in two depression-related AV-101 patent applications that have similar claims and we have received Notices of Allowance from the USPTO in those applications We are considering entering this web post in the record of the aforementioned two issued U.S. patents. Another source of uncertainty pertains to patent properties that were in-licensed by us for which prior art submissions were under the control of the licensor. We rely on these licensors to have satisfied the relevant disclosure obligations.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our product candidates. Such a loss of patent protection would have a material adverse impact on our business.</w:t>
      </w:r>
    </w:p>
    <w:p>
      <w:pPr>
        <w:spacing w:after="0" w:line="19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240" w:hanging="232"/>
        <w:spacing w:after="0" w:line="259"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94"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8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5" w:name="page66"/>
    <w:bookmarkEnd w:id="6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or derivation proceedings before the United States or other jurisdictions.</w:t>
      </w:r>
    </w:p>
    <w:p>
      <w:pPr>
        <w:spacing w:after="0" w:line="17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7" w:name="page68"/>
    <w:bookmarkEnd w:id="6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our PH10, PH94B and certain stem cell technologies, we are a party to a number of license agreements under which we are granted rights to intellectual properties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for example, if the active ingredient of PH94B, PH10 or AV-101 is used in another drug company’s product candidate and that product candidate is the first to obtain FDA approval.</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8"/>
          <w:szCs w:val="18"/>
          <w:i w:val="1"/>
          <w:iCs w:val="1"/>
          <w:color w:val="auto"/>
        </w:rPr>
        <w:t>Mayo Collaborative Services, DBA Mayo</w:t>
      </w:r>
      <w:r>
        <w:rPr>
          <w:rFonts w:ascii="Arial" w:cs="Arial" w:eastAsia="Arial" w:hAnsi="Arial"/>
          <w:sz w:val="18"/>
          <w:szCs w:val="18"/>
          <w:color w:val="auto"/>
        </w:rPr>
        <w:t xml:space="preserve"> </w:t>
      </w:r>
      <w:r>
        <w:rPr>
          <w:rFonts w:ascii="Arial" w:cs="Arial" w:eastAsia="Arial" w:hAnsi="Arial"/>
          <w:sz w:val="18"/>
          <w:szCs w:val="18"/>
          <w:i w:val="1"/>
          <w:iCs w:val="1"/>
          <w:color w:val="auto"/>
        </w:rPr>
        <w:t>Medical Laboratories, et al. v. Prometheus Laboratories, Inc.</w:t>
      </w:r>
      <w:r>
        <w:rPr>
          <w:rFonts w:ascii="Arial" w:cs="Arial" w:eastAsia="Arial" w:hAnsi="Arial"/>
          <w:sz w:val="18"/>
          <w:szCs w:val="18"/>
          <w:color w:val="auto"/>
        </w:rPr>
        <w:t>, the Court held that several claims drawn to measuring drug metabolite levels from patient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240" w:hanging="232"/>
        <w:spacing w:after="0" w:line="268"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240" w:hanging="232"/>
        <w:spacing w:after="0" w:line="268"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With regard to our stem cell technology, if, instead of identifying DR candidates based on information available to us in the public domain, we seek to in-license DR candidates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DR NCEs that we may produce and develop. If we are unable to obtain ownership or substantial economic participation rights over intellectual property related to DR NCEs we produce and develop, our DR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31, 2020, we were notified by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Nasdaq Listing Rule 5550(a)(2). To regain compliance, the bid price of our common stock must have a closing bid price of at least $1.00 per share for a minimum of 10 consecutive business days. If we do not regain compliance by July 29, 2020, an additional 180 days may be granted to regain compliance, so long as we meet the Nasdaq Capital Market continued listing requirements (except for the bid price requirement)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48" w:lineRule="exact"/>
        <w:rPr>
          <w:rFonts w:ascii="Arial" w:cs="Arial" w:eastAsia="Arial" w:hAnsi="Arial"/>
          <w:sz w:val="16"/>
          <w:szCs w:val="16"/>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2" w:name="page73"/>
    <w:bookmarkEnd w:id="7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limited number of institutional stockholders could limit your ability to influence the outcome of key transactions, including changes in control.</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limited number of institutional stockholders own a substantial portion of our outstanding preferred stock, consisting of shares of our Series A Preferred, Series B Preferred, and Series C Preferred, all of which is convertible, at the option of the holders (but subject to certain beneficial ownership restrictions), into a substantial number of shares of our common stock. Accordingly, should a few of these institutional holders convert their shares of preferred stock into common stock, such stockholders may exert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the Company, even if such a change of control is approved by our Board and would benefit our other stockholders. Furthermore, the interests of such institutional stockholders may not always coincide with your interests or the interests of other common stockholders and an institutional holder may act in a manner that advances its best interests and not necessarily those of other stockholders.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December 31, 2019; (ii) 4.0 million shares of Series B 10% Convertible Preferred stock, of which approximately 1.2 million shares remain issued and outstanding at December 31, 2019; and (iii) 3.0 million shares of Series C Convertible Preferred Stock, of which approximately 2.3 million shares are issued and outstanding at December 31, 2019.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the reporting requirements of the Securities Exchange Act of 1934, as amended (</w:t>
      </w:r>
      <w:r>
        <w:rPr>
          <w:rFonts w:ascii="Arial" w:cs="Arial" w:eastAsia="Arial" w:hAnsi="Arial"/>
          <w:sz w:val="18"/>
          <w:szCs w:val="18"/>
          <w:i w:val="1"/>
          <w:iCs w:val="1"/>
          <w:color w:val="auto"/>
        </w:rPr>
        <w:t>Exchange Act</w:t>
      </w:r>
      <w:r>
        <w:rPr>
          <w:rFonts w:ascii="Arial" w:cs="Arial" w:eastAsia="Arial" w:hAnsi="Arial"/>
          <w:sz w:val="18"/>
          <w:szCs w:val="18"/>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December 2019, the Company completed a self-placed private placement of warrants to purchase unregistered shares of its common stock at an offering price of $0.15 per warrant (the </w:t>
      </w:r>
      <w:r>
        <w:rPr>
          <w:rFonts w:ascii="Arial" w:cs="Arial" w:eastAsia="Arial" w:hAnsi="Arial"/>
          <w:sz w:val="16"/>
          <w:szCs w:val="16"/>
          <w:i w:val="1"/>
          <w:iCs w:val="1"/>
          <w:color w:val="auto"/>
        </w:rPr>
        <w:t>Winter 2019 Warrant Offering</w:t>
      </w:r>
      <w:r>
        <w:rPr>
          <w:rFonts w:ascii="Arial" w:cs="Arial" w:eastAsia="Arial" w:hAnsi="Arial"/>
          <w:sz w:val="16"/>
          <w:szCs w:val="16"/>
          <w:color w:val="auto"/>
        </w:rPr>
        <w:t>). Warrants offered and sold in the Winter 2019 Warrant Offering have an exercise price of $0.50 per share and term of three years from the issuance date. In the Winter 2019 Warrant Offering, the Company sold warrants to purchase a total of 2.0 million unregistered shares of common stock for proceeds of $300,000. The warrants offered and sold as a part of the Winter 2019 Warrant Offering were offered pursuant to the exemption provided in Section 4(a)(2) under the Securities Act and Regulation D promulgated thereunder. The Company expects to use the proceeds from the Winter 2019 Warrant Offering for general working capital.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420" w:type="dxa"/>
            <w:vAlign w:val="bottom"/>
          </w:tcPr>
          <w:p>
            <w:pPr>
              <w:ind w:left="49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r:id="rId95">
              <w:r>
                <w:rPr>
                  <w:rFonts w:ascii="Arial" w:cs="Arial" w:eastAsia="Arial" w:hAnsi="Arial"/>
                  <w:sz w:val="18"/>
                  <w:szCs w:val="18"/>
                  <w:color w:val="auto"/>
                  <w:w w:val="79"/>
                </w:rPr>
                <w:t>10.</w:t>
              </w:r>
              <w:r>
                <w:rPr>
                  <w:rFonts w:ascii="Arial" w:cs="Arial" w:eastAsia="Arial" w:hAnsi="Arial"/>
                  <w:sz w:val="18"/>
                  <w:szCs w:val="18"/>
                  <w:u w:val="single" w:color="auto"/>
                  <w:color w:val="auto"/>
                  <w:w w:val="79"/>
                </w:rPr>
                <w:t>1</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420" w:type="dxa"/>
            <w:vAlign w:val="bottom"/>
            <w:tcBorders>
              <w:bottom w:val="single" w:sz="8" w:color="CCEEFF"/>
            </w:tcBorders>
            <w:shd w:val="clear" w:color="auto" w:fill="CCEEFF"/>
          </w:tcPr>
          <w:p>
            <w:pPr>
              <w:ind w:left="380"/>
              <w:spacing w:after="0" w:line="176" w:lineRule="exact"/>
              <w:rPr>
                <w:sz w:val="20"/>
                <w:szCs w:val="20"/>
                <w:color w:val="auto"/>
              </w:rPr>
            </w:pPr>
            <w:r>
              <w:rPr>
                <w:rFonts w:ascii="Arial" w:cs="Arial" w:eastAsia="Arial" w:hAnsi="Arial"/>
                <w:sz w:val="18"/>
                <w:szCs w:val="18"/>
                <w:color w:val="auto"/>
                <w:w w:val="89"/>
              </w:rPr>
              <w:t>Form of Securities Purchase Agreement, dated January 24, 2020, between the Company and each purchaser named in the signature pages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thereto, incorporated by reference from Exhibit 10.1 to the Company’s Current Report on Form 8-K filed on January 27, 2020.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r:id="rId96">
              <w:r>
                <w:rPr>
                  <w:rFonts w:ascii="Arial" w:cs="Arial" w:eastAsia="Arial" w:hAnsi="Arial"/>
                  <w:sz w:val="18"/>
                  <w:szCs w:val="18"/>
                  <w:color w:val="auto"/>
                  <w:w w:val="79"/>
                </w:rPr>
                <w:t>10.</w:t>
              </w:r>
              <w:r>
                <w:rPr>
                  <w:rFonts w:ascii="Arial" w:cs="Arial" w:eastAsia="Arial" w:hAnsi="Arial"/>
                  <w:sz w:val="18"/>
                  <w:szCs w:val="18"/>
                  <w:u w:val="single" w:color="auto"/>
                  <w:color w:val="auto"/>
                  <w:w w:val="79"/>
                </w:rPr>
                <w:t>2</w:t>
              </w:r>
            </w:hyperlink>
          </w:p>
        </w:tc>
        <w:tc>
          <w:tcPr>
            <w:tcW w:w="680" w:type="dxa"/>
            <w:vAlign w:val="bottom"/>
            <w:tcBorders>
              <w:bottom w:val="single" w:sz="8" w:color="CCEEFF"/>
            </w:tcBorders>
            <w:shd w:val="clear" w:color="auto" w:fill="CCEEFF"/>
          </w:tcPr>
          <w:p>
            <w:pPr>
              <w:spacing w:after="0"/>
              <w:rPr>
                <w:sz w:val="17"/>
                <w:szCs w:val="17"/>
                <w:color w:val="auto"/>
              </w:rPr>
            </w:pPr>
          </w:p>
        </w:tc>
        <w:tc>
          <w:tcPr>
            <w:tcW w:w="10420" w:type="dxa"/>
            <w:vAlign w:val="bottom"/>
            <w:tcBorders>
              <w:bottom w:val="single" w:sz="8" w:color="CCEEFF"/>
            </w:tcBorders>
            <w:shd w:val="clear" w:color="auto" w:fill="CCEEFF"/>
          </w:tcPr>
          <w:p>
            <w:pPr>
              <w:ind w:left="380"/>
              <w:spacing w:after="0" w:line="176" w:lineRule="exact"/>
              <w:rPr>
                <w:sz w:val="20"/>
                <w:szCs w:val="20"/>
                <w:color w:val="auto"/>
              </w:rPr>
            </w:pPr>
            <w:r>
              <w:rPr>
                <w:rFonts w:ascii="Arial" w:cs="Arial" w:eastAsia="Arial" w:hAnsi="Arial"/>
                <w:sz w:val="18"/>
                <w:szCs w:val="18"/>
                <w:color w:val="auto"/>
                <w:w w:val="93"/>
              </w:rPr>
              <w:t>Form of Warrant, incorporated by reference from Exhibit 10.2 to the Company’s Current Report on Form 8-K filed on January 27, 2020.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77">
              <w:r>
                <w:rPr>
                  <w:rFonts w:ascii="Arial" w:cs="Arial" w:eastAsia="Arial" w:hAnsi="Arial"/>
                  <w:sz w:val="18"/>
                  <w:szCs w:val="18"/>
                  <w:color w:val="auto"/>
                  <w:w w:val="79"/>
                </w:rPr>
                <w:t>31.</w:t>
              </w:r>
              <w:r>
                <w:rPr>
                  <w:rFonts w:ascii="Arial" w:cs="Arial" w:eastAsia="Arial" w:hAnsi="Arial"/>
                  <w:sz w:val="18"/>
                  <w:szCs w:val="18"/>
                  <w:u w:val="single" w:color="auto"/>
                  <w:color w:val="auto"/>
                  <w:w w:val="79"/>
                </w:rPr>
                <w:t>1</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420" w:type="dxa"/>
            <w:vAlign w:val="bottom"/>
            <w:tcBorders>
              <w:bottom w:val="single" w:sz="8" w:color="CCEEFF"/>
            </w:tcBorders>
            <w:shd w:val="clear" w:color="auto" w:fill="CCEEFF"/>
          </w:tcPr>
          <w:p>
            <w:pPr>
              <w:ind w:left="380"/>
              <w:spacing w:after="0" w:line="176" w:lineRule="exact"/>
              <w:rPr>
                <w:sz w:val="20"/>
                <w:szCs w:val="20"/>
                <w:color w:val="auto"/>
              </w:rPr>
            </w:pPr>
            <w:r>
              <w:rPr>
                <w:rFonts w:ascii="Arial" w:cs="Arial" w:eastAsia="Arial" w:hAnsi="Arial"/>
                <w:sz w:val="18"/>
                <w:szCs w:val="18"/>
                <w:color w:val="auto"/>
                <w:w w:val="94"/>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shd w:val="clear" w:color="auto" w:fill="CCEEFF"/>
          </w:tcPr>
          <w:p>
            <w:pPr>
              <w:spacing w:after="0" w:line="176" w:lineRule="exact"/>
              <w:rPr>
                <w:rFonts w:ascii="Arial" w:cs="Arial" w:eastAsia="Arial" w:hAnsi="Arial"/>
                <w:sz w:val="18"/>
                <w:szCs w:val="18"/>
                <w:color w:val="auto"/>
                <w:w w:val="79"/>
              </w:rPr>
            </w:pPr>
            <w:hyperlink w:anchor="page78">
              <w:r>
                <w:rPr>
                  <w:rFonts w:ascii="Arial" w:cs="Arial" w:eastAsia="Arial" w:hAnsi="Arial"/>
                  <w:sz w:val="18"/>
                  <w:szCs w:val="18"/>
                  <w:color w:val="auto"/>
                  <w:w w:val="79"/>
                </w:rPr>
                <w:t>31.</w:t>
              </w:r>
              <w:r>
                <w:rPr>
                  <w:rFonts w:ascii="Arial" w:cs="Arial" w:eastAsia="Arial" w:hAnsi="Arial"/>
                  <w:sz w:val="18"/>
                  <w:szCs w:val="18"/>
                  <w:u w:val="single" w:color="auto"/>
                  <w:color w:val="auto"/>
                  <w:w w:val="79"/>
                </w:rPr>
                <w:t>2</w:t>
              </w:r>
            </w:hyperlink>
          </w:p>
        </w:tc>
        <w:tc>
          <w:tcPr>
            <w:tcW w:w="680" w:type="dxa"/>
            <w:vAlign w:val="bottom"/>
            <w:tcBorders>
              <w:bottom w:val="single" w:sz="8" w:color="CCEEFF"/>
            </w:tcBorders>
            <w:shd w:val="clear" w:color="auto" w:fill="CCEEFF"/>
          </w:tcPr>
          <w:p>
            <w:pPr>
              <w:spacing w:after="0"/>
              <w:rPr>
                <w:sz w:val="15"/>
                <w:szCs w:val="15"/>
                <w:color w:val="auto"/>
              </w:rPr>
            </w:pPr>
          </w:p>
        </w:tc>
        <w:tc>
          <w:tcPr>
            <w:tcW w:w="10420" w:type="dxa"/>
            <w:vAlign w:val="bottom"/>
            <w:tcBorders>
              <w:bottom w:val="single" w:sz="8" w:color="CCEEFF"/>
            </w:tcBorders>
            <w:shd w:val="clear" w:color="auto" w:fill="CCEEFF"/>
          </w:tcPr>
          <w:p>
            <w:pPr>
              <w:ind w:left="380"/>
              <w:spacing w:after="0" w:line="176" w:lineRule="exact"/>
              <w:rPr>
                <w:sz w:val="20"/>
                <w:szCs w:val="20"/>
                <w:color w:val="auto"/>
              </w:rPr>
            </w:pPr>
            <w:r>
              <w:rPr>
                <w:rFonts w:ascii="Arial" w:cs="Arial" w:eastAsia="Arial" w:hAnsi="Arial"/>
                <w:sz w:val="18"/>
                <w:szCs w:val="18"/>
                <w:color w:val="auto"/>
                <w:w w:val="88"/>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380" w:hanging="1372"/>
        <w:spacing w:after="0" w:line="268" w:lineRule="auto"/>
        <w:tabs>
          <w:tab w:leader="none" w:pos="1380" w:val="left"/>
        </w:tabs>
        <w:numPr>
          <w:ilvl w:val="0"/>
          <w:numId w:val="29"/>
        </w:numPr>
        <w:rPr>
          <w:rFonts w:ascii="Arial" w:cs="Arial" w:eastAsia="Arial" w:hAnsi="Arial"/>
          <w:sz w:val="18"/>
          <w:szCs w:val="18"/>
          <w:u w:val="single" w:color="auto"/>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7"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Arial" w:cs="Arial" w:eastAsia="Arial" w:hAnsi="Arial"/>
                <w:sz w:val="18"/>
                <w:szCs w:val="18"/>
                <w:color w:val="auto"/>
              </w:rPr>
              <w:t>February 13, 2020</w:t>
            </w:r>
          </w:p>
        </w:tc>
        <w:tc>
          <w:tcPr>
            <w:tcW w:w="492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28"/>
        </w:trPr>
        <w:tc>
          <w:tcPr>
            <w:tcW w:w="6500" w:type="dxa"/>
            <w:vAlign w:val="bottom"/>
          </w:tcPr>
          <w:p>
            <w:pPr>
              <w:spacing w:after="0"/>
              <w:rPr>
                <w:sz w:val="19"/>
                <w:szCs w:val="19"/>
                <w:color w:val="auto"/>
              </w:rPr>
            </w:pPr>
          </w:p>
        </w:tc>
        <w:tc>
          <w:tcPr>
            <w:tcW w:w="1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8"/>
              </w:rPr>
              <w:t>Shawn K. Singh</w:t>
            </w:r>
          </w:p>
        </w:tc>
        <w:tc>
          <w:tcPr>
            <w:tcW w:w="3580" w:type="dxa"/>
            <w:vAlign w:val="bottom"/>
          </w:tcPr>
          <w:p>
            <w:pPr>
              <w:spacing w:after="0"/>
              <w:rPr>
                <w:sz w:val="19"/>
                <w:szCs w:val="19"/>
                <w:color w:val="auto"/>
              </w:rPr>
            </w:pPr>
          </w:p>
        </w:tc>
      </w:tr>
      <w:tr>
        <w:trPr>
          <w:trHeight w:val="222"/>
        </w:trPr>
        <w:tc>
          <w:tcPr>
            <w:tcW w:w="6500" w:type="dxa"/>
            <w:vAlign w:val="bottom"/>
          </w:tcPr>
          <w:p>
            <w:pPr>
              <w:spacing w:after="0"/>
              <w:rPr>
                <w:sz w:val="19"/>
                <w:szCs w:val="19"/>
                <w:color w:val="auto"/>
              </w:rPr>
            </w:pPr>
          </w:p>
        </w:tc>
        <w:tc>
          <w:tcPr>
            <w:tcW w:w="4920" w:type="dxa"/>
            <w:vAlign w:val="bottom"/>
            <w:gridSpan w:val="2"/>
          </w:tcPr>
          <w:p>
            <w:pPr>
              <w:ind w:left="60"/>
              <w:spacing w:after="0"/>
              <w:rPr>
                <w:sz w:val="20"/>
                <w:szCs w:val="20"/>
                <w:color w:val="auto"/>
              </w:rPr>
            </w:pPr>
            <w:r>
              <w:rPr>
                <w:rFonts w:ascii="Arial" w:cs="Arial" w:eastAsia="Arial" w:hAnsi="Arial"/>
                <w:sz w:val="18"/>
                <w:szCs w:val="18"/>
                <w:color w:val="auto"/>
              </w:rPr>
              <w:t>Principal Executive Officer</w:t>
            </w:r>
          </w:p>
        </w:tc>
      </w:tr>
      <w:tr>
        <w:trPr>
          <w:trHeight w:val="657"/>
        </w:trPr>
        <w:tc>
          <w:tcPr>
            <w:tcW w:w="6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Jerrold D. Dotson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847725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2019,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842"/>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lowerRoman"/>
      <w:start w:val="2"/>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Letter"/>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lowerRoman"/>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32"/>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95" Type="http://schemas.openxmlformats.org/officeDocument/2006/relationships/hyperlink" Target="http://www.sec.gov/Archives/edgar/data/1411685/000165495420000744/ex10-1.htm" TargetMode="External"/><Relationship Id="rId96" Type="http://schemas.openxmlformats.org/officeDocument/2006/relationships/hyperlink" Target="http://www.sec.gov/Archives/edgar/data/1411685/000165495420000744/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2020-02-13T16:45:52Z</dcterms:created>
  <dcterms:modified xsi:type="dcterms:W3CDTF">2020-02-13T16:45:52Z</dcterms:modified>
</cp:coreProperties>
</file>