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p>
    <w:p>
      <w:pPr>
        <w:jc w:val="center"/>
        <w:ind w:left="290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left="2900"/>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left="2900"/>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left="2900"/>
        <w:spacing w:after="0"/>
        <w:rPr>
          <w:sz w:val="20"/>
          <w:szCs w:val="20"/>
          <w:color w:val="auto"/>
        </w:rPr>
      </w:pPr>
      <w:r>
        <w:rPr>
          <w:rFonts w:ascii="Arial" w:cs="Arial" w:eastAsia="Arial" w:hAnsi="Arial"/>
          <w:sz w:val="25"/>
          <w:szCs w:val="25"/>
          <w:b w:val="1"/>
          <w:bCs w:val="1"/>
          <w:color w:val="auto"/>
        </w:rPr>
        <w:t>FORM 12b-25</w:t>
      </w:r>
    </w:p>
    <w:p>
      <w:pPr>
        <w:spacing w:after="0" w:line="221"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NOTIFICATION OF LATE FILING</w:t>
      </w:r>
    </w:p>
    <w:p>
      <w:pPr>
        <w:spacing w:after="0" w:line="20" w:lineRule="exact"/>
        <w:rPr>
          <w:sz w:val="24"/>
          <w:szCs w:val="24"/>
          <w:color w:val="auto"/>
        </w:rPr>
      </w:pPr>
      <w:r>
        <w:rPr>
          <w:sz w:val="24"/>
          <w:szCs w:val="24"/>
          <w:color w:val="auto"/>
        </w:rPr>
        <w:br w:type="column"/>
      </w:r>
    </w:p>
    <w:p>
      <w:pPr>
        <w:ind w:left="3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144081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711835"/>
                    </a:xfrm>
                    <a:prstGeom prst="rect">
                      <a:avLst/>
                    </a:prstGeom>
                    <a:noFill/>
                  </pic:spPr>
                </pic:pic>
              </a:graphicData>
            </a:graphic>
          </wp:anchor>
        </w:drawing>
      </w:r>
    </w:p>
    <w:p>
      <w:pPr>
        <w:spacing w:after="0" w:line="3" w:lineRule="exact"/>
        <w:rPr>
          <w:sz w:val="24"/>
          <w:szCs w:val="24"/>
          <w:color w:val="auto"/>
        </w:rPr>
      </w:pPr>
    </w:p>
    <w:p>
      <w:pPr>
        <w:ind w:right="180"/>
        <w:spacing w:after="0" w:line="301" w:lineRule="auto"/>
        <w:rPr>
          <w:sz w:val="20"/>
          <w:szCs w:val="20"/>
          <w:color w:val="auto"/>
        </w:rPr>
      </w:pPr>
      <w:r>
        <w:rPr>
          <w:rFonts w:ascii="Arial" w:cs="Arial" w:eastAsia="Arial" w:hAnsi="Arial"/>
          <w:sz w:val="16"/>
          <w:szCs w:val="16"/>
          <w:color w:val="auto"/>
        </w:rPr>
        <w:t>OMB Number: 3235-0058 Expires: August 31, 2015 Estimated average burden hours per response ... 2.50</w:t>
      </w:r>
    </w:p>
    <w:p>
      <w:pPr>
        <w:spacing w:after="0" w:line="22" w:lineRule="exact"/>
        <w:rPr>
          <w:sz w:val="24"/>
          <w:szCs w:val="24"/>
          <w:color w:val="auto"/>
        </w:rPr>
      </w:pPr>
    </w:p>
    <w:p>
      <w:pPr>
        <w:ind w:right="260" w:firstLine="282"/>
        <w:spacing w:after="0" w:line="277" w:lineRule="auto"/>
        <w:rPr>
          <w:sz w:val="20"/>
          <w:szCs w:val="20"/>
          <w:color w:val="auto"/>
        </w:rPr>
      </w:pPr>
      <w:r>
        <w:rPr>
          <w:rFonts w:ascii="Arial" w:cs="Arial" w:eastAsia="Arial" w:hAnsi="Arial"/>
          <w:sz w:val="18"/>
          <w:szCs w:val="18"/>
          <w:color w:val="auto"/>
        </w:rPr>
        <w:t>SEC FILE NUMBER 000-54014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-302260</wp:posOffset>
            </wp:positionV>
            <wp:extent cx="14408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wp:posOffset>
            </wp:positionH>
            <wp:positionV relativeFrom="paragraph">
              <wp:posOffset>-130175</wp:posOffset>
            </wp:positionV>
            <wp:extent cx="144081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86" w:lineRule="exact"/>
        <w:rPr>
          <w:sz w:val="24"/>
          <w:szCs w:val="24"/>
          <w:color w:val="auto"/>
        </w:rPr>
      </w:pPr>
    </w:p>
    <w:p>
      <w:pPr>
        <w:sectPr>
          <w:pgSz w:w="11900" w:h="16838" w:orient="portrait"/>
          <w:cols w:equalWidth="0" w:num="2">
            <w:col w:w="8500" w:space="720"/>
            <w:col w:w="2100"/>
          </w:cols>
          <w:pgMar w:left="240" w:top="463" w:right="339" w:bottom="0" w:gutter="0" w:footer="0" w:header="0"/>
        </w:sectPr>
      </w:pPr>
    </w:p>
    <w:p>
      <w:pPr>
        <w:spacing w:after="0" w:line="200" w:lineRule="exact"/>
        <w:rPr>
          <w:sz w:val="24"/>
          <w:szCs w:val="24"/>
          <w:color w:val="auto"/>
        </w:rPr>
      </w:pPr>
    </w:p>
    <w:p>
      <w:pPr>
        <w:spacing w:after="0" w:line="251" w:lineRule="exact"/>
        <w:rPr>
          <w:sz w:val="24"/>
          <w:szCs w:val="24"/>
          <w:color w:val="auto"/>
        </w:rPr>
      </w:pPr>
    </w:p>
    <w:p>
      <w:pPr>
        <w:spacing w:after="0"/>
        <w:tabs>
          <w:tab w:leader="none" w:pos="1360" w:val="left"/>
          <w:tab w:leader="none" w:pos="2600" w:val="left"/>
          <w:tab w:leader="none" w:pos="3800" w:val="left"/>
          <w:tab w:leader="none" w:pos="5040" w:val="left"/>
          <w:tab w:leader="none" w:pos="6320" w:val="left"/>
          <w:tab w:leader="none" w:pos="7560" w:val="left"/>
          <w:tab w:leader="none" w:pos="894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Arial" w:cs="Arial" w:eastAsia="Arial" w:hAnsi="Arial"/>
          <w:sz w:val="16"/>
          <w:szCs w:val="16"/>
          <w:color w:val="auto"/>
        </w:rPr>
        <w:t>[  ] Form 10-K</w:t>
        <w:tab/>
        <w:t>[  ] Form 20-F</w:t>
        <w:tab/>
        <w:t>[  ] Form 11-K</w:t>
        <w:tab/>
        <w:t>[ x ] Form 10-Q</w:t>
        <w:tab/>
        <w:t>[  ] Form 10-D</w:t>
        <w:tab/>
        <w:t>[  ] Form N-SAR</w:t>
        <w:tab/>
        <w:t>[  ] Form N-CSR</w:t>
      </w:r>
    </w:p>
    <w:p>
      <w:pPr>
        <w:spacing w:after="0" w:line="135" w:lineRule="exact"/>
        <w:rPr>
          <w:sz w:val="24"/>
          <w:szCs w:val="24"/>
          <w:color w:val="auto"/>
        </w:rPr>
      </w:pPr>
    </w:p>
    <w:p>
      <w:pPr>
        <w:ind w:left="1380"/>
        <w:spacing w:after="0"/>
        <w:tabs>
          <w:tab w:leader="none" w:pos="2780" w:val="left"/>
        </w:tabs>
        <w:rPr>
          <w:sz w:val="20"/>
          <w:szCs w:val="20"/>
          <w:color w:val="auto"/>
        </w:rPr>
      </w:pPr>
      <w:r>
        <w:rPr>
          <w:rFonts w:ascii="Arial" w:cs="Arial" w:eastAsia="Arial" w:hAnsi="Arial"/>
          <w:sz w:val="16"/>
          <w:szCs w:val="16"/>
          <w:color w:val="auto"/>
        </w:rPr>
        <w:t>For Period Ended:</w:t>
      </w:r>
      <w:r>
        <w:rPr>
          <w:sz w:val="20"/>
          <w:szCs w:val="20"/>
          <w:color w:val="auto"/>
        </w:rPr>
        <w:tab/>
      </w:r>
      <w:r>
        <w:rPr>
          <w:rFonts w:ascii="Arial" w:cs="Arial" w:eastAsia="Arial" w:hAnsi="Arial"/>
          <w:sz w:val="14"/>
          <w:szCs w:val="14"/>
          <w:color w:val="auto"/>
        </w:rPr>
        <w:t>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1680845</wp:posOffset>
            </wp:positionH>
            <wp:positionV relativeFrom="paragraph">
              <wp:posOffset>-6985</wp:posOffset>
            </wp:positionV>
            <wp:extent cx="1031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1875" cy="8890"/>
                    </a:xfrm>
                    <a:prstGeom prst="rect">
                      <a:avLst/>
                    </a:prstGeom>
                    <a:noFill/>
                  </pic:spPr>
                </pic:pic>
              </a:graphicData>
            </a:graphic>
          </wp:anchor>
        </w:drawing>
      </w:r>
    </w:p>
    <w:p>
      <w:pPr>
        <w:spacing w:after="0" w:line="269" w:lineRule="exact"/>
        <w:rPr>
          <w:sz w:val="24"/>
          <w:szCs w:val="24"/>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10-K</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20-F</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11-K</w:t>
      </w:r>
    </w:p>
    <w:p>
      <w:pPr>
        <w:spacing w:after="0" w:line="86" w:lineRule="exact"/>
        <w:rPr>
          <w:rFonts w:ascii="Arial" w:cs="Arial" w:eastAsia="Arial" w:hAnsi="Arial"/>
          <w:sz w:val="16"/>
          <w:szCs w:val="16"/>
          <w:color w:val="auto"/>
        </w:rPr>
      </w:pPr>
    </w:p>
    <w:p>
      <w:pPr>
        <w:ind w:left="1560" w:hanging="183"/>
        <w:spacing w:after="0"/>
        <w:tabs>
          <w:tab w:leader="none" w:pos="1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10-Q</w:t>
      </w:r>
    </w:p>
    <w:p>
      <w:pPr>
        <w:spacing w:after="0" w:line="86" w:lineRule="exact"/>
        <w:rPr>
          <w:rFonts w:ascii="Arial" w:cs="Arial" w:eastAsia="Arial" w:hAnsi="Arial"/>
          <w:sz w:val="16"/>
          <w:szCs w:val="16"/>
          <w:color w:val="auto"/>
        </w:rPr>
      </w:pPr>
    </w:p>
    <w:p>
      <w:pPr>
        <w:ind w:left="1380" w:right="7360" w:hanging="3"/>
        <w:spacing w:after="0" w:line="516" w:lineRule="auto"/>
        <w:tabs>
          <w:tab w:leader="none" w:pos="1555" w:val="left"/>
        </w:tabs>
        <w:numPr>
          <w:ilvl w:val="0"/>
          <w:numId w:val="1"/>
        </w:numPr>
        <w:rPr>
          <w:rFonts w:ascii="Arial" w:cs="Arial" w:eastAsia="Arial" w:hAnsi="Arial"/>
          <w:sz w:val="15"/>
          <w:szCs w:val="15"/>
          <w:color w:val="auto"/>
        </w:rPr>
      </w:pPr>
      <w:r>
        <w:rPr>
          <w:rFonts w:ascii="Arial" w:cs="Arial" w:eastAsia="Arial" w:hAnsi="Arial"/>
          <w:sz w:val="15"/>
          <w:szCs w:val="15"/>
          <w:color w:val="auto"/>
        </w:rPr>
        <w:t>] 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50430" cy="570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7023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-146685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343 Allerton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0"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640" w:type="dxa"/>
            <w:vAlign w:val="bottom"/>
            <w:tcBorders>
              <w:right w:val="single" w:sz="8" w:color="auto"/>
            </w:tcBorders>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8960" w:type="dxa"/>
            <w:vAlign w:val="bottom"/>
          </w:tcPr>
          <w:p>
            <w:pPr>
              <w:ind w:left="180"/>
              <w:spacing w:after="0"/>
              <w:rPr>
                <w:sz w:val="20"/>
                <w:szCs w:val="20"/>
                <w:color w:val="auto"/>
              </w:rPr>
            </w:pPr>
            <w:r>
              <w:rPr>
                <w:rFonts w:ascii="Arial" w:cs="Arial" w:eastAsia="Arial" w:hAnsi="Arial"/>
                <w:sz w:val="18"/>
                <w:szCs w:val="18"/>
                <w:color w:val="auto"/>
                <w:w w:val="93"/>
              </w:rPr>
              <w:t>The reason described in reasonable detail in Part III of this form could not be eliminated without unreasonable effort or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56"/>
        </w:trPr>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 x ]</w:t>
            </w:r>
          </w:p>
        </w:tc>
        <w:tc>
          <w:tcPr>
            <w:tcW w:w="480" w:type="dxa"/>
            <w:vAlign w:val="bottom"/>
          </w:tcPr>
          <w:p>
            <w:pPr>
              <w:ind w:left="100"/>
              <w:spacing w:after="0"/>
              <w:rPr>
                <w:sz w:val="20"/>
                <w:szCs w:val="20"/>
                <w:color w:val="auto"/>
              </w:rPr>
            </w:pPr>
            <w:r>
              <w:rPr>
                <w:rFonts w:ascii="Arial" w:cs="Arial" w:eastAsia="Arial" w:hAnsi="Arial"/>
                <w:sz w:val="18"/>
                <w:szCs w:val="18"/>
                <w:color w:val="auto"/>
              </w:rPr>
              <w:t>(b)</w:t>
            </w:r>
          </w:p>
        </w:tc>
        <w:tc>
          <w:tcPr>
            <w:tcW w:w="8960" w:type="dxa"/>
            <w:vAlign w:val="bottom"/>
          </w:tcPr>
          <w:p>
            <w:pPr>
              <w:ind w:left="180"/>
              <w:spacing w:after="0"/>
              <w:rPr>
                <w:sz w:val="20"/>
                <w:szCs w:val="20"/>
                <w:color w:val="auto"/>
              </w:rPr>
            </w:pPr>
            <w:r>
              <w:rPr>
                <w:rFonts w:ascii="Arial" w:cs="Arial" w:eastAsia="Arial" w:hAnsi="Arial"/>
                <w:sz w:val="18"/>
                <w:szCs w:val="18"/>
                <w:color w:val="auto"/>
                <w:w w:val="93"/>
              </w:rPr>
              <w:t>The subject annual report, semi-annual report, transition report on Form 10-K, Form 20-F, Form 11-K, Form N-SAR or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8960" w:type="dxa"/>
            <w:vAlign w:val="bottom"/>
            <w:vMerge w:val="restart"/>
          </w:tcPr>
          <w:p>
            <w:pPr>
              <w:ind w:left="180"/>
              <w:spacing w:after="0"/>
              <w:rPr>
                <w:sz w:val="20"/>
                <w:szCs w:val="20"/>
                <w:color w:val="auto"/>
              </w:rPr>
            </w:pPr>
            <w:r>
              <w:rPr>
                <w:rFonts w:ascii="Arial" w:cs="Arial" w:eastAsia="Arial" w:hAnsi="Arial"/>
                <w:sz w:val="18"/>
                <w:szCs w:val="18"/>
                <w:color w:val="auto"/>
                <w:w w:val="91"/>
              </w:rPr>
              <w:t>Form N-CSR, or portion thereof, will be filed on or before the fifteenth calendar day following the prescribed due date; or</w:t>
            </w:r>
          </w:p>
        </w:tc>
        <w:tc>
          <w:tcPr>
            <w:tcW w:w="0" w:type="dxa"/>
            <w:vAlign w:val="bottom"/>
          </w:tcPr>
          <w:p>
            <w:pPr>
              <w:spacing w:after="0"/>
              <w:rPr>
                <w:sz w:val="1"/>
                <w:szCs w:val="1"/>
                <w:color w:val="auto"/>
              </w:rPr>
            </w:pPr>
          </w:p>
        </w:tc>
      </w:tr>
      <w:tr>
        <w:trPr>
          <w:trHeight w:val="94"/>
        </w:trPr>
        <w:tc>
          <w:tcPr>
            <w:tcW w:w="16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w w:val="96"/>
              </w:rPr>
              <w:t>the subject quarterly report or transition report on Form 10-Q or subject distribution report on Form 10-D, or portion</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960" w:type="dxa"/>
            <w:vAlign w:val="bottom"/>
          </w:tcPr>
          <w:p>
            <w:pPr>
              <w:ind w:left="180"/>
              <w:spacing w:after="0"/>
              <w:rPr>
                <w:sz w:val="20"/>
                <w:szCs w:val="20"/>
                <w:color w:val="auto"/>
              </w:rPr>
            </w:pPr>
            <w:r>
              <w:rPr>
                <w:rFonts w:ascii="Arial" w:cs="Arial" w:eastAsia="Arial" w:hAnsi="Arial"/>
                <w:sz w:val="18"/>
                <w:szCs w:val="18"/>
                <w:color w:val="auto"/>
              </w:rPr>
              <w:t>thereof, will be filed on or before the fifth calendar day following the prescribed due date; and</w:t>
            </w:r>
          </w:p>
        </w:tc>
        <w:tc>
          <w:tcPr>
            <w:tcW w:w="0" w:type="dxa"/>
            <w:vAlign w:val="bottom"/>
          </w:tcPr>
          <w:p>
            <w:pPr>
              <w:spacing w:after="0"/>
              <w:rPr>
                <w:sz w:val="1"/>
                <w:szCs w:val="1"/>
                <w:color w:val="auto"/>
              </w:rPr>
            </w:pPr>
          </w:p>
        </w:tc>
      </w:tr>
      <w:tr>
        <w:trPr>
          <w:trHeight w:val="270"/>
        </w:trPr>
        <w:tc>
          <w:tcPr>
            <w:tcW w:w="1640" w:type="dxa"/>
            <w:vAlign w:val="bottom"/>
            <w:tcBorders>
              <w:right w:val="single" w:sz="8" w:color="auto"/>
            </w:tcBorders>
          </w:tcPr>
          <w:p>
            <w:pPr>
              <w:spacing w:after="0"/>
              <w:rPr>
                <w:sz w:val="23"/>
                <w:szCs w:val="23"/>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(c)</w:t>
            </w:r>
          </w:p>
        </w:tc>
        <w:tc>
          <w:tcPr>
            <w:tcW w:w="8960" w:type="dxa"/>
            <w:vAlign w:val="bottom"/>
          </w:tcPr>
          <w:p>
            <w:pPr>
              <w:ind w:left="180"/>
              <w:spacing w:after="0"/>
              <w:rPr>
                <w:sz w:val="20"/>
                <w:szCs w:val="20"/>
                <w:color w:val="auto"/>
              </w:rPr>
            </w:pPr>
            <w:r>
              <w:rPr>
                <w:rFonts w:ascii="Arial" w:cs="Arial" w:eastAsia="Arial" w:hAnsi="Arial"/>
                <w:sz w:val="18"/>
                <w:szCs w:val="18"/>
                <w:color w:val="auto"/>
              </w:rPr>
              <w:t>The accountant's statement or other exhibit required by Rule 12b-25(c) has been attached if applicable.</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2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62" w:lineRule="exact"/>
        <w:rPr>
          <w:sz w:val="24"/>
          <w:szCs w:val="24"/>
          <w:color w:val="auto"/>
        </w:rPr>
      </w:pPr>
    </w:p>
    <w:p>
      <w:pPr>
        <w:ind w:right="80"/>
        <w:spacing w:after="0" w:line="302" w:lineRule="auto"/>
        <w:rPr>
          <w:sz w:val="20"/>
          <w:szCs w:val="20"/>
          <w:color w:val="auto"/>
        </w:rPr>
      </w:pPr>
      <w:r>
        <w:rPr>
          <w:rFonts w:ascii="Arial" w:cs="Arial" w:eastAsia="Arial" w:hAnsi="Arial"/>
          <w:sz w:val="16"/>
          <w:szCs w:val="16"/>
          <w:color w:val="auto"/>
        </w:rPr>
        <w:t>VistaGen Therapeutics, Inc. (the "Company") was unable to compile and complete its review of certain information required to prepare a complete filing, including the XBRL (eXtensible Business Reporting Language) Interactive Data Files for the financial statements and notes included in Part I, Item 1 of the Quarterly Report. As a result, the Company will be unable to file the Quarterly Report on Form 10-Q for the year ended September 30, 2014 in a timely manner without unreasonable effort or expense. The Company expects to file its Quarterly Report on Form 10-Q on or before November 19,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ind w:left="1820" w:right="280"/>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ectPr>
          <w:pgSz w:w="11900" w:h="16838" w:orient="portrait"/>
          <w:cols w:equalWidth="0" w:num="1">
            <w:col w:w="11320"/>
          </w:cols>
          <w:pgMar w:left="240" w:top="463" w:right="3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t>(Attach extra Sheets if Needed)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 - OTHER INFORMATION</w:t>
      </w:r>
    </w:p>
    <w:p>
      <w:pPr>
        <w:spacing w:after="0" w:line="10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140" w:type="dxa"/>
            <w:vAlign w:val="bottom"/>
          </w:tcPr>
          <w:p>
            <w:pPr>
              <w:jc w:val="center"/>
              <w:spacing w:after="0"/>
              <w:rPr>
                <w:sz w:val="20"/>
                <w:szCs w:val="20"/>
                <w:color w:val="auto"/>
              </w:rPr>
            </w:pPr>
            <w:r>
              <w:rPr>
                <w:rFonts w:ascii="Arial" w:cs="Arial" w:eastAsia="Arial" w:hAnsi="Arial"/>
                <w:sz w:val="18"/>
                <w:szCs w:val="18"/>
                <w:color w:val="auto"/>
                <w:w w:val="92"/>
              </w:rPr>
              <w:t>Jerrold D. Dotson</w:t>
            </w: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650</w:t>
            </w:r>
          </w:p>
        </w:tc>
        <w:tc>
          <w:tcPr>
            <w:tcW w:w="4380" w:type="dxa"/>
            <w:vAlign w:val="bottom"/>
            <w:gridSpan w:val="2"/>
          </w:tcPr>
          <w:p>
            <w:pPr>
              <w:jc w:val="right"/>
              <w:ind w:right="1490"/>
              <w:spacing w:after="0"/>
              <w:rPr>
                <w:sz w:val="20"/>
                <w:szCs w:val="20"/>
                <w:color w:val="auto"/>
              </w:rPr>
            </w:pPr>
            <w:r>
              <w:rPr>
                <w:rFonts w:ascii="Arial" w:cs="Arial" w:eastAsia="Arial" w:hAnsi="Arial"/>
                <w:sz w:val="18"/>
                <w:szCs w:val="18"/>
                <w:color w:val="auto"/>
              </w:rPr>
              <w:t>577-3600</w:t>
            </w:r>
          </w:p>
        </w:tc>
      </w:tr>
      <w:tr>
        <w:trPr>
          <w:trHeight w:val="224"/>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54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79" w:lineRule="exact"/>
        <w:rPr>
          <w:sz w:val="20"/>
          <w:szCs w:val="20"/>
          <w:color w:val="auto"/>
        </w:rPr>
      </w:pPr>
    </w:p>
    <w:p>
      <w:pPr>
        <w:ind w:left="460" w:right="8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jc w:val="right"/>
        <w:spacing w:after="0"/>
        <w:tabs>
          <w:tab w:leader="none" w:pos="460" w:val="left"/>
        </w:tabs>
        <w:rPr>
          <w:sz w:val="20"/>
          <w:szCs w:val="20"/>
          <w:color w:val="auto"/>
        </w:rPr>
      </w:pPr>
      <w:r>
        <w:rPr>
          <w:rFonts w:ascii="Arial" w:cs="Arial" w:eastAsia="Arial" w:hAnsi="Arial"/>
          <w:sz w:val="18"/>
          <w:szCs w:val="18"/>
          <w:color w:val="auto"/>
        </w:rPr>
        <w:t>Yes[ x ]</w:t>
        <w:tab/>
        <w:t>No[  ]</w:t>
      </w:r>
    </w:p>
    <w:p>
      <w:pPr>
        <w:spacing w:after="0" w:line="200" w:lineRule="exact"/>
        <w:rPr>
          <w:sz w:val="20"/>
          <w:szCs w:val="20"/>
          <w:color w:val="auto"/>
        </w:rPr>
      </w:pPr>
    </w:p>
    <w:p>
      <w:pPr>
        <w:spacing w:after="0" w:line="240" w:lineRule="exact"/>
        <w:rPr>
          <w:sz w:val="20"/>
          <w:szCs w:val="20"/>
          <w:color w:val="auto"/>
        </w:rPr>
      </w:pPr>
    </w:p>
    <w:p>
      <w:pPr>
        <w:ind w:left="460" w:right="60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7"/>
          <w:szCs w:val="17"/>
          <w:color w:val="auto"/>
        </w:rPr>
        <w:t>No[ x ]</w:t>
      </w:r>
    </w:p>
    <w:p>
      <w:pPr>
        <w:spacing w:after="0" w:line="346"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Charter)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November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Jerrold D. Dotson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Financial Officer</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2020-02-25T21:24:25Z</dcterms:created>
  <dcterms:modified xsi:type="dcterms:W3CDTF">2020-02-25T21:24:25Z</dcterms:modified>
</cp:coreProperties>
</file>