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13G/A</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1)*</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10795</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of Issuer)</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ind w:left="1000" w:hanging="360"/>
        <w:spacing w:after="0"/>
        <w:tabs>
          <w:tab w:leader="none" w:pos="100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13d-1(b)</w:t>
      </w:r>
    </w:p>
    <w:p>
      <w:pPr>
        <w:spacing w:after="0" w:line="21" w:lineRule="exact"/>
        <w:rPr>
          <w:rFonts w:ascii="MS PGothic" w:cs="MS PGothic" w:eastAsia="MS PGothic" w:hAnsi="MS PGothic"/>
          <w:sz w:val="20"/>
          <w:szCs w:val="20"/>
          <w:color w:val="auto"/>
        </w:rPr>
      </w:pPr>
    </w:p>
    <w:p>
      <w:pPr>
        <w:ind w:left="1000" w:hanging="361"/>
        <w:spacing w:after="0" w:line="238" w:lineRule="auto"/>
        <w:tabs>
          <w:tab w:leader="none" w:pos="100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Rule 13d-1(c)</w:t>
      </w:r>
    </w:p>
    <w:p>
      <w:pPr>
        <w:ind w:left="1000" w:hanging="360"/>
        <w:spacing w:after="0"/>
        <w:tabs>
          <w:tab w:leader="none" w:pos="1000"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632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13G/A</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2 of 7 Pages</w:t>
            </w:r>
          </w:p>
        </w:tc>
        <w:tc>
          <w:tcPr>
            <w:tcW w:w="0" w:type="dxa"/>
            <w:vAlign w:val="bottom"/>
          </w:tcPr>
          <w:p>
            <w:pPr>
              <w:spacing w:after="0"/>
              <w:rPr>
                <w:sz w:val="1"/>
                <w:szCs w:val="1"/>
                <w:color w:val="auto"/>
              </w:rPr>
            </w:pPr>
          </w:p>
        </w:tc>
      </w:tr>
      <w:tr>
        <w:trPr>
          <w:trHeight w:val="567"/>
        </w:trPr>
        <w:tc>
          <w:tcPr>
            <w:tcW w:w="18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63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Point72 Asset Management, L.P.</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63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2</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184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9"/>
        </w:trPr>
        <w:tc>
          <w:tcPr>
            <w:tcW w:w="1840" w:type="dxa"/>
            <w:vAlign w:val="bottom"/>
            <w:vMerge w:val="continue"/>
          </w:tcPr>
          <w:p>
            <w:pPr>
              <w:spacing w:after="0"/>
              <w:rPr>
                <w:sz w:val="12"/>
                <w:szCs w:val="12"/>
                <w:color w:val="auto"/>
              </w:rPr>
            </w:pPr>
          </w:p>
        </w:tc>
        <w:tc>
          <w:tcPr>
            <w:tcW w:w="6320" w:type="dxa"/>
            <w:vAlign w:val="bottom"/>
          </w:tcPr>
          <w:p>
            <w:pPr>
              <w:spacing w:after="0"/>
              <w:rPr>
                <w:sz w:val="12"/>
                <w:szCs w:val="12"/>
                <w:color w:val="auto"/>
              </w:rPr>
            </w:pPr>
          </w:p>
        </w:tc>
        <w:tc>
          <w:tcPr>
            <w:tcW w:w="3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80" w:type="dxa"/>
            <w:vAlign w:val="bottom"/>
          </w:tcPr>
          <w:p>
            <w:pPr>
              <w:ind w:left="1840"/>
              <w:spacing w:after="0" w:line="318" w:lineRule="exact"/>
              <w:rPr>
                <w:sz w:val="20"/>
                <w:szCs w:val="20"/>
                <w:color w:val="auto"/>
              </w:rPr>
            </w:pPr>
            <w:r>
              <w:rPr>
                <w:rFonts w:ascii="Times New Roman" w:cs="Times New Roman" w:eastAsia="Times New Roman" w:hAnsi="Times New Roman"/>
                <w:sz w:val="20"/>
                <w:szCs w:val="20"/>
                <w:color w:val="auto"/>
              </w:rPr>
              <w:t xml:space="preserve">(b) </w:t>
            </w:r>
            <w:r>
              <w:rPr>
                <w:rFonts w:ascii="Wingdings" w:cs="Wingdings" w:eastAsia="Wingdings" w:hAnsi="Wingdings"/>
                <w:sz w:val="28"/>
                <w:szCs w:val="28"/>
                <w:b w:val="1"/>
                <w:bCs w:val="1"/>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-843280</wp:posOffset>
            </wp:positionV>
            <wp:extent cx="7132320" cy="4603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03115"/>
                    </a:xfrm>
                    <a:prstGeom prst="rect">
                      <a:avLst/>
                    </a:prstGeom>
                    <a:noFill/>
                  </pic:spPr>
                </pic:pic>
              </a:graphicData>
            </a:graphic>
          </wp:anchor>
        </w:drawing>
      </w:r>
    </w:p>
    <w:p>
      <w:pPr>
        <w:ind w:left="1920" w:hanging="1079"/>
        <w:spacing w:after="0" w:line="185" w:lineRule="auto"/>
        <w:tabs>
          <w:tab w:leader="none" w:pos="1920" w:val="left"/>
        </w:tabs>
        <w:numPr>
          <w:ilvl w:val="0"/>
          <w:numId w:val="2"/>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6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1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00" w:type="dxa"/>
            <w:vAlign w:val="bottom"/>
          </w:tcPr>
          <w:p>
            <w:pPr>
              <w:spacing w:after="0"/>
              <w:rPr>
                <w:sz w:val="21"/>
                <w:szCs w:val="21"/>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6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1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18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61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618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1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822,334 shares of Common Stock issuable upon exercise of warrants</w:t>
            </w: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618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1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618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1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618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61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18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1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822,334 shares of Common Stock issuable upon exercise of warrants</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18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7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822,334 shares of Common Stock issuable upon exercise of warrants</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68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1760" w:type="dxa"/>
            <w:vAlign w:val="bottom"/>
          </w:tcPr>
          <w:p>
            <w:pPr>
              <w:ind w:left="62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680" w:type="dxa"/>
            <w:vAlign w:val="bottom"/>
            <w:gridSpan w:val="2"/>
            <w:vMerge w:val="continue"/>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3.0%</w:t>
            </w:r>
          </w:p>
        </w:tc>
        <w:tc>
          <w:tcPr>
            <w:tcW w:w="6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1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PN</w:t>
            </w:r>
          </w:p>
        </w:tc>
        <w:tc>
          <w:tcPr>
            <w:tcW w:w="6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1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632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13G/A</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3 of 7 Pages</w:t>
            </w:r>
          </w:p>
        </w:tc>
        <w:tc>
          <w:tcPr>
            <w:tcW w:w="0" w:type="dxa"/>
            <w:vAlign w:val="bottom"/>
          </w:tcPr>
          <w:p>
            <w:pPr>
              <w:spacing w:after="0"/>
              <w:rPr>
                <w:sz w:val="1"/>
                <w:szCs w:val="1"/>
                <w:color w:val="auto"/>
              </w:rPr>
            </w:pPr>
          </w:p>
        </w:tc>
      </w:tr>
      <w:tr>
        <w:trPr>
          <w:trHeight w:val="567"/>
        </w:trPr>
        <w:tc>
          <w:tcPr>
            <w:tcW w:w="18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63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Point72 Capital Advisors, Inc.</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63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2</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184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9"/>
        </w:trPr>
        <w:tc>
          <w:tcPr>
            <w:tcW w:w="1840" w:type="dxa"/>
            <w:vAlign w:val="bottom"/>
            <w:vMerge w:val="continue"/>
          </w:tcPr>
          <w:p>
            <w:pPr>
              <w:spacing w:after="0"/>
              <w:rPr>
                <w:sz w:val="12"/>
                <w:szCs w:val="12"/>
                <w:color w:val="auto"/>
              </w:rPr>
            </w:pPr>
          </w:p>
        </w:tc>
        <w:tc>
          <w:tcPr>
            <w:tcW w:w="6320" w:type="dxa"/>
            <w:vAlign w:val="bottom"/>
          </w:tcPr>
          <w:p>
            <w:pPr>
              <w:spacing w:after="0"/>
              <w:rPr>
                <w:sz w:val="12"/>
                <w:szCs w:val="12"/>
                <w:color w:val="auto"/>
              </w:rPr>
            </w:pPr>
          </w:p>
        </w:tc>
        <w:tc>
          <w:tcPr>
            <w:tcW w:w="3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80" w:type="dxa"/>
            <w:vAlign w:val="bottom"/>
          </w:tcPr>
          <w:p>
            <w:pPr>
              <w:ind w:left="1840"/>
              <w:spacing w:after="0" w:line="318" w:lineRule="exact"/>
              <w:rPr>
                <w:sz w:val="20"/>
                <w:szCs w:val="20"/>
                <w:color w:val="auto"/>
              </w:rPr>
            </w:pPr>
            <w:r>
              <w:rPr>
                <w:rFonts w:ascii="Times New Roman" w:cs="Times New Roman" w:eastAsia="Times New Roman" w:hAnsi="Times New Roman"/>
                <w:sz w:val="20"/>
                <w:szCs w:val="20"/>
                <w:color w:val="auto"/>
              </w:rPr>
              <w:t xml:space="preserve">(b) </w:t>
            </w:r>
            <w:r>
              <w:rPr>
                <w:rFonts w:ascii="Wingdings" w:cs="Wingdings" w:eastAsia="Wingdings" w:hAnsi="Wingdings"/>
                <w:sz w:val="28"/>
                <w:szCs w:val="28"/>
                <w:b w:val="1"/>
                <w:bCs w:val="1"/>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-843280</wp:posOffset>
            </wp:positionV>
            <wp:extent cx="7132320" cy="4603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03115"/>
                    </a:xfrm>
                    <a:prstGeom prst="rect">
                      <a:avLst/>
                    </a:prstGeom>
                    <a:noFill/>
                  </pic:spPr>
                </pic:pic>
              </a:graphicData>
            </a:graphic>
          </wp:anchor>
        </w:drawing>
      </w:r>
    </w:p>
    <w:p>
      <w:pPr>
        <w:ind w:left="1920" w:hanging="1079"/>
        <w:spacing w:after="0" w:line="185" w:lineRule="auto"/>
        <w:tabs>
          <w:tab w:leader="none" w:pos="1920" w:val="left"/>
        </w:tabs>
        <w:numPr>
          <w:ilvl w:val="0"/>
          <w:numId w:val="3"/>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6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3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00" w:type="dxa"/>
            <w:vAlign w:val="bottom"/>
          </w:tcPr>
          <w:p>
            <w:pPr>
              <w:spacing w:after="0"/>
              <w:rPr>
                <w:sz w:val="21"/>
                <w:szCs w:val="21"/>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6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3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34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6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63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634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3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822,334 shares of Common Stock issuable upon exercise of warrants</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634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63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3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634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3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634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63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63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34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3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822,334 shares of Common Stock issuable upon exercise of warrants</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34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6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7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822,334 shares of Common Stock issuable upon exercise of warrants</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840" w:type="dxa"/>
            <w:vAlign w:val="bottom"/>
            <w:gridSpan w:val="2"/>
            <w:vMerge w:val="continue"/>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1600" w:type="dxa"/>
            <w:vAlign w:val="bottom"/>
          </w:tcPr>
          <w:p>
            <w:pPr>
              <w:ind w:left="4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84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3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3.0%</w:t>
            </w:r>
          </w:p>
        </w:tc>
        <w:tc>
          <w:tcPr>
            <w:tcW w:w="6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3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8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CO</w:t>
            </w:r>
          </w:p>
        </w:tc>
        <w:tc>
          <w:tcPr>
            <w:tcW w:w="6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3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CUSIP No. 92840H400</w:t>
            </w:r>
          </w:p>
        </w:tc>
        <w:tc>
          <w:tcPr>
            <w:tcW w:w="632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13G/A</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4 of 7 Pages</w:t>
            </w:r>
          </w:p>
        </w:tc>
        <w:tc>
          <w:tcPr>
            <w:tcW w:w="0" w:type="dxa"/>
            <w:vAlign w:val="bottom"/>
          </w:tcPr>
          <w:p>
            <w:pPr>
              <w:spacing w:after="0"/>
              <w:rPr>
                <w:sz w:val="1"/>
                <w:szCs w:val="1"/>
                <w:color w:val="auto"/>
              </w:rPr>
            </w:pPr>
          </w:p>
        </w:tc>
      </w:tr>
      <w:tr>
        <w:trPr>
          <w:trHeight w:val="567"/>
        </w:trPr>
        <w:tc>
          <w:tcPr>
            <w:tcW w:w="18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63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Steven A. Cohen</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63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2</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1840"/>
              <w:spacing w:after="0" w:line="322"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9"/>
        </w:trPr>
        <w:tc>
          <w:tcPr>
            <w:tcW w:w="1840" w:type="dxa"/>
            <w:vAlign w:val="bottom"/>
            <w:vMerge w:val="continue"/>
          </w:tcPr>
          <w:p>
            <w:pPr>
              <w:spacing w:after="0"/>
              <w:rPr>
                <w:sz w:val="12"/>
                <w:szCs w:val="12"/>
                <w:color w:val="auto"/>
              </w:rPr>
            </w:pPr>
          </w:p>
        </w:tc>
        <w:tc>
          <w:tcPr>
            <w:tcW w:w="6320" w:type="dxa"/>
            <w:vAlign w:val="bottom"/>
          </w:tcPr>
          <w:p>
            <w:pPr>
              <w:spacing w:after="0"/>
              <w:rPr>
                <w:sz w:val="12"/>
                <w:szCs w:val="12"/>
                <w:color w:val="auto"/>
              </w:rPr>
            </w:pPr>
          </w:p>
        </w:tc>
        <w:tc>
          <w:tcPr>
            <w:tcW w:w="3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80" w:type="dxa"/>
            <w:vAlign w:val="bottom"/>
          </w:tcPr>
          <w:p>
            <w:pPr>
              <w:ind w:left="1840"/>
              <w:spacing w:after="0" w:line="318" w:lineRule="exact"/>
              <w:rPr>
                <w:sz w:val="20"/>
                <w:szCs w:val="20"/>
                <w:color w:val="auto"/>
              </w:rPr>
            </w:pPr>
            <w:r>
              <w:rPr>
                <w:rFonts w:ascii="Times New Roman" w:cs="Times New Roman" w:eastAsia="Times New Roman" w:hAnsi="Times New Roman"/>
                <w:sz w:val="20"/>
                <w:szCs w:val="20"/>
                <w:color w:val="auto"/>
              </w:rPr>
              <w:t xml:space="preserve">(b) </w:t>
            </w:r>
            <w:r>
              <w:rPr>
                <w:rFonts w:ascii="Wingdings" w:cs="Wingdings" w:eastAsia="Wingdings" w:hAnsi="Wingdings"/>
                <w:sz w:val="28"/>
                <w:szCs w:val="28"/>
                <w:b w:val="1"/>
                <w:bCs w:val="1"/>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-843280</wp:posOffset>
            </wp:positionV>
            <wp:extent cx="7132320" cy="4603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03115"/>
                    </a:xfrm>
                    <a:prstGeom prst="rect">
                      <a:avLst/>
                    </a:prstGeom>
                    <a:noFill/>
                  </pic:spPr>
                </pic:pic>
              </a:graphicData>
            </a:graphic>
          </wp:anchor>
        </w:drawing>
      </w:r>
    </w:p>
    <w:p>
      <w:pPr>
        <w:ind w:left="1920" w:hanging="1079"/>
        <w:spacing w:after="0" w:line="185" w:lineRule="auto"/>
        <w:tabs>
          <w:tab w:leader="none" w:pos="1920" w:val="left"/>
        </w:tabs>
        <w:numPr>
          <w:ilvl w:val="0"/>
          <w:numId w:val="4"/>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8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c>
          <w:tcPr>
            <w:tcW w:w="6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00" w:type="dxa"/>
            <w:vAlign w:val="bottom"/>
          </w:tcPr>
          <w:p>
            <w:pPr>
              <w:spacing w:after="0"/>
              <w:rPr>
                <w:sz w:val="21"/>
                <w:szCs w:val="21"/>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60" w:type="dxa"/>
            <w:vAlign w:val="bottom"/>
          </w:tcPr>
          <w:p>
            <w:pPr>
              <w:spacing w:after="0"/>
              <w:rPr>
                <w:sz w:val="21"/>
                <w:szCs w:val="21"/>
                <w:color w:val="auto"/>
              </w:rPr>
            </w:pPr>
          </w:p>
        </w:tc>
        <w:tc>
          <w:tcPr>
            <w:tcW w:w="6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SOLE VOTING POWER</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628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28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60" w:type="dxa"/>
            <w:vAlign w:val="bottom"/>
          </w:tcPr>
          <w:p>
            <w:pPr>
              <w:spacing w:after="0"/>
              <w:rPr>
                <w:sz w:val="8"/>
                <w:szCs w:val="8"/>
                <w:color w:val="auto"/>
              </w:rPr>
            </w:pPr>
          </w:p>
        </w:tc>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VOTING POWER</w:t>
            </w: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628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628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822,334 shares of Common Stock issuable upon exercise of warrants</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28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8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0" w:type="dxa"/>
            <w:vAlign w:val="bottom"/>
          </w:tcPr>
          <w:p>
            <w:pPr>
              <w:spacing w:after="0"/>
              <w:rPr>
                <w:sz w:val="8"/>
                <w:szCs w:val="8"/>
                <w:color w:val="auto"/>
              </w:rPr>
            </w:pPr>
          </w:p>
        </w:tc>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SOLE DISPOSITIVE POWER</w:t>
            </w: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628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628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0</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28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8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60" w:type="dxa"/>
            <w:vAlign w:val="bottom"/>
          </w:tcPr>
          <w:p>
            <w:pPr>
              <w:spacing w:after="0"/>
              <w:rPr>
                <w:sz w:val="9"/>
                <w:szCs w:val="9"/>
                <w:color w:val="auto"/>
              </w:rPr>
            </w:pPr>
          </w:p>
        </w:tc>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628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628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822,334 shares of Common Stock issuable upon exercise of warrants</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28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6340" w:type="dxa"/>
            <w:vAlign w:val="bottom"/>
            <w:tcBorders>
              <w:bottom w:val="single" w:sz="8" w:color="auto"/>
            </w:tcBorders>
            <w:gridSpan w:val="2"/>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8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7840" w:type="dxa"/>
            <w:vAlign w:val="bottom"/>
            <w:gridSpan w:val="3"/>
            <w:vMerge w:val="restart"/>
          </w:tcPr>
          <w:p>
            <w:pPr>
              <w:ind w:left="440"/>
              <w:spacing w:after="0"/>
              <w:rPr>
                <w:sz w:val="20"/>
                <w:szCs w:val="20"/>
                <w:color w:val="auto"/>
              </w:rPr>
            </w:pPr>
            <w:r>
              <w:rPr>
                <w:rFonts w:ascii="Times New Roman" w:cs="Times New Roman" w:eastAsia="Times New Roman" w:hAnsi="Times New Roman"/>
                <w:sz w:val="20"/>
                <w:szCs w:val="20"/>
                <w:color w:val="auto"/>
              </w:rPr>
              <w:t>822,334 shares of Common Stock issuable upon exercise of warrants</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840" w:type="dxa"/>
            <w:vAlign w:val="bottom"/>
            <w:gridSpan w:val="3"/>
            <w:vMerge w:val="continue"/>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1600" w:type="dxa"/>
            <w:vAlign w:val="bottom"/>
          </w:tcPr>
          <w:p>
            <w:pPr>
              <w:ind w:left="4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840" w:type="dxa"/>
            <w:vAlign w:val="bottom"/>
            <w:gridSpan w:val="3"/>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340" w:type="dxa"/>
            <w:vAlign w:val="bottom"/>
            <w:tcBorders>
              <w:bottom w:val="single" w:sz="8" w:color="auto"/>
            </w:tcBorders>
            <w:gridSpan w:val="2"/>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8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340" w:type="dxa"/>
            <w:vAlign w:val="bottom"/>
            <w:tcBorders>
              <w:bottom w:val="single" w:sz="8" w:color="auto"/>
            </w:tcBorders>
            <w:gridSpan w:val="2"/>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8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IN</w:t>
            </w:r>
          </w:p>
        </w:tc>
        <w:tc>
          <w:tcPr>
            <w:tcW w:w="6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2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92840H400</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212"/>
        </w:trPr>
        <w:tc>
          <w:tcPr>
            <w:tcW w:w="1260" w:type="dxa"/>
            <w:vAlign w:val="bottom"/>
          </w:tcPr>
          <w:p>
            <w:pPr>
              <w:spacing w:after="0"/>
              <w:rPr>
                <w:sz w:val="18"/>
                <w:szCs w:val="18"/>
                <w:color w:val="auto"/>
              </w:rPr>
            </w:pPr>
          </w:p>
        </w:tc>
        <w:tc>
          <w:tcPr>
            <w:tcW w:w="9780" w:type="dxa"/>
            <w:vAlign w:val="bottom"/>
            <w:gridSpan w:val="11"/>
          </w:tcPr>
          <w:p>
            <w:pPr>
              <w:ind w:left="440"/>
              <w:spacing w:after="0" w:line="212" w:lineRule="exact"/>
              <w:rPr>
                <w:sz w:val="20"/>
                <w:szCs w:val="20"/>
                <w:color w:val="auto"/>
              </w:rPr>
            </w:pPr>
            <w:r>
              <w:rPr>
                <w:rFonts w:ascii="Times New Roman" w:cs="Times New Roman" w:eastAsia="Times New Roman" w:hAnsi="Times New Roman"/>
                <w:sz w:val="20"/>
                <w:szCs w:val="20"/>
                <w:color w:val="auto"/>
              </w:rPr>
              <w:t>Vistagen Therapeutics, Inc. (the “Issuer”).</w:t>
            </w:r>
          </w:p>
        </w:tc>
      </w:tr>
      <w:tr>
        <w:trPr>
          <w:trHeight w:val="20"/>
        </w:trPr>
        <w:tc>
          <w:tcPr>
            <w:tcW w:w="12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57"/>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343 Allerton Avenue, South San Francisco, CA 94080.</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212"/>
        </w:trPr>
        <w:tc>
          <w:tcPr>
            <w:tcW w:w="1260" w:type="dxa"/>
            <w:vAlign w:val="bottom"/>
          </w:tcPr>
          <w:p>
            <w:pPr>
              <w:spacing w:after="0"/>
              <w:rPr>
                <w:sz w:val="18"/>
                <w:szCs w:val="18"/>
                <w:color w:val="auto"/>
              </w:rPr>
            </w:pPr>
          </w:p>
        </w:tc>
        <w:tc>
          <w:tcPr>
            <w:tcW w:w="9780" w:type="dxa"/>
            <w:vAlign w:val="bottom"/>
            <w:gridSpan w:val="11"/>
          </w:tcPr>
          <w:p>
            <w:pPr>
              <w:ind w:left="440"/>
              <w:spacing w:after="0" w:line="212" w:lineRule="exact"/>
              <w:rPr>
                <w:sz w:val="20"/>
                <w:szCs w:val="20"/>
                <w:color w:val="auto"/>
              </w:rPr>
            </w:pPr>
            <w:r>
              <w:rPr>
                <w:rFonts w:ascii="Times New Roman" w:cs="Times New Roman" w:eastAsia="Times New Roman" w:hAnsi="Times New Roman"/>
                <w:sz w:val="20"/>
                <w:szCs w:val="20"/>
                <w:color w:val="auto"/>
                <w:w w:val="99"/>
              </w:rPr>
              <w:t>This statement is filed by: (i) Point72 Asset Management, L.P. (“Point72 Asset Management”) with respect to shares</w:t>
            </w:r>
          </w:p>
        </w:tc>
      </w:tr>
      <w:tr>
        <w:trPr>
          <w:trHeight w:val="20"/>
        </w:trPr>
        <w:tc>
          <w:tcPr>
            <w:tcW w:w="126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9780" w:type="dxa"/>
            <w:vAlign w:val="bottom"/>
            <w:gridSpan w:val="11"/>
          </w:tcPr>
          <w:p>
            <w:pPr>
              <w:ind w:left="440"/>
              <w:spacing w:after="0" w:line="209" w:lineRule="exact"/>
              <w:rPr>
                <w:sz w:val="20"/>
                <w:szCs w:val="20"/>
                <w:color w:val="auto"/>
              </w:rPr>
            </w:pPr>
            <w:r>
              <w:rPr>
                <w:rFonts w:ascii="Times New Roman" w:cs="Times New Roman" w:eastAsia="Times New Roman" w:hAnsi="Times New Roman"/>
                <w:sz w:val="20"/>
                <w:szCs w:val="20"/>
                <w:color w:val="auto"/>
                <w:w w:val="99"/>
              </w:rPr>
              <w:t>of common stock, par value $0.001 per share (“Common Stock”), of the Issuer held by (and underlying warrants held</w:t>
            </w:r>
          </w:p>
        </w:tc>
      </w:tr>
      <w:tr>
        <w:trPr>
          <w:trHeight w:val="20"/>
        </w:trPr>
        <w:tc>
          <w:tcPr>
            <w:tcW w:w="126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9780" w:type="dxa"/>
            <w:vAlign w:val="bottom"/>
            <w:gridSpan w:val="11"/>
          </w:tcPr>
          <w:p>
            <w:pPr>
              <w:ind w:left="440"/>
              <w:spacing w:after="0" w:line="209" w:lineRule="exact"/>
              <w:rPr>
                <w:sz w:val="20"/>
                <w:szCs w:val="20"/>
                <w:color w:val="auto"/>
              </w:rPr>
            </w:pPr>
            <w:r>
              <w:rPr>
                <w:rFonts w:ascii="Times New Roman" w:cs="Times New Roman" w:eastAsia="Times New Roman" w:hAnsi="Times New Roman"/>
                <w:sz w:val="20"/>
                <w:szCs w:val="20"/>
                <w:color w:val="auto"/>
                <w:w w:val="99"/>
              </w:rPr>
              <w:t>by) an investment fund it manages; (ii) Point72 Capital Advisors, Inc. (“Point72 Capital Advisors Inc.”) with respect</w:t>
            </w:r>
          </w:p>
        </w:tc>
      </w:tr>
      <w:tr>
        <w:trPr>
          <w:trHeight w:val="20"/>
        </w:trPr>
        <w:tc>
          <w:tcPr>
            <w:tcW w:w="1260" w:type="dxa"/>
            <w:vAlign w:val="bottom"/>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300" w:type="dxa"/>
            <w:vAlign w:val="bottom"/>
            <w:gridSpan w:val="2"/>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7"/>
        </w:trPr>
        <w:tc>
          <w:tcPr>
            <w:tcW w:w="1260" w:type="dxa"/>
            <w:vAlign w:val="bottom"/>
          </w:tcPr>
          <w:p>
            <w:pPr>
              <w:spacing w:after="0"/>
              <w:rPr>
                <w:sz w:val="19"/>
                <w:szCs w:val="19"/>
                <w:color w:val="auto"/>
              </w:rPr>
            </w:pPr>
          </w:p>
        </w:tc>
        <w:tc>
          <w:tcPr>
            <w:tcW w:w="9780" w:type="dxa"/>
            <w:vAlign w:val="bottom"/>
            <w:gridSpan w:val="11"/>
          </w:tcPr>
          <w:p>
            <w:pPr>
              <w:ind w:left="440"/>
              <w:spacing w:after="0" w:line="228" w:lineRule="exact"/>
              <w:rPr>
                <w:sz w:val="20"/>
                <w:szCs w:val="20"/>
                <w:color w:val="auto"/>
              </w:rPr>
            </w:pPr>
            <w:r>
              <w:rPr>
                <w:rFonts w:ascii="Times New Roman" w:cs="Times New Roman" w:eastAsia="Times New Roman" w:hAnsi="Times New Roman"/>
                <w:sz w:val="20"/>
                <w:szCs w:val="20"/>
                <w:color w:val="auto"/>
              </w:rPr>
              <w:t>to the Shares of Common Stock held by (and underlying warrants held by) an investment fund managed by Point72</w:t>
            </w:r>
          </w:p>
        </w:tc>
      </w:tr>
      <w:tr>
        <w:trPr>
          <w:trHeight w:val="212"/>
        </w:trPr>
        <w:tc>
          <w:tcPr>
            <w:tcW w:w="1260" w:type="dxa"/>
            <w:vAlign w:val="bottom"/>
          </w:tcPr>
          <w:p>
            <w:pPr>
              <w:spacing w:after="0"/>
              <w:rPr>
                <w:sz w:val="18"/>
                <w:szCs w:val="18"/>
                <w:color w:val="auto"/>
              </w:rPr>
            </w:pPr>
          </w:p>
        </w:tc>
        <w:tc>
          <w:tcPr>
            <w:tcW w:w="9780" w:type="dxa"/>
            <w:vAlign w:val="bottom"/>
            <w:gridSpan w:val="11"/>
          </w:tcPr>
          <w:p>
            <w:pPr>
              <w:ind w:left="440"/>
              <w:spacing w:after="0" w:line="212" w:lineRule="exact"/>
              <w:rPr>
                <w:sz w:val="20"/>
                <w:szCs w:val="20"/>
                <w:color w:val="auto"/>
              </w:rPr>
            </w:pPr>
            <w:r>
              <w:rPr>
                <w:rFonts w:ascii="Times New Roman" w:cs="Times New Roman" w:eastAsia="Times New Roman" w:hAnsi="Times New Roman"/>
                <w:sz w:val="20"/>
                <w:szCs w:val="20"/>
                <w:color w:val="auto"/>
              </w:rPr>
              <w:t>Asset Management; and (iii) Steven A. Cohen (“Mr. Cohen”) with respect to the shares of Common Stock</w:t>
            </w:r>
          </w:p>
        </w:tc>
      </w:tr>
      <w:tr>
        <w:trPr>
          <w:trHeight w:val="20"/>
        </w:trPr>
        <w:tc>
          <w:tcPr>
            <w:tcW w:w="1260" w:type="dxa"/>
            <w:vAlign w:val="bottom"/>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beneficially owned by Point72 Asset Management and Point72 Capital Advisors Inc.</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w:t>
            </w:r>
          </w:p>
        </w:tc>
      </w:tr>
      <w:tr>
        <w:trPr>
          <w:trHeight w:val="229"/>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The address of the principal business office of Point72 Asset Management, Point72 Capital Advisors Inc., and Mr.</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Cohen is 72 Cummings Point Road, Stamford, CT 06902.</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Place of Organization:</w:t>
            </w:r>
          </w:p>
        </w:tc>
      </w:tr>
      <w:tr>
        <w:trPr>
          <w:trHeight w:val="229"/>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Point72 Asset Management is a Delaware limited partnership. Point72 Capital Advisors Inc. is a Delaware</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corporation. Mr. Cohen is a United States citizen.</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Common Stock, par value $0.001 per share.</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92840H400</w:t>
            </w:r>
          </w:p>
        </w:tc>
      </w:tr>
      <w:tr>
        <w:trPr>
          <w:trHeight w:val="42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3.</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If this Statement is Filed Pursuant to §§ 240.13d-1(b) or 240.13d-2(b), or (c), check whether the Person Filing</w:t>
            </w:r>
          </w:p>
        </w:tc>
      </w:tr>
      <w:tr>
        <w:trPr>
          <w:trHeight w:val="233"/>
        </w:trPr>
        <w:tc>
          <w:tcPr>
            <w:tcW w:w="1260" w:type="dxa"/>
            <w:vAlign w:val="bottom"/>
          </w:tcPr>
          <w:p>
            <w:pPr>
              <w:spacing w:after="0"/>
              <w:rPr>
                <w:sz w:val="20"/>
                <w:szCs w:val="20"/>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is a:</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Not applicable.</w:t>
            </w:r>
          </w:p>
        </w:tc>
      </w:tr>
      <w:tr>
        <w:trPr>
          <w:trHeight w:val="4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4.</w:t>
            </w: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Ownership:</w:t>
            </w:r>
          </w:p>
        </w:tc>
      </w:tr>
      <w:tr>
        <w:trPr>
          <w:trHeight w:val="229"/>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w:t>
            </w:r>
          </w:p>
        </w:tc>
      </w:tr>
      <w:tr>
        <w:trPr>
          <w:trHeight w:val="230"/>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Person hereto and is incorporated herein by reference for each Reporting Person. Such information is as of the close</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of business on December 31, 2023.</w:t>
            </w:r>
          </w:p>
        </w:tc>
      </w:tr>
      <w:tr>
        <w:trPr>
          <w:trHeight w:val="430"/>
        </w:trPr>
        <w:tc>
          <w:tcPr>
            <w:tcW w:w="1260" w:type="dxa"/>
            <w:vAlign w:val="bottom"/>
          </w:tcPr>
          <w:p>
            <w:pPr>
              <w:spacing w:after="0"/>
              <w:rPr>
                <w:sz w:val="24"/>
                <w:szCs w:val="24"/>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w w:val="98"/>
              </w:rPr>
              <w:t>Point72 Asset Management, Point72 Capital Advisors Inc., and Mr. Cohen own directly no shares of Common Stock.</w:t>
            </w:r>
          </w:p>
        </w:tc>
      </w:tr>
      <w:tr>
        <w:trPr>
          <w:trHeight w:val="230"/>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Pursuant to an investment management agreement, Point72 Asset Management maintains investment and voting</w:t>
            </w:r>
          </w:p>
        </w:tc>
      </w:tr>
      <w:tr>
        <w:trPr>
          <w:trHeight w:val="230"/>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power with respect to the securities held by an investment fund it manages. Point72 Capital Advisors Inc. is the</w:t>
            </w:r>
          </w:p>
        </w:tc>
      </w:tr>
      <w:tr>
        <w:trPr>
          <w:trHeight w:val="230"/>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general partner of Point72 Asset Management. Mr. Cohen controls each of Point72 Asset Management and Point72</w:t>
            </w:r>
          </w:p>
        </w:tc>
      </w:tr>
      <w:tr>
        <w:trPr>
          <w:trHeight w:val="229"/>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Capital Advisors Inc.  The filing of this statement should not be construed as an admission that any of the foregoing</w:t>
            </w:r>
          </w:p>
        </w:tc>
      </w:tr>
      <w:tr>
        <w:trPr>
          <w:trHeight w:val="230"/>
        </w:trPr>
        <w:tc>
          <w:tcPr>
            <w:tcW w:w="1260" w:type="dxa"/>
            <w:vAlign w:val="bottom"/>
          </w:tcPr>
          <w:p>
            <w:pPr>
              <w:spacing w:after="0"/>
              <w:rPr>
                <w:sz w:val="19"/>
                <w:szCs w:val="19"/>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persons or any Reporting Person is, for the purposes of Section 13 of the Act, the beneficial owner of the shares of</w:t>
            </w:r>
          </w:p>
        </w:tc>
      </w:tr>
      <w:tr>
        <w:trPr>
          <w:trHeight w:val="258"/>
        </w:trPr>
        <w:tc>
          <w:tcPr>
            <w:tcW w:w="1260" w:type="dxa"/>
            <w:vAlign w:val="bottom"/>
          </w:tcPr>
          <w:p>
            <w:pPr>
              <w:spacing w:after="0"/>
              <w:rPr>
                <w:sz w:val="22"/>
                <w:szCs w:val="22"/>
                <w:color w:val="auto"/>
              </w:rPr>
            </w:pPr>
          </w:p>
        </w:tc>
        <w:tc>
          <w:tcPr>
            <w:tcW w:w="9780" w:type="dxa"/>
            <w:vAlign w:val="bottom"/>
            <w:gridSpan w:val="11"/>
          </w:tcPr>
          <w:p>
            <w:pPr>
              <w:ind w:left="440"/>
              <w:spacing w:after="0"/>
              <w:rPr>
                <w:sz w:val="20"/>
                <w:szCs w:val="20"/>
                <w:color w:val="auto"/>
              </w:rPr>
            </w:pPr>
            <w:r>
              <w:rPr>
                <w:rFonts w:ascii="Times New Roman" w:cs="Times New Roman" w:eastAsia="Times New Roman" w:hAnsi="Times New Roman"/>
                <w:sz w:val="20"/>
                <w:szCs w:val="20"/>
                <w:color w:val="auto"/>
              </w:rPr>
              <w:t>Common Stock reported herein.</w:t>
            </w:r>
          </w:p>
        </w:tc>
      </w:tr>
    </w:tbl>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92840H400</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6" w:lineRule="exact"/>
        <w:rPr>
          <w:sz w:val="20"/>
          <w:szCs w:val="20"/>
          <w:color w:val="auto"/>
        </w:rPr>
      </w:pPr>
    </w:p>
    <w:p>
      <w:pPr>
        <w:ind w:left="1800" w:right="100"/>
        <w:spacing w:after="0" w:line="254" w:lineRule="exact"/>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See item 2(a).</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Identification and Classification of the Subsidiary Which Acquired the Security Being Reported on by the</w:t>
      </w:r>
    </w:p>
    <w:p>
      <w:pPr>
        <w:spacing w:after="0" w:line="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Parent Holding Company or Control Person:</w:t>
      </w: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3"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By signing below each Reporting Person certifies that, to the best of its knowledge and belief, the securities referred</w:t>
      </w:r>
    </w:p>
    <w:p>
      <w:pPr>
        <w:ind w:left="1800"/>
        <w:spacing w:after="0"/>
        <w:rPr>
          <w:sz w:val="20"/>
          <w:szCs w:val="20"/>
          <w:color w:val="auto"/>
        </w:rPr>
      </w:pPr>
      <w:r>
        <w:rPr>
          <w:rFonts w:ascii="Times New Roman" w:cs="Times New Roman" w:eastAsia="Times New Roman" w:hAnsi="Times New Roman"/>
          <w:sz w:val="20"/>
          <w:szCs w:val="20"/>
          <w:color w:val="auto"/>
        </w:rPr>
        <w:t>to above were not acquired and are not held for the purpose of or with the effect of changing or influencing the</w:t>
      </w:r>
    </w:p>
    <w:p>
      <w:pPr>
        <w:jc w:val="right"/>
        <w:ind w:right="100"/>
        <w:spacing w:after="0"/>
        <w:rPr>
          <w:sz w:val="20"/>
          <w:szCs w:val="20"/>
          <w:color w:val="auto"/>
        </w:rPr>
      </w:pPr>
      <w:r>
        <w:rPr>
          <w:rFonts w:ascii="Times New Roman" w:cs="Times New Roman" w:eastAsia="Times New Roman" w:hAnsi="Times New Roman"/>
          <w:sz w:val="20"/>
          <w:szCs w:val="20"/>
          <w:color w:val="auto"/>
        </w:rPr>
        <w:t>control of the issuer of the securities and were not acquired and are not held in connection with or as a participant in</w:t>
      </w:r>
    </w:p>
    <w:p>
      <w:pPr>
        <w:ind w:left="1800"/>
        <w:spacing w:after="0"/>
        <w:rPr>
          <w:sz w:val="20"/>
          <w:szCs w:val="20"/>
          <w:color w:val="auto"/>
        </w:rPr>
      </w:pPr>
      <w:r>
        <w:rPr>
          <w:rFonts w:ascii="Times New Roman" w:cs="Times New Roman" w:eastAsia="Times New Roman" w:hAnsi="Times New Roman"/>
          <w:sz w:val="20"/>
          <w:szCs w:val="20"/>
          <w:color w:val="auto"/>
        </w:rPr>
        <w:t>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92840H400</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220"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each of the undersigned certifies that the information set forth in this statement is true, complete and correct.</w:t>
      </w:r>
    </w:p>
    <w:p>
      <w:pPr>
        <w:spacing w:after="0" w:line="1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February 14, 2024</w:t>
      </w:r>
    </w:p>
    <w:p>
      <w:pPr>
        <w:spacing w:after="0" w:line="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POINT72 ASSET MANAGEMENT, L.P.</w:t>
      </w: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M. Colombo</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Name: Jason M. Colombo</w:t>
      </w:r>
    </w:p>
    <w:p>
      <w:pPr>
        <w:ind w:left="550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POINT72 CAPITAL ADVISORS, INC.</w:t>
      </w: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M. Colombo</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Name: Jason M. Colombo</w:t>
      </w:r>
    </w:p>
    <w:p>
      <w:pPr>
        <w:ind w:left="5500"/>
        <w:spacing w:after="0"/>
        <w:tabs>
          <w:tab w:leader="none" w:pos="6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Person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STEVEN A. COHEN</w:t>
      </w: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M. Colombo</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Name: Jason M. Colombo</w:t>
      </w:r>
    </w:p>
    <w:p>
      <w:pPr>
        <w:ind w:left="5500"/>
        <w:spacing w:after="0"/>
        <w:tabs>
          <w:tab w:leader="none" w:pos="6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Person</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ý"/>
      <w:numFmt w:val="bullet"/>
      <w:start w:val="1"/>
    </w:lvl>
    <w:lvl w:ilvl="1">
      <w:lvlJc w:val="left"/>
      <w:lvlText w:val="☐"/>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3"/>
      <w:numFmt w:val="bullet"/>
      <w:start w:val="1"/>
    </w:lvl>
  </w:abstractNum>
  <w:abstractNum w:abstractNumId="3">
    <w:nsid w:val="625558EC"/>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2024-02-14T07:57:53Z</dcterms:created>
  <dcterms:modified xsi:type="dcterms:W3CDTF">2024-02-14T07:57:53Z</dcterms:modified>
</cp:coreProperties>
</file>