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 w:lineRule="exact"/>
        <w:rPr>
          <w:sz w:val="24"/>
          <w:szCs w:val="24"/>
          <w:color w:val="auto"/>
        </w:rPr>
      </w:pPr>
    </w:p>
    <w:p>
      <w:pPr>
        <w:jc w:val="both"/>
        <w:ind w:right="9720" w:firstLine="459"/>
        <w:spacing w:after="0" w:line="217" w:lineRule="exact"/>
        <w:rPr>
          <w:sz w:val="24"/>
          <w:szCs w:val="24"/>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Rule 13d-1(d)</w:t>
      </w:r>
    </w:p>
    <w:p>
      <w:pPr>
        <w:spacing w:after="0" w:line="198" w:lineRule="exact"/>
        <w:rPr>
          <w:sz w:val="24"/>
          <w:szCs w:val="24"/>
          <w:color w:val="auto"/>
        </w:rPr>
      </w:pPr>
    </w:p>
    <w:p>
      <w:pPr>
        <w:ind w:firstLine="8"/>
        <w:spacing w:after="0" w:line="195" w:lineRule="auto"/>
        <w:tabs>
          <w:tab w:leader="none" w:pos="117"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489" w:right="379" w:bottom="1440" w:gutter="0" w:footer="0" w:header="0"/>
        </w:sectPr>
      </w:pPr>
    </w:p>
    <w:bookmarkStart w:id="1" w:name="page2"/>
    <w:bookmarkEnd w:id="1"/>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92840H202</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8 Pages</w:t>
      </w:r>
    </w:p>
    <w:p>
      <w:pPr>
        <w:spacing w:after="0" w:line="162" w:lineRule="exact"/>
        <w:rPr>
          <w:sz w:val="20"/>
          <w:szCs w:val="20"/>
          <w:color w:val="auto"/>
        </w:rPr>
      </w:pPr>
    </w:p>
    <w:p>
      <w:pPr>
        <w:ind w:left="580" w:hanging="36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08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Rosalind Advisors, Inc.</w:t>
      </w:r>
    </w:p>
    <w:p>
      <w:pPr>
        <w:spacing w:after="0" w:line="1" w:lineRule="exact"/>
        <w:rPr>
          <w:rFonts w:ascii="Times New Roman" w:cs="Times New Roman" w:eastAsia="Times New Roman" w:hAnsi="Times New Roman"/>
          <w:sz w:val="18"/>
          <w:szCs w:val="18"/>
          <w:color w:val="auto"/>
        </w:rPr>
      </w:pPr>
    </w:p>
    <w:p>
      <w:pPr>
        <w:ind w:left="580" w:right="5700" w:hanging="369"/>
        <w:spacing w:after="0" w:line="261"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tabs>
          <w:tab w:leader="none" w:pos="0" w:val="left"/>
        </w:tabs>
        <w:numPr>
          <w:ilvl w:val="1"/>
          <w:numId w:val="3"/>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1"/>
          <w:numId w:val="3"/>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580" w:hanging="36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3" w:lineRule="exact"/>
        <w:rPr>
          <w:rFonts w:ascii="Times New Roman" w:cs="Times New Roman" w:eastAsia="Times New Roman" w:hAnsi="Times New Roman"/>
          <w:sz w:val="18"/>
          <w:szCs w:val="18"/>
          <w:color w:val="auto"/>
        </w:rPr>
      </w:pPr>
    </w:p>
    <w:p>
      <w:pPr>
        <w:ind w:left="580" w:right="7000" w:hanging="369"/>
        <w:spacing w:after="0" w:line="391"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ONTARIO, CANADA</w:t>
      </w:r>
    </w:p>
    <w:p>
      <w:pPr>
        <w:ind w:left="2280" w:hanging="368"/>
        <w:spacing w:after="0"/>
        <w:tabs>
          <w:tab w:leader="none" w:pos="22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80" w:type="dxa"/>
            <w:vAlign w:val="bottom"/>
            <w:vMerge w:val="continue"/>
          </w:tcPr>
          <w:p>
            <w:pPr>
              <w:spacing w:after="0"/>
              <w:rPr>
                <w:sz w:val="6"/>
                <w:szCs w:val="6"/>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PERSON WITH</w:t>
            </w:r>
          </w:p>
        </w:tc>
        <w:tc>
          <w:tcPr>
            <w:tcW w:w="460" w:type="dxa"/>
            <w:vAlign w:val="bottom"/>
            <w:tcBorders>
              <w:bottom w:val="single" w:sz="8" w:color="auto"/>
            </w:tcBorders>
          </w:tcPr>
          <w:p>
            <w:pPr>
              <w:spacing w:after="0"/>
              <w:rPr>
                <w:sz w:val="12"/>
                <w:szCs w:val="12"/>
                <w:color w:val="auto"/>
              </w:rPr>
            </w:pPr>
          </w:p>
        </w:tc>
        <w:tc>
          <w:tcPr>
            <w:tcW w:w="9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color w:val="auto"/>
        </w:rPr>
        <w:t>9.</w:t>
        <w:tab/>
        <w:t>AGGREGATE AMOUNT BENEFICIALLY OWNED BY EACH REPORTING PERSON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80" w:right="4020" w:hanging="459"/>
        <w:spacing w:after="0" w:line="232" w:lineRule="exact"/>
        <w:tabs>
          <w:tab w:leader="none" w:pos="560" w:val="left"/>
        </w:tabs>
        <w:rPr>
          <w:sz w:val="20"/>
          <w:szCs w:val="20"/>
          <w:color w:val="auto"/>
        </w:rPr>
      </w:pPr>
      <w:r>
        <w:rPr>
          <w:rFonts w:ascii="Times New Roman" w:cs="Times New Roman" w:eastAsia="Times New Roman" w:hAnsi="Times New Roman"/>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193" w:lineRule="exact"/>
        <w:rPr>
          <w:sz w:val="20"/>
          <w:szCs w:val="20"/>
          <w:color w:val="auto"/>
        </w:rPr>
      </w:pP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11.</w:t>
        <w:tab/>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12.</w:t>
        <w:tab/>
        <w:t>TYPE OF REPORTING PERSON (see instructions)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4" w:lineRule="exact"/>
        <w:rPr>
          <w:sz w:val="20"/>
          <w:szCs w:val="20"/>
          <w:color w:val="auto"/>
        </w:rPr>
      </w:pPr>
    </w:p>
    <w:p>
      <w:pPr>
        <w:ind w:right="32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percentage is calculated based upon 73,998,057 shares of the Issuer’s common stock outstanding as of August 13, 2020 in accordance with 10-Q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92840H202</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8 Pages</w:t>
      </w:r>
    </w:p>
    <w:p>
      <w:pPr>
        <w:spacing w:after="0" w:line="162" w:lineRule="exact"/>
        <w:rPr>
          <w:sz w:val="20"/>
          <w:szCs w:val="20"/>
          <w:color w:val="auto"/>
        </w:rPr>
      </w:pPr>
    </w:p>
    <w:p>
      <w:pPr>
        <w:ind w:left="580" w:hanging="36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08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Steven Salamon</w:t>
      </w:r>
    </w:p>
    <w:p>
      <w:pPr>
        <w:spacing w:after="0" w:line="1" w:lineRule="exact"/>
        <w:rPr>
          <w:rFonts w:ascii="Times New Roman" w:cs="Times New Roman" w:eastAsia="Times New Roman" w:hAnsi="Times New Roman"/>
          <w:sz w:val="18"/>
          <w:szCs w:val="18"/>
          <w:color w:val="auto"/>
        </w:rPr>
      </w:pPr>
    </w:p>
    <w:p>
      <w:pPr>
        <w:ind w:left="580" w:right="5700" w:hanging="369"/>
        <w:spacing w:after="0" w:line="26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tabs>
          <w:tab w:leader="none" w:pos="0" w:val="left"/>
        </w:tabs>
        <w:numPr>
          <w:ilvl w:val="1"/>
          <w:numId w:val="5"/>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1"/>
          <w:numId w:val="5"/>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580" w:hanging="36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3" w:lineRule="exact"/>
        <w:rPr>
          <w:rFonts w:ascii="Times New Roman" w:cs="Times New Roman" w:eastAsia="Times New Roman" w:hAnsi="Times New Roman"/>
          <w:sz w:val="18"/>
          <w:szCs w:val="18"/>
          <w:color w:val="auto"/>
        </w:rPr>
      </w:pPr>
    </w:p>
    <w:p>
      <w:pPr>
        <w:ind w:left="580" w:right="7000" w:hanging="369"/>
        <w:spacing w:after="0" w:line="39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ONTARIO, CANADA</w:t>
      </w:r>
    </w:p>
    <w:p>
      <w:pPr>
        <w:ind w:left="2280" w:hanging="368"/>
        <w:spacing w:after="0"/>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80" w:type="dxa"/>
            <w:vAlign w:val="bottom"/>
            <w:vMerge w:val="continue"/>
          </w:tcPr>
          <w:p>
            <w:pPr>
              <w:spacing w:after="0"/>
              <w:rPr>
                <w:sz w:val="6"/>
                <w:szCs w:val="6"/>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PERSON WITH</w:t>
            </w:r>
          </w:p>
        </w:tc>
        <w:tc>
          <w:tcPr>
            <w:tcW w:w="460" w:type="dxa"/>
            <w:vAlign w:val="bottom"/>
            <w:tcBorders>
              <w:bottom w:val="single" w:sz="8" w:color="auto"/>
            </w:tcBorders>
          </w:tcPr>
          <w:p>
            <w:pPr>
              <w:spacing w:after="0"/>
              <w:rPr>
                <w:sz w:val="12"/>
                <w:szCs w:val="12"/>
                <w:color w:val="auto"/>
              </w:rPr>
            </w:pPr>
          </w:p>
        </w:tc>
        <w:tc>
          <w:tcPr>
            <w:tcW w:w="9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color w:val="auto"/>
        </w:rPr>
        <w:t>9.</w:t>
        <w:tab/>
        <w:t>AGGREGATE AMOUNT BENEFICIALLY OWNED BY EACH REPORTING PERSON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80" w:right="4020" w:hanging="459"/>
        <w:spacing w:after="0" w:line="232" w:lineRule="exact"/>
        <w:tabs>
          <w:tab w:leader="none" w:pos="560" w:val="left"/>
        </w:tabs>
        <w:rPr>
          <w:sz w:val="20"/>
          <w:szCs w:val="20"/>
          <w:color w:val="auto"/>
        </w:rPr>
      </w:pPr>
      <w:r>
        <w:rPr>
          <w:rFonts w:ascii="Times New Roman" w:cs="Times New Roman" w:eastAsia="Times New Roman" w:hAnsi="Times New Roman"/>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193" w:lineRule="exact"/>
        <w:rPr>
          <w:sz w:val="20"/>
          <w:szCs w:val="20"/>
          <w:color w:val="auto"/>
        </w:rPr>
      </w:pP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11.</w:t>
        <w:tab/>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12.</w:t>
        <w:tab/>
        <w:t>TYPE OF REPORTING PERSON (see instructions)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92840H202</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8 Pages</w:t>
      </w:r>
    </w:p>
    <w:p>
      <w:pPr>
        <w:spacing w:after="0" w:line="162" w:lineRule="exact"/>
        <w:rPr>
          <w:sz w:val="20"/>
          <w:szCs w:val="20"/>
          <w:color w:val="auto"/>
        </w:rPr>
      </w:pPr>
    </w:p>
    <w:p>
      <w:pPr>
        <w:ind w:left="580" w:hanging="36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08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Rosalind Master Fund L.P.</w:t>
      </w:r>
    </w:p>
    <w:p>
      <w:pPr>
        <w:spacing w:after="0" w:line="1" w:lineRule="exact"/>
        <w:rPr>
          <w:rFonts w:ascii="Times New Roman" w:cs="Times New Roman" w:eastAsia="Times New Roman" w:hAnsi="Times New Roman"/>
          <w:sz w:val="18"/>
          <w:szCs w:val="18"/>
          <w:color w:val="auto"/>
        </w:rPr>
      </w:pPr>
    </w:p>
    <w:p>
      <w:pPr>
        <w:ind w:left="580" w:right="5700" w:hanging="369"/>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tabs>
          <w:tab w:leader="none" w:pos="0" w:val="left"/>
        </w:tabs>
        <w:numPr>
          <w:ilvl w:val="1"/>
          <w:numId w:val="6"/>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spacing w:after="0"/>
        <w:tabs>
          <w:tab w:leader="none" w:pos="0" w:val="left"/>
        </w:tabs>
        <w:numPr>
          <w:ilvl w:val="1"/>
          <w:numId w:val="6"/>
        </w:numPr>
        <w:rPr>
          <w:rFonts w:ascii="Times New Roman" w:cs="Times New Roman" w:eastAsia="Times New Roman" w:hAnsi="Times New Roman"/>
          <w:sz w:val="18"/>
          <w:szCs w:val="18"/>
          <w:color w:val="auto"/>
        </w:rPr>
      </w:pPr>
    </w:p>
    <w:p>
      <w:pPr>
        <w:spacing w:after="0" w:line="9" w:lineRule="exact"/>
        <w:rPr>
          <w:rFonts w:ascii="Times New Roman" w:cs="Times New Roman" w:eastAsia="Times New Roman" w:hAnsi="Times New Roman"/>
          <w:sz w:val="18"/>
          <w:szCs w:val="18"/>
          <w:color w:val="auto"/>
        </w:rPr>
      </w:pPr>
    </w:p>
    <w:p>
      <w:pPr>
        <w:ind w:left="580" w:hanging="369"/>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3" w:lineRule="exact"/>
        <w:rPr>
          <w:rFonts w:ascii="Times New Roman" w:cs="Times New Roman" w:eastAsia="Times New Roman" w:hAnsi="Times New Roman"/>
          <w:sz w:val="18"/>
          <w:szCs w:val="18"/>
          <w:color w:val="auto"/>
        </w:rPr>
      </w:pPr>
    </w:p>
    <w:p>
      <w:pPr>
        <w:ind w:left="580" w:right="7000" w:hanging="369"/>
        <w:spacing w:after="0" w:line="39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ind w:left="2280" w:hanging="368"/>
        <w:spacing w:after="0"/>
        <w:tabs>
          <w:tab w:leader="none" w:pos="22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3"/>
        </w:trPr>
        <w:tc>
          <w:tcPr>
            <w:tcW w:w="1480" w:type="dxa"/>
            <w:vAlign w:val="bottom"/>
            <w:vMerge w:val="continue"/>
          </w:tcPr>
          <w:p>
            <w:pPr>
              <w:spacing w:after="0"/>
              <w:rPr>
                <w:sz w:val="7"/>
                <w:szCs w:val="7"/>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80" w:type="dxa"/>
            <w:vAlign w:val="bottom"/>
            <w:vMerge w:val="continue"/>
          </w:tcPr>
          <w:p>
            <w:pPr>
              <w:spacing w:after="0"/>
              <w:rPr>
                <w:sz w:val="6"/>
                <w:szCs w:val="6"/>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4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PERSON WITH</w:t>
            </w:r>
          </w:p>
        </w:tc>
        <w:tc>
          <w:tcPr>
            <w:tcW w:w="460" w:type="dxa"/>
            <w:vAlign w:val="bottom"/>
            <w:tcBorders>
              <w:bottom w:val="single" w:sz="8" w:color="auto"/>
            </w:tcBorders>
          </w:tcPr>
          <w:p>
            <w:pPr>
              <w:spacing w:after="0"/>
              <w:rPr>
                <w:sz w:val="12"/>
                <w:szCs w:val="12"/>
                <w:color w:val="auto"/>
              </w:rPr>
            </w:pPr>
          </w:p>
        </w:tc>
        <w:tc>
          <w:tcPr>
            <w:tcW w:w="9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80" w:type="dxa"/>
            <w:vAlign w:val="bottom"/>
            <w:vMerge w:val="continue"/>
          </w:tcPr>
          <w:p>
            <w:pPr>
              <w:spacing w:after="0"/>
              <w:rPr>
                <w:sz w:val="6"/>
                <w:szCs w:val="6"/>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4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560" w:val="left"/>
        </w:tabs>
        <w:rPr>
          <w:sz w:val="20"/>
          <w:szCs w:val="20"/>
          <w:color w:val="auto"/>
        </w:rPr>
      </w:pPr>
      <w:r>
        <w:rPr>
          <w:rFonts w:ascii="Times New Roman" w:cs="Times New Roman" w:eastAsia="Times New Roman" w:hAnsi="Times New Roman"/>
          <w:sz w:val="18"/>
          <w:szCs w:val="18"/>
          <w:color w:val="auto"/>
        </w:rPr>
        <w:t>9.</w:t>
        <w:tab/>
        <w:t>AGGREGATE AMOUNT BENEFICIALLY OWNED BY EACH REPORTING PERSON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80" w:right="4020" w:hanging="459"/>
        <w:spacing w:after="0" w:line="232" w:lineRule="exact"/>
        <w:tabs>
          <w:tab w:leader="none" w:pos="560" w:val="left"/>
        </w:tabs>
        <w:rPr>
          <w:sz w:val="20"/>
          <w:szCs w:val="20"/>
          <w:color w:val="auto"/>
        </w:rPr>
      </w:pPr>
      <w:r>
        <w:rPr>
          <w:rFonts w:ascii="Times New Roman" w:cs="Times New Roman" w:eastAsia="Times New Roman" w:hAnsi="Times New Roman"/>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193" w:lineRule="exact"/>
        <w:rPr>
          <w:sz w:val="20"/>
          <w:szCs w:val="20"/>
          <w:color w:val="auto"/>
        </w:rPr>
      </w:pP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11.</w:t>
        <w:tab/>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20"/>
        <w:spacing w:after="0"/>
        <w:tabs>
          <w:tab w:leader="none" w:pos="560" w:val="left"/>
        </w:tabs>
        <w:rPr>
          <w:sz w:val="20"/>
          <w:szCs w:val="20"/>
          <w:color w:val="auto"/>
        </w:rPr>
      </w:pPr>
      <w:r>
        <w:rPr>
          <w:rFonts w:ascii="Times New Roman" w:cs="Times New Roman" w:eastAsia="Times New Roman" w:hAnsi="Times New Roman"/>
          <w:sz w:val="18"/>
          <w:szCs w:val="18"/>
          <w:color w:val="auto"/>
        </w:rPr>
        <w:t>12.</w:t>
        <w:tab/>
        <w:t>TYPE OF REPORTING PERSON (see instructions)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4" w:lineRule="exact"/>
        <w:rPr>
          <w:sz w:val="20"/>
          <w:szCs w:val="20"/>
          <w:color w:val="auto"/>
        </w:rPr>
      </w:pPr>
    </w:p>
    <w:p>
      <w:pPr>
        <w:ind w:right="320" w:firstLine="8"/>
        <w:spacing w:after="0" w:line="195"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percentage is calculated based upon 73,998,057 shares of the Issuer’s common stock outstanding as of August 13, 2020 in accordance with 10-Q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tc>
        <w:tc>
          <w:tcPr>
            <w:tcW w:w="220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920" w:hanging="453"/>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VistaGen Therapeutics, Inc.</w:t>
      </w:r>
    </w:p>
    <w:p>
      <w:pPr>
        <w:spacing w:after="0" w:line="225" w:lineRule="exact"/>
        <w:rPr>
          <w:rFonts w:ascii="Times New Roman" w:cs="Times New Roman" w:eastAsia="Times New Roman" w:hAnsi="Times New Roman"/>
          <w:sz w:val="18"/>
          <w:szCs w:val="18"/>
          <w:color w:val="auto"/>
        </w:rPr>
      </w:pPr>
    </w:p>
    <w:p>
      <w:pPr>
        <w:ind w:left="920" w:right="4920" w:hanging="453"/>
        <w:spacing w:after="0" w:line="261" w:lineRule="auto"/>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343 Allerton Avenue</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920" w:hanging="453"/>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920" w:right="5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Rosalind Advisors, Inc. (“Advisor” to RMF) Rosalind Master Fund L.P. (“RMF”)</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Salamon (“President”)</w:t>
      </w:r>
    </w:p>
    <w:p>
      <w:pPr>
        <w:spacing w:after="0" w:line="9"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Salamon is the portfolio manager of the Advisor which advises RMF.</w:t>
      </w:r>
    </w:p>
    <w:p>
      <w:pPr>
        <w:spacing w:after="0" w:line="9"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Gilad Aharon is the portfolio manager and member of the Advisor which advises RMF.</w:t>
      </w:r>
    </w:p>
    <w:p>
      <w:pPr>
        <w:spacing w:after="0" w:line="218" w:lineRule="exact"/>
        <w:rPr>
          <w:rFonts w:ascii="Times New Roman" w:cs="Times New Roman" w:eastAsia="Times New Roman" w:hAnsi="Times New Roman"/>
          <w:sz w:val="18"/>
          <w:szCs w:val="18"/>
          <w:color w:val="auto"/>
        </w:rPr>
      </w:pPr>
    </w:p>
    <w:p>
      <w:pPr>
        <w:ind w:left="920" w:right="4540" w:hanging="453"/>
        <w:spacing w:after="0" w:line="261"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the Principal Office or, if none, residence Rosalind Advisors, Inc.</w:t>
      </w:r>
    </w:p>
    <w:p>
      <w:pPr>
        <w:ind w:left="920" w:right="6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Bloor Street East Suite 1316, North Tower Toronto, Ontario M4W 3R8 Canada</w:t>
      </w:r>
    </w:p>
    <w:p>
      <w:pPr>
        <w:spacing w:after="0" w:line="188" w:lineRule="exact"/>
        <w:rPr>
          <w:rFonts w:ascii="Times New Roman" w:cs="Times New Roman" w:eastAsia="Times New Roman" w:hAnsi="Times New Roman"/>
          <w:sz w:val="18"/>
          <w:szCs w:val="18"/>
          <w:color w:val="auto"/>
        </w:rPr>
      </w:pPr>
    </w:p>
    <w:p>
      <w:pPr>
        <w:ind w:left="920" w:right="6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Rosalind Master Fund L.P. P.O. Box 309</w:t>
      </w:r>
    </w:p>
    <w:p>
      <w:pPr>
        <w:ind w:left="920" w:right="61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Ugland House, Grand Cayman KY1-1104, Cayman Islands</w:t>
      </w:r>
    </w:p>
    <w:p>
      <w:pPr>
        <w:spacing w:after="0" w:line="15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Salamon</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Bloor Street East</w:t>
      </w:r>
    </w:p>
    <w:p>
      <w:pPr>
        <w:spacing w:after="0" w:line="9"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Suite 1316, North Tower</w:t>
      </w:r>
    </w:p>
    <w:p>
      <w:pPr>
        <w:spacing w:after="0" w:line="12" w:lineRule="exact"/>
        <w:rPr>
          <w:rFonts w:ascii="Times New Roman" w:cs="Times New Roman" w:eastAsia="Times New Roman" w:hAnsi="Times New Roman"/>
          <w:sz w:val="18"/>
          <w:szCs w:val="18"/>
          <w:color w:val="auto"/>
        </w:rPr>
      </w:pPr>
    </w:p>
    <w:p>
      <w:pPr>
        <w:ind w:left="920" w:right="698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Toronto, Ontario M4W 3R8 Canada</w:t>
      </w:r>
    </w:p>
    <w:p>
      <w:pPr>
        <w:spacing w:after="0" w:line="15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Rosalind Advisors, Inc.: Ontario, Canada</w:t>
      </w:r>
    </w:p>
    <w:p>
      <w:pPr>
        <w:spacing w:after="0" w:line="206"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Rosalind Master Fund L.P.: Cayman Islands</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Salamon: Ontario, Canada</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Gilad Aharon: Ontario, Canada</w:t>
      </w:r>
    </w:p>
    <w:p>
      <w:pPr>
        <w:spacing w:after="0" w:line="225" w:lineRule="exact"/>
        <w:rPr>
          <w:rFonts w:ascii="Times New Roman" w:cs="Times New Roman" w:eastAsia="Times New Roman" w:hAnsi="Times New Roman"/>
          <w:sz w:val="18"/>
          <w:szCs w:val="18"/>
          <w:color w:val="auto"/>
        </w:rPr>
      </w:pPr>
    </w:p>
    <w:p>
      <w:pPr>
        <w:ind w:left="920" w:right="6420" w:hanging="453"/>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61" w:lineRule="exact"/>
        <w:rPr>
          <w:rFonts w:ascii="Times New Roman" w:cs="Times New Roman" w:eastAsia="Times New Roman" w:hAnsi="Times New Roman"/>
          <w:sz w:val="18"/>
          <w:szCs w:val="18"/>
          <w:color w:val="auto"/>
        </w:rPr>
      </w:pPr>
    </w:p>
    <w:p>
      <w:pPr>
        <w:ind w:left="920" w:right="7180" w:hanging="453"/>
        <w:spacing w:after="0" w:line="312" w:lineRule="auto"/>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5 of 8 Pages</w:t>
      </w:r>
    </w:p>
    <w:p>
      <w:pPr>
        <w:sectPr>
          <w:pgSz w:w="11900" w:h="16838" w:orient="portrait"/>
          <w:cols w:equalWidth="0" w:num="2">
            <w:col w:w="9240" w:space="720"/>
            <w:col w:w="1280"/>
          </w:cols>
          <w:pgMar w:left="320" w:top="887" w:right="339" w:bottom="1440" w:gutter="0" w:footer="0" w:header="0"/>
        </w:sectPr>
      </w:pPr>
    </w:p>
    <w:bookmarkStart w:id="5" w:name="page6"/>
    <w:bookmarkEnd w:id="5"/>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92840H202</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8 Pages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00" w:type="dxa"/>
            <w:vAlign w:val="bottom"/>
          </w:tcPr>
          <w:p>
            <w:pPr>
              <w:spacing w:after="0"/>
              <w:rPr>
                <w:sz w:val="20"/>
                <w:szCs w:val="20"/>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414"/>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 Act of</w:t>
            </w:r>
          </w:p>
        </w:tc>
      </w:tr>
      <w:tr>
        <w:trPr>
          <w:trHeight w:val="234"/>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1940 (15 U.S.C. 80a-3);</w:t>
            </w:r>
          </w:p>
        </w:tc>
      </w:tr>
      <w:tr>
        <w:trPr>
          <w:trHeight w:val="432"/>
        </w:trPr>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w:t>
            </w:r>
          </w:p>
        </w:tc>
        <w:tc>
          <w:tcPr>
            <w:tcW w:w="300" w:type="dxa"/>
            <w:vAlign w:val="bottom"/>
          </w:tcPr>
          <w:p>
            <w:pPr>
              <w:spacing w:after="0"/>
              <w:rPr>
                <w:sz w:val="24"/>
                <w:szCs w:val="24"/>
                <w:color w:val="auto"/>
              </w:rPr>
            </w:pPr>
          </w:p>
        </w:tc>
        <w:tc>
          <w:tcPr>
            <w:tcW w:w="10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Group, in accordance with §240.13d-1(b)(1)(ii)(J).</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300" w:type="dxa"/>
            <w:vAlign w:val="bottom"/>
          </w:tcPr>
          <w:p>
            <w:pPr>
              <w:spacing w:after="0"/>
              <w:rPr>
                <w:sz w:val="24"/>
                <w:szCs w:val="24"/>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Ownership.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380" w:hanging="913"/>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84"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Rosalind Master Fund L.P. is the record owner of 4,000,000 shares of common stock.</w:t>
      </w:r>
    </w:p>
    <w:p>
      <w:pPr>
        <w:spacing w:after="0" w:line="117" w:lineRule="exact"/>
        <w:rPr>
          <w:rFonts w:ascii="Times New Roman" w:cs="Times New Roman" w:eastAsia="Times New Roman" w:hAnsi="Times New Roman"/>
          <w:sz w:val="18"/>
          <w:szCs w:val="18"/>
          <w:color w:val="auto"/>
        </w:rPr>
      </w:pPr>
    </w:p>
    <w:p>
      <w:pPr>
        <w:jc w:val="both"/>
        <w:ind w:left="13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Rosalind Advisors, Inc. is the investment advisor to RMF and may be deemed to be the beneficial owner of shares held by RMF. Steven Salamon is the portfolio manager of the Advisor and may be deemed to be the beneficial owner of shares held by RMF. Notwithstanding the foregoing, the Advisor and Mr. Salamon disclaim beneficial ownership of the shares.</w:t>
      </w:r>
    </w:p>
    <w:p>
      <w:pPr>
        <w:spacing w:after="0" w:line="175" w:lineRule="exact"/>
        <w:rPr>
          <w:rFonts w:ascii="Times New Roman" w:cs="Times New Roman" w:eastAsia="Times New Roman" w:hAnsi="Times New Roman"/>
          <w:sz w:val="18"/>
          <w:szCs w:val="18"/>
          <w:color w:val="auto"/>
        </w:rPr>
      </w:pPr>
    </w:p>
    <w:p>
      <w:pPr>
        <w:ind w:left="1380" w:hanging="913"/>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Rosalind Advisors, Inc. – 5.4%</w:t>
      </w:r>
    </w:p>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Rosalind Master Fund L.P. – 5.4%</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Steven Salamon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-264795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7 of 8 Pages</w:t>
      </w:r>
    </w:p>
    <w:p>
      <w:pPr>
        <w:spacing w:after="0" w:line="211" w:lineRule="exact"/>
        <w:rPr>
          <w:sz w:val="20"/>
          <w:szCs w:val="20"/>
          <w:color w:val="auto"/>
        </w:rPr>
      </w:pPr>
    </w:p>
    <w:p>
      <w:pPr>
        <w:sectPr>
          <w:pgSz w:w="11900" w:h="16838" w:orient="portrait"/>
          <w:cols w:equalWidth="0" w:num="3">
            <w:col w:w="4760" w:space="720"/>
            <w:col w:w="3760" w:space="720"/>
            <w:col w:w="1280"/>
          </w:cols>
          <w:pgMar w:left="320" w:top="887" w:right="339" w:bottom="1440" w:gutter="0" w:footer="0" w:header="0"/>
        </w:sectPr>
      </w:pP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as to which the person has:</w:t>
      </w:r>
    </w:p>
    <w:p>
      <w:pPr>
        <w:spacing w:after="0" w:line="211" w:lineRule="exact"/>
        <w:rPr>
          <w:sz w:val="20"/>
          <w:szCs w:val="20"/>
          <w:color w:val="auto"/>
        </w:rPr>
      </w:pPr>
    </w:p>
    <w:p>
      <w:pPr>
        <w:sectPr>
          <w:pgSz w:w="11900" w:h="16838" w:orient="portrait"/>
          <w:cols w:equalWidth="0" w:num="2">
            <w:col w:w="1520" w:space="720"/>
            <w:col w:w="9000"/>
          </w:cols>
          <w:pgMar w:left="320" w:top="887" w:right="339" w:bottom="1440" w:gutter="0" w:footer="0" w:header="0"/>
          <w:type w:val="continuous"/>
        </w:sectPr>
      </w:pPr>
    </w:p>
    <w:p>
      <w:pPr>
        <w:spacing w:after="0" w:line="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power to vote or to direct the vote</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Rosalind Advisors, Inc. – 4,000,000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Rosalind Master Fund L.P. – 4,000,000</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Steven Salamon – 4,000,000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Gilad Aharon – 4,000,000</w:t>
      </w:r>
    </w:p>
    <w:p>
      <w:pPr>
        <w:spacing w:after="0" w:line="200" w:lineRule="exact"/>
        <w:rPr>
          <w:sz w:val="20"/>
          <w:szCs w:val="20"/>
          <w:color w:val="auto"/>
        </w:rPr>
      </w:pPr>
    </w:p>
    <w:p>
      <w:pPr>
        <w:sectPr>
          <w:pgSz w:w="11900" w:h="16838" w:orient="portrait"/>
          <w:cols w:equalWidth="0" w:num="2">
            <w:col w:w="2940" w:space="720"/>
            <w:col w:w="7580"/>
          </w:cols>
          <w:pgMar w:left="320" w:top="887" w:right="339" w:bottom="1440" w:gutter="0" w:footer="0" w:header="0"/>
          <w:type w:val="continuous"/>
        </w:sectPr>
      </w:pP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Sole power to dispose or to direct the disposition of – 0</w:t>
      </w:r>
    </w:p>
    <w:p>
      <w:pPr>
        <w:spacing w:after="0" w:line="200" w:lineRule="exact"/>
        <w:rPr>
          <w:sz w:val="20"/>
          <w:szCs w:val="20"/>
          <w:color w:val="auto"/>
        </w:rPr>
      </w:pPr>
    </w:p>
    <w:p>
      <w:pPr>
        <w:sectPr>
          <w:pgSz w:w="11900" w:h="16838" w:orient="portrait"/>
          <w:cols w:equalWidth="0" w:num="2">
            <w:col w:w="2940" w:space="720"/>
            <w:col w:w="7580"/>
          </w:cols>
          <w:pgMar w:left="320" w:top="887" w:right="339" w:bottom="1440" w:gutter="0" w:footer="0" w:header="0"/>
          <w:type w:val="continuous"/>
        </w:sectPr>
      </w:pPr>
    </w:p>
    <w:p>
      <w:pPr>
        <w:spacing w:after="0" w:line="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Rosalind Advisors, Inc. – 4,000,000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color w:val="auto"/>
        </w:rPr>
        <w:t>Rosalind Master Fund L.P. – 4,000,000</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Steven Salamon – 4,000,000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Gilad Aharon – 4,000,000</w:t>
      </w:r>
    </w:p>
    <w:p>
      <w:pPr>
        <w:spacing w:after="0" w:line="200" w:lineRule="exact"/>
        <w:rPr>
          <w:sz w:val="20"/>
          <w:szCs w:val="20"/>
          <w:color w:val="auto"/>
        </w:rPr>
      </w:pPr>
    </w:p>
    <w:p>
      <w:pPr>
        <w:sectPr>
          <w:pgSz w:w="11900" w:h="16838" w:orient="portrait"/>
          <w:cols w:equalWidth="0" w:num="2">
            <w:col w:w="2940" w:space="720"/>
            <w:col w:w="7580"/>
          </w:cols>
          <w:pgMar w:left="320" w:top="887"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Dissolution of a group requires a response to this item.</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 9.</w:t>
      </w:r>
      <w:r>
        <w:rPr>
          <w:sz w:val="20"/>
          <w:szCs w:val="20"/>
          <w:color w:val="auto"/>
        </w:rPr>
        <w:tab/>
      </w:r>
      <w:r>
        <w:rPr>
          <w:rFonts w:ascii="Times New Roman" w:cs="Times New Roman" w:eastAsia="Times New Roman" w:hAnsi="Times New Roman"/>
          <w:sz w:val="17"/>
          <w:szCs w:val="17"/>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92840H202</w:t>
            </w:r>
          </w:p>
        </w:tc>
        <w:tc>
          <w:tcPr>
            <w:tcW w:w="40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13G</w:t>
            </w:r>
          </w:p>
        </w:tc>
        <w:tc>
          <w:tcPr>
            <w:tcW w:w="336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8"/>
              </w:rPr>
              <w:t>Page 8 of 8 Pages</w:t>
            </w:r>
          </w:p>
        </w:tc>
      </w:tr>
      <w:tr>
        <w:trPr>
          <w:trHeight w:val="43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406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1140" w:right="1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9/18/2020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17145</wp:posOffset>
            </wp:positionV>
            <wp:extent cx="2305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/s/ Steven Salamon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17145</wp:posOffset>
            </wp:positionV>
            <wp:extent cx="23056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u w:val="single" w:color="auto"/>
          <w:color w:val="auto"/>
        </w:rPr>
        <w:t>Steven Salamon/President Rosalind Advisors, Inc.</w:t>
      </w:r>
    </w:p>
    <w:p>
      <w:pPr>
        <w:spacing w:after="0" w:line="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this Statement on Schedule 13G with respect to the beneficial ownership of shares of Common Stock of VistaGen Therapeutics, Inc. is filed jointly, on behalf of each of them.</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Rosalind Advisors,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Steven Salamon</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Steven Salamon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-121920</wp:posOffset>
            </wp:positionV>
            <wp:extent cx="2631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Rosalind Master Fund L.P.</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Mike McDonald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Mike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-121920</wp:posOffset>
            </wp:positionV>
            <wp:extent cx="2631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Title: Director, Rosalind (Cayman) Ltd. (as General Partner to</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Rosalind Master Fund)</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Steven Salamon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Steven Salamon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-121920</wp:posOffset>
            </wp:positionV>
            <wp:extent cx="2631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31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2020-09-18T15:57:47Z</dcterms:created>
  <dcterms:modified xsi:type="dcterms:W3CDTF">2020-09-18T15:57:47Z</dcterms:modified>
</cp:coreProperties>
</file>