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(RULE 13D - 102)</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13d-1(b), (c) AND (d) AND AMENDMENTS THERETO FILED PURSUANT TO 13d-2(b)</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Stock, $0.001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92840H202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February 19,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jc w:val="both"/>
        <w:ind w:left="4980" w:right="4960" w:hanging="12"/>
        <w:spacing w:after="0" w:line="563" w:lineRule="auto"/>
        <w:tabs>
          <w:tab w:leader="none" w:pos="5449"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 ] Rule 13d-1(d)</w:t>
      </w:r>
    </w:p>
    <w:p>
      <w:pPr>
        <w:spacing w:after="0" w:line="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7"/>
          <w:szCs w:val="17"/>
          <w:i w:val="1"/>
          <w:iCs w:val="1"/>
          <w:color w:val="auto"/>
        </w:rPr>
        <w:t>see the Notes</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Nexthera Capital LP</w:t>
      </w:r>
    </w:p>
    <w:p>
      <w:pPr>
        <w:spacing w:after="0" w:line="225"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131,250</w:t>
      </w:r>
    </w:p>
    <w:p>
      <w:pPr>
        <w:ind w:left="1880" w:right="69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131,250</w:t>
      </w:r>
    </w:p>
    <w:p>
      <w:pPr>
        <w:ind w:left="1880" w:right="26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131,250</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Nexthera Capital GP LLC</w:t>
      </w:r>
    </w:p>
    <w:p>
      <w:pPr>
        <w:spacing w:after="0" w:line="225"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VOTING POWER 131,250</w:t>
      </w:r>
    </w:p>
    <w:p>
      <w:pPr>
        <w:ind w:left="1880" w:right="69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131,250</w:t>
      </w:r>
    </w:p>
    <w:p>
      <w:pPr>
        <w:ind w:left="1880" w:right="26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131,250</w:t>
      </w: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Daniel Malek</w:t>
      </w:r>
    </w:p>
    <w:p>
      <w:pPr>
        <w:spacing w:after="0" w:line="225"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Belgium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SHARED VOTING POWER 131,250</w:t>
      </w:r>
    </w:p>
    <w:p>
      <w:pPr>
        <w:ind w:left="1880" w:right="691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131,250</w:t>
      </w:r>
    </w:p>
    <w:p>
      <w:pPr>
        <w:ind w:left="1880" w:right="261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131,250</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4" w:name="page5"/>
    <w:bookmarkEnd w:id="4"/>
    <w:p>
      <w:pPr>
        <w:ind w:left="1040" w:hanging="1032"/>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Ori Hershkovitz</w:t>
      </w:r>
    </w:p>
    <w:p>
      <w:pPr>
        <w:spacing w:after="0" w:line="225" w:lineRule="exact"/>
        <w:rPr>
          <w:sz w:val="20"/>
          <w:szCs w:val="20"/>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SHARED VOTING POWER 131,250</w:t>
      </w:r>
    </w:p>
    <w:p>
      <w:pPr>
        <w:ind w:left="1880" w:right="6919" w:hanging="1872"/>
        <w:spacing w:after="0" w:line="501"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131,250</w:t>
      </w:r>
    </w:p>
    <w:p>
      <w:pPr>
        <w:ind w:left="1880" w:right="2619" w:hanging="1872"/>
        <w:spacing w:after="0" w:line="501"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131,250</w:t>
      </w:r>
    </w:p>
    <w:p>
      <w:pPr>
        <w:ind w:left="1040" w:hanging="103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w:t>
      </w:r>
    </w:p>
    <w:p>
      <w:pPr>
        <w:ind w:left="1040" w:hanging="103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 Allerton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Nexthera Capital LP ("Nexthera Capital");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Nexthera Capital GP LLC ("Nexthera GP")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Daniel Malek ("Mr. Malek");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Ori Hershkovitz (Mr. Hershkovitz").</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Nexthera GP is the general partner of Nexthera Capital. Mr. Malek and Mr. Hershkovitz are the managing members Nexthera GP By virtue of these relationships, each of Nexthera GP, Mr. Malek and Mr. Hershkovitz may be deemed to have voting and dispositive power with respect to the shares of Common Stock (as defined below) beneficially owned by Nexthera Capital.</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address of the principal business office of each of the Reporting Persons is 900 Third Avenue, Suite 201.1, New York, New York 10022.</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Nexthera Capital is a Delaware limited partnership;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Nexthera GP is a Delaware limited liability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Malek is a citizen of Belgium;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Hershkovitz is a citizen of Israel.</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$0.001 per share (the "Common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29" w:lineRule="exact"/>
        <w:rPr>
          <w:sz w:val="20"/>
          <w:szCs w:val="20"/>
          <w:color w:val="auto"/>
        </w:rPr>
      </w:pPr>
    </w:p>
    <w:p>
      <w:pPr>
        <w:ind w:left="1020" w:hanging="37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020" w:hanging="37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Insurance company defined in Section 3(a)(19) of the Exchange Act.</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020" w:hanging="37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225" w:lineRule="exact"/>
        <w:rPr>
          <w:rFonts w:ascii="Arial" w:cs="Arial" w:eastAsia="Arial" w:hAnsi="Arial"/>
          <w:sz w:val="18"/>
          <w:szCs w:val="18"/>
          <w:color w:val="auto"/>
        </w:rPr>
      </w:pPr>
    </w:p>
    <w:p>
      <w:pPr>
        <w:ind w:left="1020" w:hanging="36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Rule 13d-1(b)(1)(ii)(G).</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25" w:lineRule="exact"/>
        <w:rPr>
          <w:sz w:val="20"/>
          <w:szCs w:val="20"/>
          <w:color w:val="auto"/>
        </w:rPr>
      </w:pPr>
    </w:p>
    <w:p>
      <w:pPr>
        <w:ind w:left="1020" w:hanging="36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20" w:hanging="361"/>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Group, in accordance with Rule 13d-1(b)(1)(ii)(J).</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As of the close of business on February 19, 2016, the Reporting Persons may be deemed to have beneficially owned 131,250 shares of Common Stock, including 75,000 shares of Common Stock issuable upon the conversion of currently convertible Series B 10% Convertible Preferred Stock.</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jc w:val="both"/>
        <w:ind w:left="1300"/>
        <w:spacing w:after="0" w:line="302" w:lineRule="auto"/>
        <w:rPr>
          <w:rFonts w:ascii="Arial" w:cs="Arial" w:eastAsia="Arial" w:hAnsi="Arial"/>
          <w:sz w:val="18"/>
          <w:szCs w:val="18"/>
          <w:color w:val="auto"/>
        </w:rPr>
      </w:pPr>
      <w:r>
        <w:rPr>
          <w:rFonts w:ascii="Arial" w:cs="Arial" w:eastAsia="Arial" w:hAnsi="Arial"/>
          <w:sz w:val="16"/>
          <w:szCs w:val="16"/>
          <w:color w:val="auto"/>
        </w:rPr>
        <w:t>The aggregate percentage of Common Stock reported owned by each person named herein is based upon 2,272,406 shares of Common Stock outstanding as of December 31, 2015, which is the total number of Common Stock outstanding as reported in the Issuer's Quarterly Report on Form 10-Q filed with the Securities and Exchange Commission on February 16, 2016. As of the close of business on February 19, 2016, the Reporting Persons may be deemed to have beneficially owned approximately 5.3% of the outstanding Common Stock.</w:t>
      </w:r>
    </w:p>
    <w:p>
      <w:pPr>
        <w:spacing w:after="0" w:line="154" w:lineRule="exact"/>
        <w:rPr>
          <w:rFonts w:ascii="Arial" w:cs="Arial" w:eastAsia="Arial" w:hAnsi="Arial"/>
          <w:sz w:val="18"/>
          <w:szCs w:val="18"/>
          <w:color w:val="auto"/>
        </w:rPr>
      </w:pPr>
    </w:p>
    <w:p>
      <w:pPr>
        <w:ind w:left="1300" w:hanging="599"/>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right="6600" w:hanging="655"/>
        <w:spacing w:after="0" w:line="501"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960" w:right="6480" w:hanging="610"/>
        <w:spacing w:after="0" w:line="501" w:lineRule="auto"/>
        <w:tabs>
          <w:tab w:leader="none" w:pos="19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960" w:right="5760" w:hanging="610"/>
        <w:spacing w:after="0" w:line="501" w:lineRule="auto"/>
        <w:tabs>
          <w:tab w:leader="none" w:pos="19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960" w:right="5580" w:hanging="610"/>
        <w:spacing w:after="0" w:line="528" w:lineRule="auto"/>
        <w:tabs>
          <w:tab w:leader="none" w:pos="19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 ].</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February 29, 2016</w:t>
            </w:r>
          </w:p>
        </w:tc>
        <w:tc>
          <w:tcPr>
            <w:tcW w:w="7820" w:type="dxa"/>
            <w:vAlign w:val="bottom"/>
            <w:gridSpan w:val="7"/>
          </w:tcPr>
          <w:p>
            <w:pPr>
              <w:ind w:left="1600"/>
              <w:spacing w:after="0"/>
              <w:rPr>
                <w:sz w:val="20"/>
                <w:szCs w:val="20"/>
                <w:color w:val="auto"/>
              </w:rPr>
            </w:pPr>
            <w:r>
              <w:rPr>
                <w:rFonts w:ascii="Arial" w:cs="Arial" w:eastAsia="Arial" w:hAnsi="Arial"/>
                <w:sz w:val="18"/>
                <w:szCs w:val="18"/>
                <w:color w:val="auto"/>
              </w:rPr>
              <w:t>NEXTHERA CAPITAL LP</w:t>
            </w:r>
          </w:p>
        </w:tc>
      </w:t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820" w:type="dxa"/>
            <w:vAlign w:val="bottom"/>
            <w:gridSpan w:val="7"/>
          </w:tcPr>
          <w:p>
            <w:pPr>
              <w:ind w:left="1600"/>
              <w:spacing w:after="0"/>
              <w:rPr>
                <w:sz w:val="20"/>
                <w:szCs w:val="20"/>
                <w:color w:val="auto"/>
              </w:rPr>
            </w:pPr>
            <w:r>
              <w:rPr>
                <w:rFonts w:ascii="Arial" w:cs="Arial" w:eastAsia="Arial" w:hAnsi="Arial"/>
                <w:sz w:val="18"/>
                <w:szCs w:val="18"/>
                <w:color w:val="auto"/>
              </w:rPr>
              <w:t>By: Nexthera Capital GP LLC, its general partner</w:t>
            </w:r>
          </w:p>
        </w:tc>
      </w:tr>
      <w:tr>
        <w:trPr>
          <w:trHeight w:val="392"/>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820" w:type="dxa"/>
            <w:vAlign w:val="bottom"/>
            <w:gridSpan w:val="7"/>
          </w:tcPr>
          <w:p>
            <w:pPr>
              <w:ind w:left="1900"/>
              <w:spacing w:after="0"/>
              <w:rPr>
                <w:sz w:val="20"/>
                <w:szCs w:val="20"/>
                <w:color w:val="auto"/>
              </w:rPr>
            </w:pPr>
            <w:r>
              <w:rPr>
                <w:rFonts w:ascii="Arial" w:cs="Arial" w:eastAsia="Arial" w:hAnsi="Arial"/>
                <w:sz w:val="18"/>
                <w:szCs w:val="18"/>
                <w:color w:val="auto"/>
              </w:rPr>
              <w:t>By: /s/ Daniel Malek</w:t>
            </w:r>
          </w:p>
        </w:tc>
      </w:tr>
      <w:tr>
        <w:trPr>
          <w:trHeight w:val="20"/>
        </w:trPr>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880" w:type="dxa"/>
            <w:vAlign w:val="bottom"/>
            <w:gridSpan w:val="6"/>
          </w:tcPr>
          <w:p>
            <w:pPr>
              <w:ind w:left="140"/>
              <w:spacing w:after="0"/>
              <w:rPr>
                <w:sz w:val="20"/>
                <w:szCs w:val="20"/>
                <w:color w:val="auto"/>
              </w:rPr>
            </w:pPr>
            <w:r>
              <w:rPr>
                <w:rFonts w:ascii="Arial" w:cs="Arial" w:eastAsia="Arial" w:hAnsi="Arial"/>
                <w:sz w:val="18"/>
                <w:szCs w:val="18"/>
                <w:color w:val="auto"/>
              </w:rPr>
              <w:t>Name: Daniel Malek</w:t>
            </w:r>
          </w:p>
        </w:tc>
      </w:t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Managing Member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February 29, 2016</w:t>
            </w:r>
          </w:p>
        </w:tc>
        <w:tc>
          <w:tcPr>
            <w:tcW w:w="7820" w:type="dxa"/>
            <w:vAlign w:val="bottom"/>
            <w:gridSpan w:val="7"/>
          </w:tcPr>
          <w:p>
            <w:pPr>
              <w:ind w:left="1600"/>
              <w:spacing w:after="0"/>
              <w:rPr>
                <w:sz w:val="20"/>
                <w:szCs w:val="20"/>
                <w:color w:val="auto"/>
              </w:rPr>
            </w:pPr>
            <w:r>
              <w:rPr>
                <w:rFonts w:ascii="Arial" w:cs="Arial" w:eastAsia="Arial" w:hAnsi="Arial"/>
                <w:sz w:val="18"/>
                <w:szCs w:val="18"/>
                <w:color w:val="auto"/>
              </w:rPr>
              <w:t>NEXTHERA CAPITAL LP</w:t>
            </w:r>
          </w:p>
        </w:tc>
      </w:t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820" w:type="dxa"/>
            <w:vAlign w:val="bottom"/>
            <w:gridSpan w:val="7"/>
          </w:tcPr>
          <w:p>
            <w:pPr>
              <w:ind w:left="1600"/>
              <w:spacing w:after="0"/>
              <w:rPr>
                <w:sz w:val="20"/>
                <w:szCs w:val="20"/>
                <w:color w:val="auto"/>
              </w:rPr>
            </w:pPr>
            <w:r>
              <w:rPr>
                <w:rFonts w:ascii="Arial" w:cs="Arial" w:eastAsia="Arial" w:hAnsi="Arial"/>
                <w:sz w:val="18"/>
                <w:szCs w:val="18"/>
                <w:color w:val="auto"/>
              </w:rPr>
              <w:t>By: Nexthera Capital GP LLC, its general partner</w:t>
            </w:r>
          </w:p>
        </w:tc>
      </w:tr>
      <w:tr>
        <w:trPr>
          <w:trHeight w:val="392"/>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820" w:type="dxa"/>
            <w:vAlign w:val="bottom"/>
            <w:gridSpan w:val="7"/>
          </w:tcPr>
          <w:p>
            <w:pPr>
              <w:ind w:left="1900"/>
              <w:spacing w:after="0"/>
              <w:rPr>
                <w:sz w:val="20"/>
                <w:szCs w:val="20"/>
                <w:color w:val="auto"/>
              </w:rPr>
            </w:pPr>
            <w:r>
              <w:rPr>
                <w:rFonts w:ascii="Arial" w:cs="Arial" w:eastAsia="Arial" w:hAnsi="Arial"/>
                <w:sz w:val="18"/>
                <w:szCs w:val="18"/>
                <w:color w:val="auto"/>
              </w:rPr>
              <w:t>By: /s/ Daniel Malek</w:t>
            </w:r>
          </w:p>
        </w:tc>
      </w:tr>
      <w:tr>
        <w:trPr>
          <w:trHeight w:val="20"/>
        </w:trPr>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880" w:type="dxa"/>
            <w:vAlign w:val="bottom"/>
            <w:gridSpan w:val="6"/>
          </w:tcPr>
          <w:p>
            <w:pPr>
              <w:ind w:left="140"/>
              <w:spacing w:after="0"/>
              <w:rPr>
                <w:sz w:val="20"/>
                <w:szCs w:val="20"/>
                <w:color w:val="auto"/>
              </w:rPr>
            </w:pPr>
            <w:r>
              <w:rPr>
                <w:rFonts w:ascii="Arial" w:cs="Arial" w:eastAsia="Arial" w:hAnsi="Arial"/>
                <w:sz w:val="18"/>
                <w:szCs w:val="18"/>
                <w:color w:val="auto"/>
              </w:rPr>
              <w:t>Name: Daniel Malek</w:t>
            </w:r>
          </w:p>
        </w:tc>
      </w:t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Managing Member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February 29, 2016</w:t>
            </w:r>
          </w:p>
        </w:tc>
        <w:tc>
          <w:tcPr>
            <w:tcW w:w="7820" w:type="dxa"/>
            <w:vAlign w:val="bottom"/>
            <w:gridSpan w:val="7"/>
          </w:tcPr>
          <w:p>
            <w:pPr>
              <w:ind w:left="1600"/>
              <w:spacing w:after="0"/>
              <w:rPr>
                <w:sz w:val="20"/>
                <w:szCs w:val="20"/>
                <w:color w:val="auto"/>
              </w:rPr>
            </w:pPr>
            <w:r>
              <w:rPr>
                <w:rFonts w:ascii="Arial" w:cs="Arial" w:eastAsia="Arial" w:hAnsi="Arial"/>
                <w:sz w:val="18"/>
                <w:szCs w:val="18"/>
                <w:color w:val="auto"/>
              </w:rPr>
              <w:t>DANIEL MALEK</w:t>
            </w:r>
          </w:p>
        </w:tc>
      </w:tr>
      <w:tr>
        <w:trPr>
          <w:trHeight w:val="190"/>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7820" w:type="dxa"/>
            <w:vAlign w:val="bottom"/>
            <w:gridSpan w:val="7"/>
          </w:tcPr>
          <w:p>
            <w:pPr>
              <w:ind w:left="1600"/>
              <w:spacing w:after="0" w:line="190" w:lineRule="exact"/>
              <w:rPr>
                <w:sz w:val="20"/>
                <w:szCs w:val="20"/>
                <w:color w:val="auto"/>
              </w:rPr>
            </w:pPr>
            <w:r>
              <w:rPr>
                <w:rFonts w:ascii="Arial" w:cs="Arial" w:eastAsia="Arial" w:hAnsi="Arial"/>
                <w:sz w:val="18"/>
                <w:szCs w:val="18"/>
                <w:color w:val="auto"/>
              </w:rPr>
              <w:t>By: /s/ Daniel Malek</w:t>
            </w:r>
          </w:p>
        </w:tc>
      </w:tr>
      <w:tr>
        <w:trPr>
          <w:trHeight w:val="20"/>
        </w:trPr>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80" w:type="dxa"/>
            <w:vAlign w:val="bottom"/>
            <w:gridSpan w:val="6"/>
          </w:tcPr>
          <w:p>
            <w:pPr>
              <w:ind w:left="20"/>
              <w:spacing w:after="0"/>
              <w:rPr>
                <w:sz w:val="20"/>
                <w:szCs w:val="20"/>
                <w:color w:val="auto"/>
              </w:rPr>
            </w:pPr>
            <w:r>
              <w:rPr>
                <w:rFonts w:ascii="Arial" w:cs="Arial" w:eastAsia="Arial" w:hAnsi="Arial"/>
                <w:sz w:val="18"/>
                <w:szCs w:val="18"/>
                <w:color w:val="auto"/>
              </w:rPr>
              <w:t>Name: Daniel Malek</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February 29, 2016</w:t>
            </w:r>
          </w:p>
        </w:tc>
        <w:tc>
          <w:tcPr>
            <w:tcW w:w="7820" w:type="dxa"/>
            <w:vAlign w:val="bottom"/>
            <w:gridSpan w:val="7"/>
          </w:tcPr>
          <w:p>
            <w:pPr>
              <w:ind w:left="1600"/>
              <w:spacing w:after="0"/>
              <w:rPr>
                <w:sz w:val="20"/>
                <w:szCs w:val="20"/>
                <w:color w:val="auto"/>
              </w:rPr>
            </w:pPr>
            <w:r>
              <w:rPr>
                <w:rFonts w:ascii="Arial" w:cs="Arial" w:eastAsia="Arial" w:hAnsi="Arial"/>
                <w:sz w:val="18"/>
                <w:szCs w:val="18"/>
                <w:color w:val="auto"/>
              </w:rPr>
              <w:t>ORI HERSHKOVITZ</w:t>
            </w:r>
          </w:p>
        </w:tc>
      </w:tr>
      <w:tr>
        <w:trPr>
          <w:trHeight w:val="190"/>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7820" w:type="dxa"/>
            <w:vAlign w:val="bottom"/>
            <w:gridSpan w:val="7"/>
          </w:tcPr>
          <w:p>
            <w:pPr>
              <w:ind w:left="1600"/>
              <w:spacing w:after="0" w:line="190" w:lineRule="exact"/>
              <w:rPr>
                <w:sz w:val="20"/>
                <w:szCs w:val="20"/>
                <w:color w:val="auto"/>
              </w:rPr>
            </w:pPr>
            <w:r>
              <w:rPr>
                <w:rFonts w:ascii="Arial" w:cs="Arial" w:eastAsia="Arial" w:hAnsi="Arial"/>
                <w:sz w:val="18"/>
                <w:szCs w:val="18"/>
                <w:color w:val="auto"/>
              </w:rPr>
              <w:t>By: /s/ Ori Hershkovitz</w:t>
            </w:r>
          </w:p>
        </w:tc>
      </w:tr>
      <w:tr>
        <w:trPr>
          <w:trHeight w:val="20"/>
        </w:trPr>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80" w:type="dxa"/>
            <w:vAlign w:val="bottom"/>
            <w:gridSpan w:val="6"/>
          </w:tcPr>
          <w:p>
            <w:pPr>
              <w:ind w:left="20"/>
              <w:spacing w:after="0"/>
              <w:rPr>
                <w:sz w:val="20"/>
                <w:szCs w:val="20"/>
                <w:color w:val="auto"/>
              </w:rPr>
            </w:pPr>
            <w:r>
              <w:rPr>
                <w:rFonts w:ascii="Arial" w:cs="Arial" w:eastAsia="Arial" w:hAnsi="Arial"/>
                <w:sz w:val="18"/>
                <w:szCs w:val="18"/>
                <w:color w:val="auto"/>
              </w:rPr>
              <w:t>Name: Ori Hershkovitz</w:t>
            </w:r>
          </w:p>
        </w:tc>
      </w:tr>
      <w:tr>
        <w:trPr>
          <w:trHeight w:val="466"/>
        </w:trPr>
        <w:tc>
          <w:tcPr>
            <w:tcW w:w="5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Common Stock, par value $0.001 per share, of VistaGen Therapeutics, Inc., dated as of February 29, 2016 is, and any amendments thereto signed by each of the undersigned shall be, filed on behalf of each of us pursuant to and in accordance with the provisions of Rule 13d-1(k) under the Securities Exchange Act of 1934, as amended.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February 29, 2016</w:t>
            </w:r>
          </w:p>
        </w:tc>
        <w:tc>
          <w:tcPr>
            <w:tcW w:w="5180" w:type="dxa"/>
            <w:vAlign w:val="bottom"/>
            <w:gridSpan w:val="7"/>
          </w:tcPr>
          <w:p>
            <w:pPr>
              <w:ind w:left="1600"/>
              <w:spacing w:after="0"/>
              <w:rPr>
                <w:sz w:val="20"/>
                <w:szCs w:val="20"/>
                <w:color w:val="auto"/>
              </w:rPr>
            </w:pPr>
            <w:r>
              <w:rPr>
                <w:rFonts w:ascii="Arial" w:cs="Arial" w:eastAsia="Arial" w:hAnsi="Arial"/>
                <w:sz w:val="18"/>
                <w:szCs w:val="18"/>
                <w:color w:val="auto"/>
              </w:rPr>
              <w:t>NEXTHERA CAPITAL LP</w:t>
            </w:r>
          </w:p>
        </w:tc>
      </w:t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180" w:type="dxa"/>
            <w:vAlign w:val="bottom"/>
            <w:gridSpan w:val="7"/>
          </w:tcPr>
          <w:p>
            <w:pPr>
              <w:ind w:left="1600"/>
              <w:spacing w:after="0"/>
              <w:rPr>
                <w:sz w:val="20"/>
                <w:szCs w:val="20"/>
                <w:color w:val="auto"/>
              </w:rPr>
            </w:pPr>
            <w:r>
              <w:rPr>
                <w:rFonts w:ascii="Arial" w:cs="Arial" w:eastAsia="Arial" w:hAnsi="Arial"/>
                <w:sz w:val="18"/>
                <w:szCs w:val="18"/>
                <w:color w:val="auto"/>
                <w:w w:val="91"/>
              </w:rPr>
              <w:t>By: Nexthera Capital GP LLC, its general partner</w:t>
            </w:r>
          </w:p>
        </w:tc>
      </w:tr>
      <w:tr>
        <w:trPr>
          <w:trHeight w:val="392"/>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80" w:type="dxa"/>
            <w:vAlign w:val="bottom"/>
            <w:gridSpan w:val="7"/>
          </w:tcPr>
          <w:p>
            <w:pPr>
              <w:ind w:left="1900"/>
              <w:spacing w:after="0"/>
              <w:rPr>
                <w:sz w:val="20"/>
                <w:szCs w:val="20"/>
                <w:color w:val="auto"/>
              </w:rPr>
            </w:pPr>
            <w:r>
              <w:rPr>
                <w:rFonts w:ascii="Arial" w:cs="Arial" w:eastAsia="Arial" w:hAnsi="Arial"/>
                <w:sz w:val="18"/>
                <w:szCs w:val="18"/>
                <w:color w:val="auto"/>
              </w:rPr>
              <w:t>By: /s/ Daniel Malek</w:t>
            </w:r>
          </w:p>
        </w:tc>
      </w:tr>
      <w:tr>
        <w:trPr>
          <w:trHeight w:val="20"/>
        </w:trPr>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40" w:type="dxa"/>
            <w:vAlign w:val="bottom"/>
            <w:gridSpan w:val="6"/>
          </w:tcPr>
          <w:p>
            <w:pPr>
              <w:ind w:left="140"/>
              <w:spacing w:after="0"/>
              <w:rPr>
                <w:sz w:val="20"/>
                <w:szCs w:val="20"/>
                <w:color w:val="auto"/>
              </w:rPr>
            </w:pPr>
            <w:r>
              <w:rPr>
                <w:rFonts w:ascii="Arial" w:cs="Arial" w:eastAsia="Arial" w:hAnsi="Arial"/>
                <w:sz w:val="18"/>
                <w:szCs w:val="18"/>
                <w:color w:val="auto"/>
              </w:rPr>
              <w:t>Name: Daniel Malek</w:t>
            </w:r>
          </w:p>
        </w:tc>
      </w:t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2620" w:type="dxa"/>
            <w:vAlign w:val="bottom"/>
            <w:gridSpan w:val="4"/>
          </w:tcPr>
          <w:p>
            <w:pPr>
              <w:ind w:left="100"/>
              <w:spacing w:after="0"/>
              <w:rPr>
                <w:sz w:val="20"/>
                <w:szCs w:val="20"/>
                <w:color w:val="auto"/>
              </w:rPr>
            </w:pPr>
            <w:r>
              <w:rPr>
                <w:rFonts w:ascii="Arial" w:cs="Arial" w:eastAsia="Arial" w:hAnsi="Arial"/>
                <w:sz w:val="18"/>
                <w:szCs w:val="18"/>
                <w:color w:val="auto"/>
              </w:rPr>
              <w:t>Managing Member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February 29, 2016</w:t>
            </w:r>
          </w:p>
        </w:tc>
        <w:tc>
          <w:tcPr>
            <w:tcW w:w="5180" w:type="dxa"/>
            <w:vAlign w:val="bottom"/>
            <w:gridSpan w:val="7"/>
          </w:tcPr>
          <w:p>
            <w:pPr>
              <w:ind w:left="1600"/>
              <w:spacing w:after="0"/>
              <w:rPr>
                <w:sz w:val="20"/>
                <w:szCs w:val="20"/>
                <w:color w:val="auto"/>
              </w:rPr>
            </w:pPr>
            <w:r>
              <w:rPr>
                <w:rFonts w:ascii="Arial" w:cs="Arial" w:eastAsia="Arial" w:hAnsi="Arial"/>
                <w:sz w:val="18"/>
                <w:szCs w:val="18"/>
                <w:color w:val="auto"/>
              </w:rPr>
              <w:t>NEXTHERA CAPITAL LP</w:t>
            </w:r>
          </w:p>
        </w:tc>
      </w:t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180" w:type="dxa"/>
            <w:vAlign w:val="bottom"/>
            <w:gridSpan w:val="7"/>
          </w:tcPr>
          <w:p>
            <w:pPr>
              <w:ind w:left="1600"/>
              <w:spacing w:after="0"/>
              <w:rPr>
                <w:sz w:val="20"/>
                <w:szCs w:val="20"/>
                <w:color w:val="auto"/>
              </w:rPr>
            </w:pPr>
            <w:r>
              <w:rPr>
                <w:rFonts w:ascii="Arial" w:cs="Arial" w:eastAsia="Arial" w:hAnsi="Arial"/>
                <w:sz w:val="18"/>
                <w:szCs w:val="18"/>
                <w:color w:val="auto"/>
                <w:w w:val="91"/>
              </w:rPr>
              <w:t>By: Nexthera Capital GP LLC, its general partner</w:t>
            </w:r>
          </w:p>
        </w:tc>
      </w:tr>
      <w:tr>
        <w:trPr>
          <w:trHeight w:val="392"/>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80" w:type="dxa"/>
            <w:vAlign w:val="bottom"/>
            <w:gridSpan w:val="7"/>
          </w:tcPr>
          <w:p>
            <w:pPr>
              <w:ind w:left="1900"/>
              <w:spacing w:after="0"/>
              <w:rPr>
                <w:sz w:val="20"/>
                <w:szCs w:val="20"/>
                <w:color w:val="auto"/>
              </w:rPr>
            </w:pPr>
            <w:r>
              <w:rPr>
                <w:rFonts w:ascii="Arial" w:cs="Arial" w:eastAsia="Arial" w:hAnsi="Arial"/>
                <w:sz w:val="18"/>
                <w:szCs w:val="18"/>
                <w:color w:val="auto"/>
              </w:rPr>
              <w:t>By: /s/ Daniel Malek</w:t>
            </w:r>
          </w:p>
        </w:tc>
      </w:tr>
      <w:tr>
        <w:trPr>
          <w:trHeight w:val="20"/>
        </w:trPr>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40" w:type="dxa"/>
            <w:vAlign w:val="bottom"/>
            <w:gridSpan w:val="6"/>
          </w:tcPr>
          <w:p>
            <w:pPr>
              <w:ind w:left="140"/>
              <w:spacing w:after="0"/>
              <w:rPr>
                <w:sz w:val="20"/>
                <w:szCs w:val="20"/>
                <w:color w:val="auto"/>
              </w:rPr>
            </w:pPr>
            <w:r>
              <w:rPr>
                <w:rFonts w:ascii="Arial" w:cs="Arial" w:eastAsia="Arial" w:hAnsi="Arial"/>
                <w:sz w:val="18"/>
                <w:szCs w:val="18"/>
                <w:color w:val="auto"/>
              </w:rPr>
              <w:t>Name: Daniel Malek</w:t>
            </w:r>
          </w:p>
        </w:tc>
      </w:t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2620" w:type="dxa"/>
            <w:vAlign w:val="bottom"/>
            <w:gridSpan w:val="4"/>
          </w:tcPr>
          <w:p>
            <w:pPr>
              <w:ind w:left="100"/>
              <w:spacing w:after="0"/>
              <w:rPr>
                <w:sz w:val="20"/>
                <w:szCs w:val="20"/>
                <w:color w:val="auto"/>
              </w:rPr>
            </w:pPr>
            <w:r>
              <w:rPr>
                <w:rFonts w:ascii="Arial" w:cs="Arial" w:eastAsia="Arial" w:hAnsi="Arial"/>
                <w:sz w:val="18"/>
                <w:szCs w:val="18"/>
                <w:color w:val="auto"/>
              </w:rPr>
              <w:t>Managing Member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February 29, 2016</w:t>
            </w:r>
          </w:p>
        </w:tc>
        <w:tc>
          <w:tcPr>
            <w:tcW w:w="5180" w:type="dxa"/>
            <w:vAlign w:val="bottom"/>
            <w:gridSpan w:val="7"/>
          </w:tcPr>
          <w:p>
            <w:pPr>
              <w:ind w:left="1600"/>
              <w:spacing w:after="0"/>
              <w:rPr>
                <w:sz w:val="20"/>
                <w:szCs w:val="20"/>
                <w:color w:val="auto"/>
              </w:rPr>
            </w:pPr>
            <w:r>
              <w:rPr>
                <w:rFonts w:ascii="Arial" w:cs="Arial" w:eastAsia="Arial" w:hAnsi="Arial"/>
                <w:sz w:val="18"/>
                <w:szCs w:val="18"/>
                <w:color w:val="auto"/>
              </w:rPr>
              <w:t>DANIEL MALEK</w:t>
            </w:r>
          </w:p>
        </w:tc>
      </w:tr>
      <w:tr>
        <w:trPr>
          <w:trHeight w:val="190"/>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180" w:type="dxa"/>
            <w:vAlign w:val="bottom"/>
            <w:gridSpan w:val="7"/>
          </w:tcPr>
          <w:p>
            <w:pPr>
              <w:ind w:left="1600"/>
              <w:spacing w:after="0" w:line="190" w:lineRule="exact"/>
              <w:rPr>
                <w:sz w:val="20"/>
                <w:szCs w:val="20"/>
                <w:color w:val="auto"/>
              </w:rPr>
            </w:pPr>
            <w:r>
              <w:rPr>
                <w:rFonts w:ascii="Arial" w:cs="Arial" w:eastAsia="Arial" w:hAnsi="Arial"/>
                <w:sz w:val="18"/>
                <w:szCs w:val="18"/>
                <w:color w:val="auto"/>
              </w:rPr>
              <w:t>By: /s/ Daniel Malek</w:t>
            </w:r>
          </w:p>
        </w:tc>
      </w:tr>
      <w:tr>
        <w:trPr>
          <w:trHeight w:val="20"/>
        </w:trPr>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color w:val="auto"/>
              </w:rPr>
              <w:t>Name: Daniel Malek</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February 29, 2016</w:t>
            </w:r>
          </w:p>
        </w:tc>
        <w:tc>
          <w:tcPr>
            <w:tcW w:w="5180" w:type="dxa"/>
            <w:vAlign w:val="bottom"/>
            <w:gridSpan w:val="7"/>
          </w:tcPr>
          <w:p>
            <w:pPr>
              <w:ind w:left="1600"/>
              <w:spacing w:after="0"/>
              <w:rPr>
                <w:sz w:val="20"/>
                <w:szCs w:val="20"/>
                <w:color w:val="auto"/>
              </w:rPr>
            </w:pPr>
            <w:r>
              <w:rPr>
                <w:rFonts w:ascii="Arial" w:cs="Arial" w:eastAsia="Arial" w:hAnsi="Arial"/>
                <w:sz w:val="18"/>
                <w:szCs w:val="18"/>
                <w:color w:val="auto"/>
              </w:rPr>
              <w:t>ORI HERSHKOVITZ</w:t>
            </w:r>
          </w:p>
        </w:tc>
      </w:tr>
      <w:tr>
        <w:trPr>
          <w:trHeight w:val="190"/>
        </w:trPr>
        <w:tc>
          <w:tcPr>
            <w:tcW w:w="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180" w:type="dxa"/>
            <w:vAlign w:val="bottom"/>
            <w:gridSpan w:val="7"/>
          </w:tcPr>
          <w:p>
            <w:pPr>
              <w:ind w:left="1600"/>
              <w:spacing w:after="0" w:line="190" w:lineRule="exact"/>
              <w:rPr>
                <w:sz w:val="20"/>
                <w:szCs w:val="20"/>
                <w:color w:val="auto"/>
              </w:rPr>
            </w:pPr>
            <w:r>
              <w:rPr>
                <w:rFonts w:ascii="Arial" w:cs="Arial" w:eastAsia="Arial" w:hAnsi="Arial"/>
                <w:sz w:val="18"/>
                <w:szCs w:val="18"/>
                <w:color w:val="auto"/>
              </w:rPr>
              <w:t>By: /s/ Ori Hershkovitz</w:t>
            </w:r>
          </w:p>
        </w:tc>
      </w:tr>
      <w:tr>
        <w:trPr>
          <w:trHeight w:val="20"/>
        </w:trPr>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color w:val="auto"/>
              </w:rPr>
              <w:t>Name: Ori Hershkovitz</w:t>
            </w:r>
          </w:p>
        </w:tc>
      </w:tr>
    </w:tbl>
    <w:p>
      <w:pPr>
        <w:spacing w:after="0" w:line="1" w:lineRule="exact"/>
        <w:rPr>
          <w:sz w:val="20"/>
          <w:szCs w:val="20"/>
          <w:color w:val="auto"/>
        </w:rPr>
      </w:pPr>
    </w:p>
    <w:sectPr>
      <w:pgSz w:w="11900" w:h="16838" w:orient="portrait"/>
      <w:cols w:equalWidth="0" w:num="1">
        <w:col w:w="11420"/>
      </w:cols>
      <w:pgMar w:left="240" w:top="10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Roman"/>
      <w:start w:val="10"/>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1."/>
      <w:numFmt w:val="decimal"/>
      <w:start w:val="5"/>
    </w:lvl>
  </w:abstractNum>
  <w:abstractNum w:abstractNumId="4">
    <w:nsid w:val="109CF92E"/>
    <w:multiLevelType w:val="hybridMultilevel"/>
    <w:lvl w:ilvl="0">
      <w:lvlJc w:val="left"/>
      <w:lvlText w:val="%1."/>
      <w:numFmt w:val="decimal"/>
      <w:start w:val="1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lvl w:ilvl="1">
      <w:lvlJc w:val="left"/>
      <w:lvlText w:val="(%2)"/>
      <w:numFmt w:val="lowerLetter"/>
      <w:start w:val="1"/>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1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2"/>
    </w:lvl>
    <w:lvl w:ilvl="1">
      <w:lvlJc w:val="left"/>
      <w:lvlText w:val="(%2)"/>
      <w:numFmt w:val="lowerLetter"/>
      <w:start w:val="1"/>
    </w:lvl>
  </w:abstractNum>
  <w:abstractNum w:abstractNumId="11">
    <w:nsid w:val="25E45D32"/>
    <w:multiLevelType w:val="hybridMultilevel"/>
    <w:lvl w:ilvl="0">
      <w:lvlJc w:val="left"/>
      <w:lvlText w:val="%1."/>
      <w:numFmt w:val="decimal"/>
      <w:start w:val="5"/>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lvl w:ilvl="1">
      <w:lvlJc w:val="left"/>
      <w:lvlText w:val="(%2)"/>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decimal"/>
      <w:start w:val="11"/>
    </w:lvl>
  </w:abstractNum>
  <w:abstractNum w:abstractNumId="17">
    <w:nsid w:val="62BBD95A"/>
    <w:multiLevelType w:val="hybridMultilevel"/>
    <w:lvl w:ilvl="0">
      <w:lvlJc w:val="left"/>
      <w:lvlText w:val="%1)"/>
      <w:numFmt w:val="lowerRoman"/>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9"/>
    </w:lvl>
  </w:abstractNum>
  <w:abstractNum w:abstractNumId="21">
    <w:nsid w:val="721DA31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2020-01-19T17:11:56Z</dcterms:created>
  <dcterms:modified xsi:type="dcterms:W3CDTF">2020-01-19T17:11:56Z</dcterms:modified>
</cp:coreProperties>
</file>