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
        <w:spacing w:after="0"/>
        <w:rPr>
          <w:sz w:val="20"/>
          <w:szCs w:val="20"/>
          <w:color w:val="auto"/>
        </w:rPr>
      </w:pPr>
      <w:r>
        <w:rPr>
          <w:rFonts w:ascii="Arial" w:cs="Arial" w:eastAsia="Arial" w:hAnsi="Arial"/>
          <w:sz w:val="13"/>
          <w:szCs w:val="13"/>
          <w:b w:val="1"/>
          <w:bCs w:val="1"/>
          <w:color w:val="auto"/>
        </w:rPr>
        <w:drawing>
          <wp:anchor simplePos="0" relativeHeight="251657728" behindDoc="1" locked="0" layoutInCell="0" allowOverlap="1">
            <wp:simplePos x="0" y="0"/>
            <wp:positionH relativeFrom="page">
              <wp:posOffset>189230</wp:posOffset>
            </wp:positionH>
            <wp:positionV relativeFrom="page">
              <wp:posOffset>237490</wp:posOffset>
            </wp:positionV>
            <wp:extent cx="7170420"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70420" cy="24765"/>
                    </a:xfrm>
                    <a:prstGeom prst="rect">
                      <a:avLst/>
                    </a:prstGeom>
                    <a:noFill/>
                  </pic:spPr>
                </pic:pic>
              </a:graphicData>
            </a:graphic>
          </wp:anchor>
        </w:drawing>
        <w:drawing>
          <wp:anchor simplePos="0" relativeHeight="251657728" behindDoc="1" locked="0" layoutInCell="0" allowOverlap="1">
            <wp:simplePos x="0" y="0"/>
            <wp:positionH relativeFrom="page">
              <wp:posOffset>189230</wp:posOffset>
            </wp:positionH>
            <wp:positionV relativeFrom="page">
              <wp:posOffset>312420</wp:posOffset>
            </wp:positionV>
            <wp:extent cx="7170420" cy="635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70420" cy="6350"/>
                    </a:xfrm>
                    <a:prstGeom prst="rect">
                      <a:avLst/>
                    </a:prstGeom>
                    <a:noFill/>
                  </pic:spPr>
                </pic:pic>
              </a:graphicData>
            </a:graphic>
          </wp:anchor>
        </w:drawing>
        <w:t>UNITED STATES</w:t>
      </w:r>
    </w:p>
    <w:p>
      <w:pPr>
        <w:spacing w:after="0" w:line="16" w:lineRule="exact"/>
        <w:rPr>
          <w:sz w:val="24"/>
          <w:szCs w:val="24"/>
          <w:color w:val="auto"/>
        </w:rPr>
      </w:pPr>
    </w:p>
    <w:p>
      <w:pPr>
        <w:jc w:val="center"/>
        <w:ind w:right="-1"/>
        <w:spacing w:after="0"/>
        <w:rPr>
          <w:sz w:val="20"/>
          <w:szCs w:val="20"/>
          <w:color w:val="auto"/>
        </w:rPr>
      </w:pPr>
      <w:r>
        <w:rPr>
          <w:rFonts w:ascii="Arial" w:cs="Arial" w:eastAsia="Arial" w:hAnsi="Arial"/>
          <w:sz w:val="13"/>
          <w:szCs w:val="13"/>
          <w:b w:val="1"/>
          <w:bCs w:val="1"/>
          <w:color w:val="auto"/>
        </w:rPr>
        <w:t>SECURITIES AND EXCHANGE COMMISSION</w:t>
      </w:r>
    </w:p>
    <w:p>
      <w:pPr>
        <w:spacing w:after="0" w:line="7" w:lineRule="exact"/>
        <w:rPr>
          <w:sz w:val="24"/>
          <w:szCs w:val="24"/>
          <w:color w:val="auto"/>
        </w:rPr>
      </w:pPr>
    </w:p>
    <w:p>
      <w:pPr>
        <w:jc w:val="center"/>
        <w:ind w:right="-1"/>
        <w:spacing w:after="0"/>
        <w:rPr>
          <w:sz w:val="20"/>
          <w:szCs w:val="20"/>
          <w:color w:val="auto"/>
        </w:rPr>
      </w:pPr>
      <w:r>
        <w:rPr>
          <w:rFonts w:ascii="Arial" w:cs="Arial" w:eastAsia="Arial" w:hAnsi="Arial"/>
          <w:sz w:val="13"/>
          <w:szCs w:val="13"/>
          <w:b w:val="1"/>
          <w:bCs w:val="1"/>
          <w:color w:val="auto"/>
        </w:rPr>
        <w:t>Washington, D.C. 20549</w:t>
      </w:r>
    </w:p>
    <w:p>
      <w:pPr>
        <w:spacing w:after="0" w:line="154" w:lineRule="exact"/>
        <w:rPr>
          <w:sz w:val="24"/>
          <w:szCs w:val="24"/>
          <w:color w:val="auto"/>
        </w:rPr>
      </w:pPr>
    </w:p>
    <w:p>
      <w:pPr>
        <w:jc w:val="center"/>
        <w:ind w:right="-1"/>
        <w:spacing w:after="0"/>
        <w:rPr>
          <w:sz w:val="20"/>
          <w:szCs w:val="20"/>
          <w:color w:val="auto"/>
        </w:rPr>
      </w:pPr>
      <w:r>
        <w:rPr>
          <w:rFonts w:ascii="Arial" w:cs="Arial" w:eastAsia="Arial" w:hAnsi="Arial"/>
          <w:sz w:val="13"/>
          <w:szCs w:val="13"/>
          <w:b w:val="1"/>
          <w:bCs w:val="1"/>
          <w:color w:val="auto"/>
        </w:rPr>
        <w:t>FORM 8-K</w:t>
      </w:r>
    </w:p>
    <w:p>
      <w:pPr>
        <w:spacing w:after="0" w:line="163" w:lineRule="exact"/>
        <w:rPr>
          <w:sz w:val="24"/>
          <w:szCs w:val="24"/>
          <w:color w:val="auto"/>
        </w:rPr>
      </w:pPr>
    </w:p>
    <w:p>
      <w:pPr>
        <w:jc w:val="center"/>
        <w:ind w:right="-1"/>
        <w:spacing w:after="0"/>
        <w:rPr>
          <w:sz w:val="20"/>
          <w:szCs w:val="20"/>
          <w:color w:val="auto"/>
        </w:rPr>
      </w:pPr>
      <w:r>
        <w:rPr>
          <w:rFonts w:ascii="Arial" w:cs="Arial" w:eastAsia="Arial" w:hAnsi="Arial"/>
          <w:sz w:val="13"/>
          <w:szCs w:val="13"/>
          <w:b w:val="1"/>
          <w:bCs w:val="1"/>
          <w:color w:val="auto"/>
        </w:rPr>
        <w:t>CURRENT REPORT</w:t>
      </w:r>
    </w:p>
    <w:p>
      <w:pPr>
        <w:spacing w:after="0" w:line="16" w:lineRule="exact"/>
        <w:rPr>
          <w:sz w:val="24"/>
          <w:szCs w:val="24"/>
          <w:color w:val="auto"/>
        </w:rPr>
      </w:pPr>
    </w:p>
    <w:p>
      <w:pPr>
        <w:jc w:val="center"/>
        <w:ind w:right="-1"/>
        <w:spacing w:after="0"/>
        <w:rPr>
          <w:sz w:val="20"/>
          <w:szCs w:val="20"/>
          <w:color w:val="auto"/>
        </w:rPr>
      </w:pPr>
      <w:r>
        <w:rPr>
          <w:rFonts w:ascii="Arial" w:cs="Arial" w:eastAsia="Arial" w:hAnsi="Arial"/>
          <w:sz w:val="12"/>
          <w:szCs w:val="12"/>
          <w:b w:val="1"/>
          <w:bCs w:val="1"/>
          <w:color w:val="auto"/>
        </w:rPr>
        <w:t>PURSUANT TO SECTION 13 OR 15(d) of the SECURITIES EXCHANGE ACT OF 1934</w:t>
      </w:r>
    </w:p>
    <w:p>
      <w:pPr>
        <w:spacing w:after="0" w:line="166" w:lineRule="exact"/>
        <w:rPr>
          <w:sz w:val="24"/>
          <w:szCs w:val="24"/>
          <w:color w:val="auto"/>
        </w:rPr>
      </w:pPr>
    </w:p>
    <w:p>
      <w:pPr>
        <w:jc w:val="center"/>
        <w:ind w:right="-1"/>
        <w:spacing w:after="0"/>
        <w:rPr>
          <w:sz w:val="20"/>
          <w:szCs w:val="20"/>
          <w:color w:val="auto"/>
        </w:rPr>
      </w:pPr>
      <w:r>
        <w:rPr>
          <w:rFonts w:ascii="Arial" w:cs="Arial" w:eastAsia="Arial" w:hAnsi="Arial"/>
          <w:sz w:val="13"/>
          <w:szCs w:val="13"/>
          <w:b w:val="1"/>
          <w:bCs w:val="1"/>
          <w:color w:val="auto"/>
        </w:rPr>
        <w:t xml:space="preserve">Date of Report (Date of earliest event reported): </w:t>
      </w:r>
      <w:r>
        <w:rPr>
          <w:rFonts w:ascii="Arial" w:cs="Arial" w:eastAsia="Arial" w:hAnsi="Arial"/>
          <w:sz w:val="13"/>
          <w:szCs w:val="13"/>
          <w:b w:val="1"/>
          <w:bCs w:val="1"/>
          <w:u w:val="single" w:color="auto"/>
          <w:color w:val="auto"/>
        </w:rPr>
        <w:t>August 13, 2020</w:t>
      </w:r>
    </w:p>
    <w:p>
      <w:pPr>
        <w:spacing w:after="0" w:line="153" w:lineRule="exact"/>
        <w:rPr>
          <w:sz w:val="24"/>
          <w:szCs w:val="24"/>
          <w:color w:val="auto"/>
        </w:rPr>
      </w:pPr>
    </w:p>
    <w:p>
      <w:pPr>
        <w:jc w:val="center"/>
        <w:ind w:right="-1"/>
        <w:spacing w:after="0"/>
        <w:rPr>
          <w:sz w:val="20"/>
          <w:szCs w:val="20"/>
          <w:color w:val="auto"/>
        </w:rPr>
      </w:pPr>
      <w:r>
        <w:rPr>
          <w:rFonts w:ascii="Arial" w:cs="Arial" w:eastAsia="Arial" w:hAnsi="Arial"/>
          <w:sz w:val="16"/>
          <w:szCs w:val="16"/>
          <w:b w:val="1"/>
          <w:bCs w:val="1"/>
          <w:color w:val="auto"/>
        </w:rPr>
        <w:t>VistaGen Therapeutics, Inc.</w:t>
      </w:r>
    </w:p>
    <w:p>
      <w:pPr>
        <w:spacing w:after="0" w:line="16" w:lineRule="exact"/>
        <w:rPr>
          <w:sz w:val="24"/>
          <w:szCs w:val="24"/>
          <w:color w:val="auto"/>
        </w:rPr>
      </w:pPr>
    </w:p>
    <w:p>
      <w:pPr>
        <w:jc w:val="center"/>
        <w:ind w:right="-1"/>
        <w:spacing w:after="0"/>
        <w:rPr>
          <w:sz w:val="20"/>
          <w:szCs w:val="20"/>
          <w:color w:val="auto"/>
        </w:rPr>
      </w:pPr>
      <w:r>
        <w:rPr>
          <w:rFonts w:ascii="Arial" w:cs="Arial" w:eastAsia="Arial" w:hAnsi="Arial"/>
          <w:sz w:val="13"/>
          <w:szCs w:val="13"/>
          <w:i w:val="1"/>
          <w:iCs w:val="1"/>
          <w:color w:val="auto"/>
        </w:rPr>
        <w:t>(Exact name of registrant as specified in its charter)</w:t>
      </w:r>
    </w:p>
    <w:p>
      <w:pPr>
        <w:sectPr>
          <w:pgSz w:w="11900" w:h="16838" w:orient="portrait"/>
          <w:cols w:equalWidth="0" w:num="1">
            <w:col w:w="11282"/>
          </w:cols>
          <w:pgMar w:left="298" w:top="725" w:right="319" w:bottom="1440" w:gutter="0" w:footer="0" w:header="0"/>
        </w:sectPr>
      </w:pPr>
    </w:p>
    <w:p>
      <w:pPr>
        <w:spacing w:after="0" w:line="149" w:lineRule="exact"/>
        <w:rPr>
          <w:sz w:val="24"/>
          <w:szCs w:val="24"/>
          <w:color w:val="auto"/>
        </w:rPr>
      </w:pPr>
    </w:p>
    <w:p>
      <w:pPr>
        <w:jc w:val="center"/>
        <w:ind w:right="498"/>
        <w:spacing w:after="0"/>
        <w:rPr>
          <w:sz w:val="20"/>
          <w:szCs w:val="20"/>
          <w:color w:val="auto"/>
        </w:rPr>
      </w:pPr>
      <w:r>
        <w:rPr>
          <w:rFonts w:ascii="Arial" w:cs="Arial" w:eastAsia="Arial" w:hAnsi="Arial"/>
          <w:sz w:val="13"/>
          <w:szCs w:val="13"/>
          <w:b w:val="1"/>
          <w:bCs w:val="1"/>
          <w:color w:val="auto"/>
        </w:rPr>
        <w:t>NEVADA</w:t>
      </w:r>
    </w:p>
    <w:p>
      <w:pPr>
        <w:spacing w:after="0" w:line="16" w:lineRule="exact"/>
        <w:rPr>
          <w:sz w:val="24"/>
          <w:szCs w:val="24"/>
          <w:color w:val="auto"/>
        </w:rPr>
      </w:pPr>
    </w:p>
    <w:p>
      <w:pPr>
        <w:jc w:val="center"/>
        <w:ind w:right="498"/>
        <w:spacing w:after="0"/>
        <w:rPr>
          <w:sz w:val="20"/>
          <w:szCs w:val="20"/>
          <w:color w:val="auto"/>
        </w:rPr>
      </w:pPr>
      <w:r>
        <w:rPr>
          <w:rFonts w:ascii="Arial" w:cs="Arial" w:eastAsia="Arial" w:hAnsi="Arial"/>
          <w:sz w:val="12"/>
          <w:szCs w:val="12"/>
          <w:i w:val="1"/>
          <w:iCs w:val="1"/>
          <w:color w:val="auto"/>
        </w:rPr>
        <w:t>(State or other jurisdiction of incorporation)</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jc w:val="center"/>
        <w:ind w:right="1380"/>
        <w:spacing w:after="0"/>
        <w:rPr>
          <w:sz w:val="20"/>
          <w:szCs w:val="20"/>
          <w:color w:val="auto"/>
        </w:rPr>
      </w:pPr>
      <w:r>
        <w:rPr>
          <w:rFonts w:ascii="Arial" w:cs="Arial" w:eastAsia="Arial" w:hAnsi="Arial"/>
          <w:sz w:val="13"/>
          <w:szCs w:val="13"/>
          <w:b w:val="1"/>
          <w:bCs w:val="1"/>
          <w:color w:val="auto"/>
        </w:rPr>
        <w:t>000-54014</w:t>
      </w:r>
    </w:p>
    <w:p>
      <w:pPr>
        <w:spacing w:after="0" w:line="16" w:lineRule="exact"/>
        <w:rPr>
          <w:sz w:val="24"/>
          <w:szCs w:val="24"/>
          <w:color w:val="auto"/>
        </w:rPr>
      </w:pPr>
    </w:p>
    <w:p>
      <w:pPr>
        <w:jc w:val="center"/>
        <w:ind w:right="1380"/>
        <w:spacing w:after="0"/>
        <w:rPr>
          <w:sz w:val="20"/>
          <w:szCs w:val="20"/>
          <w:color w:val="auto"/>
        </w:rPr>
      </w:pPr>
      <w:r>
        <w:rPr>
          <w:rFonts w:ascii="Arial" w:cs="Arial" w:eastAsia="Arial" w:hAnsi="Arial"/>
          <w:sz w:val="11"/>
          <w:szCs w:val="11"/>
          <w:i w:val="1"/>
          <w:iCs w:val="1"/>
          <w:color w:val="auto"/>
        </w:rPr>
        <w:t>(Commission File Number)</w:t>
      </w:r>
    </w:p>
    <w:p>
      <w:pPr>
        <w:spacing w:after="0" w:line="20" w:lineRule="exact"/>
        <w:rPr>
          <w:sz w:val="24"/>
          <w:szCs w:val="24"/>
          <w:color w:val="auto"/>
        </w:rPr>
      </w:pPr>
      <w:r>
        <w:rPr>
          <w:sz w:val="24"/>
          <w:szCs w:val="24"/>
          <w:color w:val="auto"/>
        </w:rPr>
        <w:br w:type="column"/>
      </w:r>
    </w:p>
    <w:p>
      <w:pPr>
        <w:spacing w:after="0" w:line="129" w:lineRule="exact"/>
        <w:rPr>
          <w:sz w:val="24"/>
          <w:szCs w:val="24"/>
          <w:color w:val="auto"/>
        </w:rPr>
      </w:pPr>
    </w:p>
    <w:p>
      <w:pPr>
        <w:jc w:val="center"/>
        <w:ind w:right="880"/>
        <w:spacing w:after="0"/>
        <w:rPr>
          <w:sz w:val="20"/>
          <w:szCs w:val="20"/>
          <w:color w:val="auto"/>
        </w:rPr>
      </w:pPr>
      <w:r>
        <w:rPr>
          <w:rFonts w:ascii="Arial" w:cs="Arial" w:eastAsia="Arial" w:hAnsi="Arial"/>
          <w:sz w:val="13"/>
          <w:szCs w:val="13"/>
          <w:b w:val="1"/>
          <w:bCs w:val="1"/>
          <w:color w:val="auto"/>
        </w:rPr>
        <w:t>20-5093315</w:t>
      </w:r>
    </w:p>
    <w:p>
      <w:pPr>
        <w:spacing w:after="0" w:line="16" w:lineRule="exact"/>
        <w:rPr>
          <w:sz w:val="24"/>
          <w:szCs w:val="24"/>
          <w:color w:val="auto"/>
        </w:rPr>
      </w:pPr>
    </w:p>
    <w:p>
      <w:pPr>
        <w:jc w:val="center"/>
        <w:ind w:right="880"/>
        <w:spacing w:after="0"/>
        <w:rPr>
          <w:sz w:val="20"/>
          <w:szCs w:val="20"/>
          <w:color w:val="auto"/>
        </w:rPr>
      </w:pPr>
      <w:r>
        <w:rPr>
          <w:rFonts w:ascii="Arial" w:cs="Arial" w:eastAsia="Arial" w:hAnsi="Arial"/>
          <w:sz w:val="11"/>
          <w:szCs w:val="11"/>
          <w:i w:val="1"/>
          <w:iCs w:val="1"/>
          <w:color w:val="auto"/>
        </w:rPr>
        <w:t>(IRS Employer Identification Number)</w:t>
      </w:r>
    </w:p>
    <w:p>
      <w:pPr>
        <w:spacing w:after="0" w:line="177" w:lineRule="exact"/>
        <w:rPr>
          <w:sz w:val="24"/>
          <w:szCs w:val="24"/>
          <w:color w:val="auto"/>
        </w:rPr>
      </w:pPr>
    </w:p>
    <w:p>
      <w:pPr>
        <w:sectPr>
          <w:pgSz w:w="11900" w:h="16838" w:orient="portrait"/>
          <w:cols w:equalWidth="0" w:num="3">
            <w:col w:w="4222" w:space="720"/>
            <w:col w:w="2780" w:space="720"/>
            <w:col w:w="2840"/>
          </w:cols>
          <w:pgMar w:left="298" w:top="725" w:right="319" w:bottom="1440" w:gutter="0" w:footer="0" w:header="0"/>
          <w:type w:val="continuous"/>
        </w:sectPr>
      </w:pPr>
    </w:p>
    <w:p>
      <w:pPr>
        <w:ind w:left="5182"/>
        <w:spacing w:after="0"/>
        <w:rPr>
          <w:sz w:val="20"/>
          <w:szCs w:val="20"/>
          <w:color w:val="auto"/>
        </w:rPr>
      </w:pPr>
      <w:r>
        <w:rPr>
          <w:rFonts w:ascii="Arial" w:cs="Arial" w:eastAsia="Arial" w:hAnsi="Arial"/>
          <w:sz w:val="13"/>
          <w:szCs w:val="13"/>
          <w:b w:val="1"/>
          <w:bCs w:val="1"/>
          <w:color w:val="auto"/>
        </w:rPr>
        <w:t>343 Allerton Ave.</w:t>
      </w:r>
    </w:p>
    <w:p>
      <w:pPr>
        <w:spacing w:after="0" w:line="16" w:lineRule="exact"/>
        <w:rPr>
          <w:sz w:val="24"/>
          <w:szCs w:val="24"/>
          <w:color w:val="auto"/>
        </w:rPr>
      </w:pPr>
    </w:p>
    <w:p>
      <w:pPr>
        <w:ind w:left="4602"/>
        <w:spacing w:after="0"/>
        <w:rPr>
          <w:sz w:val="20"/>
          <w:szCs w:val="20"/>
          <w:color w:val="auto"/>
        </w:rPr>
      </w:pPr>
      <w:r>
        <w:rPr>
          <w:rFonts w:ascii="Arial" w:cs="Arial" w:eastAsia="Arial" w:hAnsi="Arial"/>
          <w:sz w:val="13"/>
          <w:szCs w:val="13"/>
          <w:b w:val="1"/>
          <w:bCs w:val="1"/>
          <w:color w:val="auto"/>
        </w:rPr>
        <w:t>South San Francisco, California 94090</w:t>
      </w:r>
    </w:p>
    <w:p>
      <w:pPr>
        <w:spacing w:after="0" w:line="7" w:lineRule="exact"/>
        <w:rPr>
          <w:sz w:val="24"/>
          <w:szCs w:val="24"/>
          <w:color w:val="auto"/>
        </w:rPr>
      </w:pPr>
    </w:p>
    <w:p>
      <w:pPr>
        <w:ind w:left="4662"/>
        <w:spacing w:after="0"/>
        <w:rPr>
          <w:sz w:val="20"/>
          <w:szCs w:val="20"/>
          <w:color w:val="auto"/>
        </w:rPr>
      </w:pPr>
      <w:r>
        <w:rPr>
          <w:rFonts w:ascii="Arial" w:cs="Arial" w:eastAsia="Arial" w:hAnsi="Arial"/>
          <w:sz w:val="13"/>
          <w:szCs w:val="13"/>
          <w:i w:val="1"/>
          <w:iCs w:val="1"/>
          <w:color w:val="auto"/>
        </w:rPr>
        <w:t>(Address of principal executive offices)</w:t>
      </w:r>
    </w:p>
    <w:p>
      <w:pPr>
        <w:spacing w:after="0" w:line="154" w:lineRule="exact"/>
        <w:rPr>
          <w:sz w:val="24"/>
          <w:szCs w:val="24"/>
          <w:color w:val="auto"/>
        </w:rPr>
      </w:pPr>
    </w:p>
    <w:p>
      <w:pPr>
        <w:jc w:val="center"/>
        <w:ind w:right="-21"/>
        <w:spacing w:after="0"/>
        <w:rPr>
          <w:sz w:val="20"/>
          <w:szCs w:val="20"/>
          <w:color w:val="auto"/>
        </w:rPr>
      </w:pPr>
      <w:r>
        <w:rPr>
          <w:rFonts w:ascii="Arial" w:cs="Arial" w:eastAsia="Arial" w:hAnsi="Arial"/>
          <w:sz w:val="13"/>
          <w:szCs w:val="13"/>
          <w:b w:val="1"/>
          <w:bCs w:val="1"/>
          <w:color w:val="auto"/>
        </w:rPr>
        <w:t>(650) 577-3600</w:t>
      </w:r>
    </w:p>
    <w:p>
      <w:pPr>
        <w:spacing w:after="0" w:line="16" w:lineRule="exact"/>
        <w:rPr>
          <w:sz w:val="24"/>
          <w:szCs w:val="24"/>
          <w:color w:val="auto"/>
        </w:rPr>
      </w:pPr>
    </w:p>
    <w:p>
      <w:pPr>
        <w:jc w:val="center"/>
        <w:ind w:right="-21"/>
        <w:spacing w:after="0"/>
        <w:rPr>
          <w:sz w:val="20"/>
          <w:szCs w:val="20"/>
          <w:color w:val="auto"/>
        </w:rPr>
      </w:pPr>
      <w:r>
        <w:rPr>
          <w:rFonts w:ascii="Arial" w:cs="Arial" w:eastAsia="Arial" w:hAnsi="Arial"/>
          <w:sz w:val="13"/>
          <w:szCs w:val="13"/>
          <w:i w:val="1"/>
          <w:iCs w:val="1"/>
          <w:color w:val="auto"/>
        </w:rPr>
        <w:t>(Registrant’s telephone number, including area code)</w:t>
      </w:r>
    </w:p>
    <w:p>
      <w:pPr>
        <w:spacing w:after="0" w:line="154" w:lineRule="exact"/>
        <w:rPr>
          <w:sz w:val="24"/>
          <w:szCs w:val="24"/>
          <w:color w:val="auto"/>
        </w:rPr>
      </w:pPr>
    </w:p>
    <w:p>
      <w:pPr>
        <w:jc w:val="center"/>
        <w:ind w:right="-21"/>
        <w:spacing w:after="0"/>
        <w:rPr>
          <w:sz w:val="20"/>
          <w:szCs w:val="20"/>
          <w:color w:val="auto"/>
        </w:rPr>
      </w:pPr>
      <w:r>
        <w:rPr>
          <w:rFonts w:ascii="Arial" w:cs="Arial" w:eastAsia="Arial" w:hAnsi="Arial"/>
          <w:sz w:val="13"/>
          <w:szCs w:val="13"/>
          <w:b w:val="1"/>
          <w:bCs w:val="1"/>
          <w:color w:val="auto"/>
        </w:rPr>
        <w:t>Not Applicable</w:t>
      </w:r>
    </w:p>
    <w:p>
      <w:pPr>
        <w:spacing w:after="0" w:line="16" w:lineRule="exact"/>
        <w:rPr>
          <w:sz w:val="24"/>
          <w:szCs w:val="24"/>
          <w:color w:val="auto"/>
        </w:rPr>
      </w:pPr>
    </w:p>
    <w:p>
      <w:pPr>
        <w:jc w:val="center"/>
        <w:ind w:right="-41"/>
        <w:spacing w:after="0"/>
        <w:rPr>
          <w:sz w:val="20"/>
          <w:szCs w:val="20"/>
          <w:color w:val="auto"/>
        </w:rPr>
      </w:pPr>
      <w:r>
        <w:rPr>
          <w:rFonts w:ascii="Arial" w:cs="Arial" w:eastAsia="Arial" w:hAnsi="Arial"/>
          <w:sz w:val="11"/>
          <w:szCs w:val="11"/>
          <w:i w:val="1"/>
          <w:iCs w:val="1"/>
          <w:color w:val="auto"/>
        </w:rPr>
        <w:t>(Former name or former address, if changed since last report)</w:t>
      </w:r>
    </w:p>
    <w:p>
      <w:pPr>
        <w:sectPr>
          <w:pgSz w:w="11900" w:h="16838" w:orient="portrait"/>
          <w:cols w:equalWidth="0" w:num="1">
            <w:col w:w="11282"/>
          </w:cols>
          <w:pgMar w:left="298" w:top="725" w:right="319" w:bottom="1440" w:gutter="0" w:footer="0" w:header="0"/>
          <w:type w:val="continuous"/>
        </w:sectPr>
      </w:pPr>
    </w:p>
    <w:p>
      <w:pPr>
        <w:spacing w:after="0" w:line="289" w:lineRule="exact"/>
        <w:rPr>
          <w:sz w:val="24"/>
          <w:szCs w:val="24"/>
          <w:color w:val="auto"/>
        </w:rPr>
      </w:pPr>
    </w:p>
    <w:p>
      <w:pPr>
        <w:ind w:left="2"/>
        <w:spacing w:after="0"/>
        <w:rPr>
          <w:sz w:val="20"/>
          <w:szCs w:val="20"/>
          <w:color w:val="auto"/>
        </w:rPr>
      </w:pPr>
      <w:r>
        <w:rPr>
          <w:rFonts w:ascii="Arial" w:cs="Arial" w:eastAsia="Arial" w:hAnsi="Arial"/>
          <w:sz w:val="13"/>
          <w:szCs w:val="13"/>
          <w:color w:val="auto"/>
        </w:rPr>
        <w:t>Check the appropriate box below if the Form 8-K filing is intended to simultaneously satisfy the filing obligation of the registrant under any of the following provisions:</w:t>
      </w:r>
    </w:p>
    <w:p>
      <w:pPr>
        <w:spacing w:after="0" w:line="114" w:lineRule="exact"/>
        <w:rPr>
          <w:sz w:val="24"/>
          <w:szCs w:val="24"/>
          <w:color w:val="auto"/>
        </w:rPr>
      </w:pPr>
    </w:p>
    <w:p>
      <w:pPr>
        <w:ind w:left="142" w:hanging="142"/>
        <w:spacing w:after="0"/>
        <w:tabs>
          <w:tab w:leader="none" w:pos="142"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Written communications pursuant to Rule 425 under the Securities Act (17 CFR 230.425)</w:t>
      </w:r>
    </w:p>
    <w:p>
      <w:pPr>
        <w:spacing w:after="0" w:line="16" w:lineRule="exact"/>
        <w:rPr>
          <w:rFonts w:ascii="MS PGothic" w:cs="MS PGothic" w:eastAsia="MS PGothic" w:hAnsi="MS PGothic"/>
          <w:sz w:val="13"/>
          <w:szCs w:val="13"/>
          <w:color w:val="auto"/>
        </w:rPr>
      </w:pPr>
    </w:p>
    <w:p>
      <w:pPr>
        <w:ind w:left="142" w:hanging="142"/>
        <w:spacing w:after="0"/>
        <w:tabs>
          <w:tab w:leader="none" w:pos="142"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Soliciting material pursuant to Rule 14a-12 under the Exchange Act (17 CFR 240.14a -12)</w:t>
      </w:r>
    </w:p>
    <w:p>
      <w:pPr>
        <w:spacing w:after="0" w:line="6" w:lineRule="exact"/>
        <w:rPr>
          <w:rFonts w:ascii="MS PGothic" w:cs="MS PGothic" w:eastAsia="MS PGothic" w:hAnsi="MS PGothic"/>
          <w:sz w:val="13"/>
          <w:szCs w:val="13"/>
          <w:color w:val="auto"/>
        </w:rPr>
      </w:pPr>
    </w:p>
    <w:p>
      <w:pPr>
        <w:ind w:left="142" w:hanging="142"/>
        <w:spacing w:after="0"/>
        <w:tabs>
          <w:tab w:leader="none" w:pos="142"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14d-2(b) under the Exchange Act (17 CFR 240.14d -2(b))</w:t>
      </w:r>
    </w:p>
    <w:p>
      <w:pPr>
        <w:spacing w:after="0" w:line="6" w:lineRule="exact"/>
        <w:rPr>
          <w:rFonts w:ascii="MS PGothic" w:cs="MS PGothic" w:eastAsia="MS PGothic" w:hAnsi="MS PGothic"/>
          <w:sz w:val="13"/>
          <w:szCs w:val="13"/>
          <w:color w:val="auto"/>
        </w:rPr>
      </w:pPr>
    </w:p>
    <w:p>
      <w:pPr>
        <w:ind w:left="142" w:hanging="142"/>
        <w:spacing w:after="0"/>
        <w:tabs>
          <w:tab w:leader="none" w:pos="142" w:val="left"/>
        </w:tabs>
        <w:numPr>
          <w:ilvl w:val="0"/>
          <w:numId w:val="1"/>
        </w:numPr>
        <w:rPr>
          <w:rFonts w:ascii="MS PGothic" w:cs="MS PGothic" w:eastAsia="MS PGothic" w:hAnsi="MS PGothic"/>
          <w:sz w:val="13"/>
          <w:szCs w:val="13"/>
          <w:color w:val="auto"/>
        </w:rPr>
      </w:pPr>
      <w:r>
        <w:rPr>
          <w:rFonts w:ascii="Arial" w:cs="Arial" w:eastAsia="Arial" w:hAnsi="Arial"/>
          <w:sz w:val="13"/>
          <w:szCs w:val="13"/>
          <w:color w:val="auto"/>
        </w:rPr>
        <w:t>Pre-commencement communications pursuant to Rule 13e-4(c) under the Exchange Act (17 CFR 240.13e -4(c))</w:t>
      </w:r>
    </w:p>
    <w:p>
      <w:pPr>
        <w:spacing w:after="0" w:line="153" w:lineRule="exact"/>
        <w:rPr>
          <w:sz w:val="24"/>
          <w:szCs w:val="24"/>
          <w:color w:val="auto"/>
        </w:rPr>
      </w:pPr>
    </w:p>
    <w:tbl>
      <w:tblPr>
        <w:tblLayout w:type="fixed"/>
        <w:tblInd w:w="2" w:type="dxa"/>
        <w:tblCellMar>
          <w:top w:w="0" w:type="dxa"/>
          <w:left w:w="0" w:type="dxa"/>
          <w:bottom w:w="0" w:type="dxa"/>
          <w:right w:w="0" w:type="dxa"/>
        </w:tblCellMar>
      </w:tblPr>
      <w:tr>
        <w:trPr>
          <w:trHeight w:val="161"/>
        </w:trPr>
        <w:tc>
          <w:tcPr>
            <w:tcW w:w="4060" w:type="dxa"/>
            <w:vAlign w:val="bottom"/>
            <w:gridSpan w:val="3"/>
          </w:tcPr>
          <w:p>
            <w:pPr>
              <w:spacing w:after="0"/>
              <w:rPr>
                <w:sz w:val="20"/>
                <w:szCs w:val="20"/>
                <w:color w:val="auto"/>
              </w:rPr>
            </w:pPr>
            <w:r>
              <w:rPr>
                <w:rFonts w:ascii="Arial" w:cs="Arial" w:eastAsia="Arial" w:hAnsi="Arial"/>
                <w:sz w:val="13"/>
                <w:szCs w:val="13"/>
                <w:color w:val="auto"/>
              </w:rPr>
              <w:t>Securities registered pursuant to Section 12(b) of the Act:</w:t>
            </w:r>
          </w:p>
        </w:tc>
        <w:tc>
          <w:tcPr>
            <w:tcW w:w="1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2240" w:type="dxa"/>
            <w:vAlign w:val="bottom"/>
          </w:tcPr>
          <w:p>
            <w:pPr>
              <w:spacing w:after="0"/>
              <w:rPr>
                <w:sz w:val="14"/>
                <w:szCs w:val="14"/>
                <w:color w:val="auto"/>
              </w:rPr>
            </w:pPr>
          </w:p>
        </w:tc>
      </w:tr>
      <w:tr>
        <w:trPr>
          <w:trHeight w:val="284"/>
        </w:trPr>
        <w:tc>
          <w:tcPr>
            <w:tcW w:w="1420" w:type="dxa"/>
            <w:vAlign w:val="bottom"/>
          </w:tcPr>
          <w:p>
            <w:pPr>
              <w:spacing w:after="0"/>
              <w:rPr>
                <w:sz w:val="24"/>
                <w:szCs w:val="24"/>
                <w:color w:val="auto"/>
              </w:rPr>
            </w:pPr>
          </w:p>
        </w:tc>
        <w:tc>
          <w:tcPr>
            <w:tcW w:w="920" w:type="dxa"/>
            <w:vAlign w:val="bottom"/>
          </w:tcPr>
          <w:p>
            <w:pPr>
              <w:jc w:val="center"/>
              <w:spacing w:after="0"/>
              <w:rPr>
                <w:sz w:val="20"/>
                <w:szCs w:val="20"/>
                <w:color w:val="auto"/>
              </w:rPr>
            </w:pPr>
            <w:r>
              <w:rPr>
                <w:rFonts w:ascii="Arial" w:cs="Arial" w:eastAsia="Arial" w:hAnsi="Arial"/>
                <w:sz w:val="13"/>
                <w:szCs w:val="13"/>
                <w:color w:val="auto"/>
                <w:w w:val="88"/>
              </w:rPr>
              <w:t>Title of each class</w:t>
            </w:r>
          </w:p>
        </w:tc>
        <w:tc>
          <w:tcPr>
            <w:tcW w:w="1720" w:type="dxa"/>
            <w:vAlign w:val="bottom"/>
          </w:tcPr>
          <w:p>
            <w:pPr>
              <w:spacing w:after="0"/>
              <w:rPr>
                <w:sz w:val="24"/>
                <w:szCs w:val="24"/>
                <w:color w:val="auto"/>
              </w:rPr>
            </w:pPr>
          </w:p>
        </w:tc>
        <w:tc>
          <w:tcPr>
            <w:tcW w:w="4220" w:type="dxa"/>
            <w:vAlign w:val="bottom"/>
            <w:gridSpan w:val="3"/>
          </w:tcPr>
          <w:p>
            <w:pPr>
              <w:jc w:val="center"/>
              <w:ind w:right="1060"/>
              <w:spacing w:after="0"/>
              <w:rPr>
                <w:sz w:val="20"/>
                <w:szCs w:val="20"/>
                <w:color w:val="auto"/>
              </w:rPr>
            </w:pPr>
            <w:r>
              <w:rPr>
                <w:rFonts w:ascii="Arial" w:cs="Arial" w:eastAsia="Arial" w:hAnsi="Arial"/>
                <w:sz w:val="13"/>
                <w:szCs w:val="13"/>
                <w:color w:val="auto"/>
                <w:w w:val="90"/>
              </w:rPr>
              <w:t>Trading Symbol(s)</w:t>
            </w:r>
          </w:p>
        </w:tc>
        <w:tc>
          <w:tcPr>
            <w:tcW w:w="2240" w:type="dxa"/>
            <w:vAlign w:val="bottom"/>
          </w:tcPr>
          <w:p>
            <w:pPr>
              <w:jc w:val="center"/>
              <w:spacing w:after="0"/>
              <w:rPr>
                <w:sz w:val="20"/>
                <w:szCs w:val="20"/>
                <w:color w:val="auto"/>
              </w:rPr>
            </w:pPr>
            <w:r>
              <w:rPr>
                <w:rFonts w:ascii="Arial" w:cs="Arial" w:eastAsia="Arial" w:hAnsi="Arial"/>
                <w:sz w:val="13"/>
                <w:szCs w:val="13"/>
                <w:color w:val="auto"/>
                <w:w w:val="87"/>
              </w:rPr>
              <w:t>Name of each exchange on which registered</w:t>
            </w:r>
          </w:p>
        </w:tc>
      </w:tr>
      <w:tr>
        <w:trPr>
          <w:trHeight w:val="20"/>
        </w:trPr>
        <w:tc>
          <w:tcPr>
            <w:tcW w:w="142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720" w:type="dxa"/>
            <w:vAlign w:val="bottom"/>
          </w:tcPr>
          <w:p>
            <w:pPr>
              <w:spacing w:after="0" w:line="20" w:lineRule="exact"/>
              <w:rPr>
                <w:sz w:val="1"/>
                <w:szCs w:val="1"/>
                <w:color w:val="auto"/>
              </w:rPr>
            </w:pPr>
          </w:p>
        </w:tc>
        <w:tc>
          <w:tcPr>
            <w:tcW w:w="110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2160" w:type="dxa"/>
            <w:vAlign w:val="bottom"/>
          </w:tcPr>
          <w:p>
            <w:pPr>
              <w:spacing w:after="0" w:line="20" w:lineRule="exact"/>
              <w:rPr>
                <w:sz w:val="1"/>
                <w:szCs w:val="1"/>
                <w:color w:val="auto"/>
              </w:rPr>
            </w:pPr>
          </w:p>
        </w:tc>
        <w:tc>
          <w:tcPr>
            <w:tcW w:w="2240" w:type="dxa"/>
            <w:vAlign w:val="bottom"/>
            <w:shd w:val="clear" w:color="auto" w:fill="000000"/>
          </w:tcPr>
          <w:p>
            <w:pPr>
              <w:spacing w:after="0" w:line="20" w:lineRule="exact"/>
              <w:rPr>
                <w:sz w:val="1"/>
                <w:szCs w:val="1"/>
                <w:color w:val="auto"/>
              </w:rPr>
            </w:pPr>
          </w:p>
        </w:tc>
      </w:tr>
      <w:tr>
        <w:trPr>
          <w:trHeight w:val="165"/>
        </w:trPr>
        <w:tc>
          <w:tcPr>
            <w:tcW w:w="4060" w:type="dxa"/>
            <w:vAlign w:val="bottom"/>
            <w:gridSpan w:val="3"/>
          </w:tcPr>
          <w:p>
            <w:pPr>
              <w:jc w:val="center"/>
              <w:ind w:right="300"/>
              <w:spacing w:after="0"/>
              <w:rPr>
                <w:sz w:val="20"/>
                <w:szCs w:val="20"/>
                <w:color w:val="auto"/>
              </w:rPr>
            </w:pPr>
            <w:r>
              <w:rPr>
                <w:rFonts w:ascii="Arial" w:cs="Arial" w:eastAsia="Arial" w:hAnsi="Arial"/>
                <w:sz w:val="13"/>
                <w:szCs w:val="13"/>
                <w:color w:val="auto"/>
                <w:w w:val="87"/>
              </w:rPr>
              <w:t>Common Stock, par value $0.001 per share</w:t>
            </w:r>
          </w:p>
        </w:tc>
        <w:tc>
          <w:tcPr>
            <w:tcW w:w="1100" w:type="dxa"/>
            <w:vAlign w:val="bottom"/>
          </w:tcPr>
          <w:p>
            <w:pPr>
              <w:spacing w:after="0"/>
              <w:rPr>
                <w:sz w:val="14"/>
                <w:szCs w:val="14"/>
                <w:color w:val="auto"/>
              </w:rPr>
            </w:pPr>
          </w:p>
        </w:tc>
        <w:tc>
          <w:tcPr>
            <w:tcW w:w="3120" w:type="dxa"/>
            <w:vAlign w:val="bottom"/>
            <w:gridSpan w:val="2"/>
          </w:tcPr>
          <w:p>
            <w:pPr>
              <w:jc w:val="center"/>
              <w:ind w:right="2160"/>
              <w:spacing w:after="0"/>
              <w:rPr>
                <w:sz w:val="20"/>
                <w:szCs w:val="20"/>
                <w:color w:val="auto"/>
              </w:rPr>
            </w:pPr>
            <w:r>
              <w:rPr>
                <w:rFonts w:ascii="Arial" w:cs="Arial" w:eastAsia="Arial" w:hAnsi="Arial"/>
                <w:sz w:val="13"/>
                <w:szCs w:val="13"/>
                <w:color w:val="auto"/>
                <w:w w:val="99"/>
              </w:rPr>
              <w:t>VTGN</w:t>
            </w:r>
          </w:p>
        </w:tc>
        <w:tc>
          <w:tcPr>
            <w:tcW w:w="2240" w:type="dxa"/>
            <w:vAlign w:val="bottom"/>
          </w:tcPr>
          <w:p>
            <w:pPr>
              <w:jc w:val="center"/>
              <w:spacing w:after="0"/>
              <w:rPr>
                <w:sz w:val="20"/>
                <w:szCs w:val="20"/>
                <w:color w:val="auto"/>
              </w:rPr>
            </w:pPr>
            <w:r>
              <w:rPr>
                <w:rFonts w:ascii="Arial" w:cs="Arial" w:eastAsia="Arial" w:hAnsi="Arial"/>
                <w:sz w:val="13"/>
                <w:szCs w:val="13"/>
                <w:color w:val="auto"/>
                <w:w w:val="89"/>
              </w:rPr>
              <w:t>Nasdaq Capital Market</w:t>
            </w:r>
          </w:p>
        </w:tc>
      </w:tr>
    </w:tbl>
    <w:p>
      <w:pPr>
        <w:spacing w:after="0" w:line="151" w:lineRule="exact"/>
        <w:rPr>
          <w:sz w:val="24"/>
          <w:szCs w:val="24"/>
          <w:color w:val="auto"/>
        </w:rPr>
      </w:pPr>
    </w:p>
    <w:p>
      <w:pPr>
        <w:ind w:left="2"/>
        <w:spacing w:after="0" w:line="269" w:lineRule="auto"/>
        <w:rPr>
          <w:sz w:val="20"/>
          <w:szCs w:val="20"/>
          <w:color w:val="auto"/>
        </w:rPr>
      </w:pPr>
      <w:r>
        <w:rPr>
          <w:rFonts w:ascii="Arial" w:cs="Arial" w:eastAsia="Arial" w:hAnsi="Arial"/>
          <w:sz w:val="13"/>
          <w:szCs w:val="13"/>
          <w:color w:val="auto"/>
        </w:rPr>
        <w:t>Indicate by check mark whether the registrant is an emerging growth company as defined in Rule 405 of the Securities Act of 1933 (17 CFR 230.405) or Rule 12b-2 of the Securities Exchange Act of 1934 (17 CFR 240.12b-2)</w:t>
      </w:r>
    </w:p>
    <w:p>
      <w:pPr>
        <w:spacing w:after="0" w:line="109" w:lineRule="exact"/>
        <w:rPr>
          <w:sz w:val="24"/>
          <w:szCs w:val="24"/>
          <w:color w:val="auto"/>
        </w:rPr>
      </w:pPr>
    </w:p>
    <w:p>
      <w:pPr>
        <w:ind w:left="9702"/>
        <w:spacing w:after="0" w:line="127" w:lineRule="exact"/>
        <w:rPr>
          <w:sz w:val="20"/>
          <w:szCs w:val="20"/>
          <w:color w:val="auto"/>
        </w:rPr>
      </w:pPr>
      <w:r>
        <w:rPr>
          <w:rFonts w:ascii="Arial" w:cs="Arial" w:eastAsia="Arial" w:hAnsi="Arial"/>
          <w:sz w:val="11"/>
          <w:szCs w:val="11"/>
          <w:color w:val="auto"/>
        </w:rPr>
        <w:t xml:space="preserve">Emerging Growth Company </w:t>
      </w:r>
      <w:r>
        <w:rPr>
          <w:rFonts w:ascii="MS PGothic" w:cs="MS PGothic" w:eastAsia="MS PGothic" w:hAnsi="MS PGothic"/>
          <w:sz w:val="11"/>
          <w:szCs w:val="11"/>
          <w:color w:val="auto"/>
        </w:rPr>
        <w:t>☐</w:t>
      </w:r>
    </w:p>
    <w:p>
      <w:pPr>
        <w:spacing w:after="0" w:line="211" w:lineRule="exact"/>
        <w:rPr>
          <w:sz w:val="24"/>
          <w:szCs w:val="24"/>
          <w:color w:val="auto"/>
        </w:rPr>
      </w:pPr>
    </w:p>
    <w:p>
      <w:pPr>
        <w:ind w:left="2"/>
        <w:spacing w:after="0" w:line="166" w:lineRule="exact"/>
        <w:rPr>
          <w:sz w:val="20"/>
          <w:szCs w:val="20"/>
          <w:color w:val="auto"/>
        </w:rPr>
      </w:pPr>
      <w:r>
        <w:rPr>
          <w:rFonts w:ascii="Arial" w:cs="Arial" w:eastAsia="Arial" w:hAnsi="Arial"/>
          <w:sz w:val="13"/>
          <w:szCs w:val="13"/>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3"/>
          <w:szCs w:val="13"/>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190500</wp:posOffset>
            </wp:positionV>
            <wp:extent cx="7170420" cy="635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70420" cy="635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246380</wp:posOffset>
            </wp:positionV>
            <wp:extent cx="7170420"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70420" cy="24765"/>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407670</wp:posOffset>
            </wp:positionV>
            <wp:extent cx="7170420" cy="1270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70420" cy="12700"/>
                    </a:xfrm>
                    <a:prstGeom prst="rect">
                      <a:avLst/>
                    </a:prstGeom>
                    <a:noFill/>
                  </pic:spPr>
                </pic:pic>
              </a:graphicData>
            </a:graphic>
          </wp:anchor>
        </w:drawing>
      </w:r>
    </w:p>
    <w:p>
      <w:pPr>
        <w:sectPr>
          <w:pgSz w:w="11900" w:h="16838" w:orient="portrait"/>
          <w:cols w:equalWidth="0" w:num="1">
            <w:col w:w="11282"/>
          </w:cols>
          <w:pgMar w:left="298" w:top="725" w:right="319" w:bottom="1440" w:gutter="0" w:footer="0" w:header="0"/>
          <w:type w:val="continuous"/>
        </w:sectPr>
      </w:pPr>
    </w:p>
    <w:bookmarkStart w:id="1" w:name="page2"/>
    <w:bookmarkEnd w:id="1"/>
    <w:p>
      <w:pPr>
        <w:spacing w:after="0"/>
        <w:tabs>
          <w:tab w:leader="none" w:pos="640" w:val="left"/>
        </w:tabs>
        <w:rPr>
          <w:sz w:val="20"/>
          <w:szCs w:val="20"/>
          <w:color w:val="auto"/>
        </w:rPr>
      </w:pPr>
      <w:r>
        <w:rPr>
          <w:rFonts w:ascii="Arial" w:cs="Arial" w:eastAsia="Arial" w:hAnsi="Arial"/>
          <w:sz w:val="13"/>
          <w:szCs w:val="13"/>
          <w:b w:val="1"/>
          <w:bCs w:val="1"/>
          <w:color w:val="auto"/>
        </w:rPr>
        <w:t>Item 2.02</w:t>
      </w:r>
      <w:r>
        <w:rPr>
          <w:sz w:val="20"/>
          <w:szCs w:val="20"/>
          <w:color w:val="auto"/>
        </w:rPr>
        <w:tab/>
      </w:r>
      <w:r>
        <w:rPr>
          <w:rFonts w:ascii="Arial" w:cs="Arial" w:eastAsia="Arial" w:hAnsi="Arial"/>
          <w:sz w:val="11"/>
          <w:szCs w:val="11"/>
          <w:b w:val="1"/>
          <w:bCs w:val="1"/>
          <w:color w:val="auto"/>
        </w:rPr>
        <w:t>Results of Operations and Financial Condition.</w:t>
      </w:r>
    </w:p>
    <w:p>
      <w:pPr>
        <w:spacing w:after="0" w:line="167" w:lineRule="exact"/>
        <w:rPr>
          <w:sz w:val="20"/>
          <w:szCs w:val="20"/>
          <w:color w:val="auto"/>
        </w:rPr>
      </w:pPr>
    </w:p>
    <w:p>
      <w:pPr>
        <w:jc w:val="both"/>
        <w:ind w:right="20" w:firstLine="469"/>
        <w:spacing w:after="0" w:line="269" w:lineRule="auto"/>
        <w:rPr>
          <w:sz w:val="20"/>
          <w:szCs w:val="20"/>
          <w:color w:val="auto"/>
        </w:rPr>
      </w:pPr>
      <w:r>
        <w:rPr>
          <w:rFonts w:ascii="Arial" w:cs="Arial" w:eastAsia="Arial" w:hAnsi="Arial"/>
          <w:sz w:val="13"/>
          <w:szCs w:val="13"/>
          <w:color w:val="auto"/>
        </w:rPr>
        <w:t>On August 13, 2020, VistaGen Therapeutics, Inc. (the “</w:t>
      </w:r>
      <w:r>
        <w:rPr>
          <w:rFonts w:ascii="Arial" w:cs="Arial" w:eastAsia="Arial" w:hAnsi="Arial"/>
          <w:sz w:val="13"/>
          <w:szCs w:val="13"/>
          <w:i w:val="1"/>
          <w:iCs w:val="1"/>
          <w:color w:val="auto"/>
        </w:rPr>
        <w:t>Company</w:t>
      </w:r>
      <w:r>
        <w:rPr>
          <w:rFonts w:ascii="Arial" w:cs="Arial" w:eastAsia="Arial" w:hAnsi="Arial"/>
          <w:sz w:val="13"/>
          <w:szCs w:val="13"/>
          <w:color w:val="auto"/>
        </w:rPr>
        <w:t>”) issued a press release to announce the Company’s financial results for its fiscal year 2021 first quarter ended June 30, 2020. A copy of the press release is attached to this Current Report on Form 8-K as Exhibit 99.1.</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7.01. Regulation FD Disclosure.</w:t>
      </w:r>
    </w:p>
    <w:p>
      <w:pPr>
        <w:spacing w:after="0" w:line="167" w:lineRule="exact"/>
        <w:rPr>
          <w:sz w:val="20"/>
          <w:szCs w:val="20"/>
          <w:color w:val="auto"/>
        </w:rPr>
      </w:pPr>
    </w:p>
    <w:p>
      <w:pPr>
        <w:ind w:left="460"/>
        <w:spacing w:after="0"/>
        <w:rPr>
          <w:sz w:val="20"/>
          <w:szCs w:val="20"/>
          <w:color w:val="auto"/>
        </w:rPr>
      </w:pPr>
      <w:r>
        <w:rPr>
          <w:rFonts w:ascii="Arial" w:cs="Arial" w:eastAsia="Arial" w:hAnsi="Arial"/>
          <w:sz w:val="12"/>
          <w:szCs w:val="12"/>
          <w:color w:val="auto"/>
        </w:rPr>
        <w:t>On August 14, 2020, the Company began utilizing a new corporate presentation. A copy of the updated corporate presentation is attached to this Current Report on Form 8-K as Exhibit 99.2.</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Disclaimer.</w:t>
      </w:r>
    </w:p>
    <w:p>
      <w:pPr>
        <w:spacing w:after="0" w:line="167" w:lineRule="exact"/>
        <w:rPr>
          <w:sz w:val="20"/>
          <w:szCs w:val="20"/>
          <w:color w:val="auto"/>
        </w:rPr>
      </w:pPr>
    </w:p>
    <w:p>
      <w:pPr>
        <w:jc w:val="both"/>
        <w:ind w:firstLine="469"/>
        <w:spacing w:after="0" w:line="260" w:lineRule="auto"/>
        <w:rPr>
          <w:sz w:val="20"/>
          <w:szCs w:val="20"/>
          <w:color w:val="auto"/>
        </w:rPr>
      </w:pPr>
      <w:r>
        <w:rPr>
          <w:rFonts w:ascii="Arial" w:cs="Arial" w:eastAsia="Arial" w:hAnsi="Arial"/>
          <w:sz w:val="13"/>
          <w:szCs w:val="13"/>
          <w:color w:val="auto"/>
        </w:rPr>
        <w:t>The information in this Current Report on Form 8-K, including the information set forth in Exhibits 99.1 and 99.2, are being furnished and shall not be deemed “filed” for purposes of Section 18 of the Securities Exchange Act of 1934, as amended (the “</w:t>
      </w:r>
      <w:r>
        <w:rPr>
          <w:rFonts w:ascii="Arial" w:cs="Arial" w:eastAsia="Arial" w:hAnsi="Arial"/>
          <w:sz w:val="13"/>
          <w:szCs w:val="13"/>
          <w:i w:val="1"/>
          <w:iCs w:val="1"/>
          <w:color w:val="auto"/>
        </w:rPr>
        <w:t>Exchange Act</w:t>
      </w:r>
      <w:r>
        <w:rPr>
          <w:rFonts w:ascii="Arial" w:cs="Arial" w:eastAsia="Arial" w:hAnsi="Arial"/>
          <w:sz w:val="13"/>
          <w:szCs w:val="13"/>
          <w:color w:val="auto"/>
        </w:rPr>
        <w:t>”), nor shall Exhibits 99.1 and 99.2 filed herewith be deemed incorporated by reference in any filing under the Securities Act of 1933, as amended, or the Exchange Act, except as shall be expressly set forth by specific reference in such a filing.</w:t>
      </w:r>
    </w:p>
    <w:p>
      <w:pPr>
        <w:spacing w:after="0" w:line="135"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Item 9.01 Financial Statements and Exhibits</w:t>
      </w:r>
      <w:r>
        <w:rPr>
          <w:rFonts w:ascii="Arial" w:cs="Arial" w:eastAsia="Arial" w:hAnsi="Arial"/>
          <w:sz w:val="13"/>
          <w:szCs w:val="13"/>
          <w:color w:val="auto"/>
        </w:rPr>
        <w:t>.</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140" w:type="dxa"/>
            <w:vAlign w:val="bottom"/>
          </w:tcPr>
          <w:p>
            <w:pPr>
              <w:spacing w:after="0"/>
              <w:rPr>
                <w:sz w:val="20"/>
                <w:szCs w:val="20"/>
                <w:color w:val="auto"/>
              </w:rPr>
            </w:pPr>
            <w:r>
              <w:rPr>
                <w:rFonts w:ascii="Arial" w:cs="Arial" w:eastAsia="Arial" w:hAnsi="Arial"/>
                <w:sz w:val="13"/>
                <w:szCs w:val="13"/>
                <w:b w:val="1"/>
                <w:bCs w:val="1"/>
                <w:color w:val="auto"/>
              </w:rPr>
              <w:t>(d) Exhibits Index</w:t>
            </w:r>
          </w:p>
        </w:tc>
        <w:tc>
          <w:tcPr>
            <w:tcW w:w="220" w:type="dxa"/>
            <w:vAlign w:val="bottom"/>
          </w:tcPr>
          <w:p>
            <w:pPr>
              <w:spacing w:after="0"/>
              <w:rPr>
                <w:sz w:val="14"/>
                <w:szCs w:val="14"/>
                <w:color w:val="auto"/>
              </w:rPr>
            </w:pPr>
          </w:p>
        </w:tc>
        <w:tc>
          <w:tcPr>
            <w:tcW w:w="9920" w:type="dxa"/>
            <w:vAlign w:val="bottom"/>
          </w:tcPr>
          <w:p>
            <w:pPr>
              <w:spacing w:after="0"/>
              <w:rPr>
                <w:sz w:val="14"/>
                <w:szCs w:val="14"/>
                <w:color w:val="auto"/>
              </w:rPr>
            </w:pPr>
          </w:p>
        </w:tc>
      </w:tr>
      <w:tr>
        <w:trPr>
          <w:trHeight w:val="313"/>
        </w:trPr>
        <w:tc>
          <w:tcPr>
            <w:tcW w:w="114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91"/>
              </w:rPr>
              <w:t>Exhibit No.</w:t>
            </w:r>
          </w:p>
        </w:tc>
        <w:tc>
          <w:tcPr>
            <w:tcW w:w="220" w:type="dxa"/>
            <w:vAlign w:val="bottom"/>
          </w:tcPr>
          <w:p>
            <w:pPr>
              <w:spacing w:after="0"/>
              <w:rPr>
                <w:sz w:val="24"/>
                <w:szCs w:val="24"/>
                <w:color w:val="auto"/>
              </w:rPr>
            </w:pPr>
          </w:p>
        </w:tc>
        <w:tc>
          <w:tcPr>
            <w:tcW w:w="9920" w:type="dxa"/>
            <w:vAlign w:val="bottom"/>
            <w:tcBorders>
              <w:bottom w:val="single" w:sz="8" w:color="auto"/>
            </w:tcBorders>
          </w:tcPr>
          <w:p>
            <w:pPr>
              <w:ind w:left="4640"/>
              <w:spacing w:after="0"/>
              <w:rPr>
                <w:sz w:val="20"/>
                <w:szCs w:val="20"/>
                <w:color w:val="auto"/>
              </w:rPr>
            </w:pPr>
            <w:r>
              <w:rPr>
                <w:rFonts w:ascii="Arial" w:cs="Arial" w:eastAsia="Arial" w:hAnsi="Arial"/>
                <w:sz w:val="13"/>
                <w:szCs w:val="13"/>
                <w:b w:val="1"/>
                <w:bCs w:val="1"/>
                <w:color w:val="auto"/>
              </w:rPr>
              <w:t>Description</w:t>
            </w:r>
          </w:p>
        </w:tc>
      </w:tr>
      <w:tr>
        <w:trPr>
          <w:trHeight w:val="147"/>
        </w:trPr>
        <w:tc>
          <w:tcPr>
            <w:tcW w:w="1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920" w:type="dxa"/>
            <w:vAlign w:val="bottom"/>
          </w:tcPr>
          <w:p>
            <w:pPr>
              <w:spacing w:after="0"/>
              <w:rPr>
                <w:sz w:val="12"/>
                <w:szCs w:val="12"/>
                <w:color w:val="auto"/>
              </w:rPr>
            </w:pPr>
          </w:p>
        </w:tc>
      </w:tr>
      <w:tr>
        <w:trPr>
          <w:trHeight w:val="156"/>
        </w:trPr>
        <w:tc>
          <w:tcPr>
            <w:tcW w:w="1140" w:type="dxa"/>
            <w:vAlign w:val="bottom"/>
            <w:shd w:val="clear" w:color="auto" w:fill="CCEEFF"/>
          </w:tcPr>
          <w:p>
            <w:pPr>
              <w:jc w:val="center"/>
              <w:spacing w:after="0"/>
              <w:rPr>
                <w:rFonts w:ascii="Arial" w:cs="Arial" w:eastAsia="Arial" w:hAnsi="Arial"/>
                <w:sz w:val="13"/>
                <w:szCs w:val="13"/>
                <w:u w:val="single" w:color="auto"/>
                <w:color w:val="0000EE"/>
                <w:w w:val="86"/>
              </w:rPr>
            </w:pPr>
            <w:hyperlink w:anchor="page4">
              <w:r>
                <w:rPr>
                  <w:rFonts w:ascii="Arial" w:cs="Arial" w:eastAsia="Arial" w:hAnsi="Arial"/>
                  <w:sz w:val="13"/>
                  <w:szCs w:val="13"/>
                  <w:u w:val="single" w:color="auto"/>
                  <w:color w:val="0000EE"/>
                  <w:w w:val="86"/>
                </w:rPr>
                <w:t>99.1</w:t>
              </w:r>
            </w:hyperlink>
          </w:p>
        </w:tc>
        <w:tc>
          <w:tcPr>
            <w:tcW w:w="10140" w:type="dxa"/>
            <w:vAlign w:val="bottom"/>
            <w:gridSpan w:val="2"/>
            <w:shd w:val="clear" w:color="auto" w:fill="CCEEFF"/>
          </w:tcPr>
          <w:p>
            <w:pPr>
              <w:ind w:left="220"/>
              <w:spacing w:after="0"/>
              <w:rPr>
                <w:sz w:val="20"/>
                <w:szCs w:val="20"/>
                <w:color w:val="auto"/>
              </w:rPr>
            </w:pPr>
            <w:r>
              <w:rPr>
                <w:rFonts w:ascii="Arial" w:cs="Arial" w:eastAsia="Arial" w:hAnsi="Arial"/>
                <w:sz w:val="13"/>
                <w:szCs w:val="13"/>
                <w:color w:val="auto"/>
              </w:rPr>
              <w:t>Press Release issued by VistaGen Therapeutics, Inc., dated August 13, 2020</w:t>
            </w:r>
          </w:p>
        </w:tc>
      </w:tr>
      <w:tr>
        <w:trPr>
          <w:trHeight w:val="161"/>
        </w:trPr>
        <w:tc>
          <w:tcPr>
            <w:tcW w:w="1140" w:type="dxa"/>
            <w:vAlign w:val="bottom"/>
          </w:tcPr>
          <w:p>
            <w:pPr>
              <w:jc w:val="center"/>
              <w:spacing w:after="0"/>
              <w:rPr>
                <w:rFonts w:ascii="Arial" w:cs="Arial" w:eastAsia="Arial" w:hAnsi="Arial"/>
                <w:sz w:val="13"/>
                <w:szCs w:val="13"/>
                <w:u w:val="single" w:color="auto"/>
                <w:color w:val="0000EE"/>
                <w:w w:val="86"/>
              </w:rPr>
            </w:pPr>
            <w:hyperlink w:anchor="page9">
              <w:r>
                <w:rPr>
                  <w:rFonts w:ascii="Arial" w:cs="Arial" w:eastAsia="Arial" w:hAnsi="Arial"/>
                  <w:sz w:val="13"/>
                  <w:szCs w:val="13"/>
                  <w:u w:val="single" w:color="auto"/>
                  <w:color w:val="0000EE"/>
                  <w:w w:val="86"/>
                </w:rPr>
                <w:t>99.2</w:t>
              </w:r>
            </w:hyperlink>
          </w:p>
        </w:tc>
        <w:tc>
          <w:tcPr>
            <w:tcW w:w="10140" w:type="dxa"/>
            <w:vAlign w:val="bottom"/>
            <w:gridSpan w:val="2"/>
          </w:tcPr>
          <w:p>
            <w:pPr>
              <w:ind w:left="220"/>
              <w:spacing w:after="0"/>
              <w:rPr>
                <w:sz w:val="20"/>
                <w:szCs w:val="20"/>
                <w:color w:val="auto"/>
              </w:rPr>
            </w:pPr>
            <w:r>
              <w:rPr>
                <w:rFonts w:ascii="Arial" w:cs="Arial" w:eastAsia="Arial" w:hAnsi="Arial"/>
                <w:sz w:val="13"/>
                <w:szCs w:val="13"/>
                <w:color w:val="auto"/>
              </w:rPr>
              <w:t>VistaGen Therapeutics, Inc. Corporate Presentation, dated August 2020</w:t>
            </w:r>
          </w:p>
        </w:tc>
      </w:tr>
      <w:tr>
        <w:trPr>
          <w:trHeight w:val="952"/>
        </w:trPr>
        <w:tc>
          <w:tcPr>
            <w:tcW w:w="114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9920" w:type="dxa"/>
            <w:vAlign w:val="bottom"/>
            <w:tcBorders>
              <w:bottom w:val="single" w:sz="8" w:color="auto"/>
            </w:tcBorders>
          </w:tcPr>
          <w:p>
            <w:pPr>
              <w:spacing w:after="0"/>
              <w:rPr>
                <w:sz w:val="24"/>
                <w:szCs w:val="24"/>
                <w:color w:val="auto"/>
              </w:rPr>
            </w:pPr>
          </w:p>
        </w:tc>
      </w:tr>
    </w:tbl>
    <w:p>
      <w:pPr>
        <w:sectPr>
          <w:pgSz w:w="11900" w:h="16838" w:orient="portrait"/>
          <w:cols w:equalWidth="0" w:num="1">
            <w:col w:w="11300"/>
          </w:cols>
          <w:pgMar w:left="300" w:top="442" w:right="299" w:bottom="1440" w:gutter="0" w:footer="0" w:header="0"/>
        </w:sectPr>
      </w:pPr>
    </w:p>
    <w:bookmarkStart w:id="2" w:name="page3"/>
    <w:bookmarkEnd w:id="2"/>
    <w:p>
      <w:pPr>
        <w:ind w:left="5580"/>
        <w:spacing w:after="0"/>
        <w:rPr>
          <w:sz w:val="20"/>
          <w:szCs w:val="20"/>
          <w:color w:val="auto"/>
        </w:rPr>
      </w:pPr>
      <w:r>
        <w:rPr>
          <w:rFonts w:ascii="Arial" w:cs="Arial" w:eastAsia="Arial" w:hAnsi="Arial"/>
          <w:sz w:val="13"/>
          <w:szCs w:val="13"/>
          <w:b w:val="1"/>
          <w:bCs w:val="1"/>
          <w:color w:val="auto"/>
        </w:rPr>
        <w:t>Signatures</w:t>
      </w:r>
    </w:p>
    <w:p>
      <w:pPr>
        <w:spacing w:after="0" w:line="167" w:lineRule="exact"/>
        <w:rPr>
          <w:sz w:val="20"/>
          <w:szCs w:val="20"/>
          <w:color w:val="auto"/>
        </w:rPr>
      </w:pPr>
    </w:p>
    <w:p>
      <w:pPr>
        <w:jc w:val="center"/>
        <w:ind w:right="-20"/>
        <w:spacing w:after="0"/>
        <w:rPr>
          <w:sz w:val="20"/>
          <w:szCs w:val="20"/>
          <w:color w:val="auto"/>
        </w:rPr>
      </w:pPr>
      <w:r>
        <w:rPr>
          <w:rFonts w:ascii="Arial" w:cs="Arial" w:eastAsia="Arial" w:hAnsi="Arial"/>
          <w:sz w:val="11"/>
          <w:szCs w:val="11"/>
          <w:color w:val="auto"/>
        </w:rPr>
        <w:t>Pursuant to the requirements of the Securities Exchange Act of 1934, the registrant has duly caused this report to be signed on its behalf by the undersigned thereunto duly authorized.</w:t>
      </w:r>
    </w:p>
    <w:p>
      <w:pPr>
        <w:spacing w:after="0" w:line="186" w:lineRule="exact"/>
        <w:rPr>
          <w:sz w:val="20"/>
          <w:szCs w:val="20"/>
          <w:color w:val="auto"/>
        </w:rPr>
      </w:pPr>
    </w:p>
    <w:p>
      <w:pPr>
        <w:ind w:left="5400"/>
        <w:spacing w:after="0"/>
        <w:rPr>
          <w:sz w:val="20"/>
          <w:szCs w:val="20"/>
          <w:color w:val="auto"/>
        </w:rPr>
      </w:pPr>
      <w:r>
        <w:rPr>
          <w:rFonts w:ascii="Arial" w:cs="Arial" w:eastAsia="Arial" w:hAnsi="Arial"/>
          <w:sz w:val="13"/>
          <w:szCs w:val="13"/>
          <w:color w:val="auto"/>
        </w:rPr>
        <w:t>VistaGen Therapeutics, Inc.</w:t>
      </w:r>
    </w:p>
    <w:p>
      <w:pPr>
        <w:spacing w:after="0" w:line="163" w:lineRule="exact"/>
        <w:rPr>
          <w:sz w:val="20"/>
          <w:szCs w:val="20"/>
          <w:color w:val="auto"/>
        </w:rPr>
      </w:pPr>
    </w:p>
    <w:p>
      <w:pPr>
        <w:spacing w:after="0"/>
        <w:tabs>
          <w:tab w:leader="none" w:pos="5380" w:val="left"/>
          <w:tab w:leader="none" w:pos="5940" w:val="left"/>
        </w:tabs>
        <w:rPr>
          <w:sz w:val="20"/>
          <w:szCs w:val="20"/>
          <w:color w:val="auto"/>
        </w:rPr>
      </w:pPr>
      <w:r>
        <w:rPr>
          <w:rFonts w:ascii="Arial" w:cs="Arial" w:eastAsia="Arial" w:hAnsi="Arial"/>
          <w:sz w:val="13"/>
          <w:szCs w:val="13"/>
          <w:color w:val="auto"/>
        </w:rPr>
        <w:t>Date: August 14, 2020</w:t>
      </w:r>
      <w:r>
        <w:rPr>
          <w:sz w:val="20"/>
          <w:szCs w:val="20"/>
          <w:color w:val="auto"/>
        </w:rPr>
        <w:tab/>
      </w:r>
      <w:r>
        <w:rPr>
          <w:rFonts w:ascii="Arial" w:cs="Arial" w:eastAsia="Arial" w:hAnsi="Arial"/>
          <w:sz w:val="13"/>
          <w:szCs w:val="13"/>
          <w:color w:val="auto"/>
        </w:rPr>
        <w:t>By:</w:t>
      </w:r>
      <w:r>
        <w:rPr>
          <w:sz w:val="20"/>
          <w:szCs w:val="20"/>
          <w:color w:val="auto"/>
        </w:rPr>
        <w:tab/>
      </w:r>
      <w:r>
        <w:rPr>
          <w:rFonts w:ascii="Arial" w:cs="Arial" w:eastAsia="Arial" w:hAnsi="Arial"/>
          <w:sz w:val="11"/>
          <w:szCs w:val="11"/>
          <w:i w:val="1"/>
          <w:iCs w:val="1"/>
          <w:color w:val="auto"/>
        </w:rPr>
        <w:t>/s/ Shawn K. Singh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3788410</wp:posOffset>
            </wp:positionH>
            <wp:positionV relativeFrom="paragraph">
              <wp:posOffset>8255</wp:posOffset>
            </wp:positionV>
            <wp:extent cx="3368040" cy="1270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3368040" cy="12700"/>
                    </a:xfrm>
                    <a:prstGeom prst="rect">
                      <a:avLst/>
                    </a:prstGeom>
                    <a:noFill/>
                  </pic:spPr>
                </pic:pic>
              </a:graphicData>
            </a:graphic>
          </wp:anchor>
        </w:drawing>
      </w:r>
    </w:p>
    <w:p>
      <w:pPr>
        <w:spacing w:after="0" w:line="6" w:lineRule="exact"/>
        <w:rPr>
          <w:sz w:val="20"/>
          <w:szCs w:val="20"/>
          <w:color w:val="auto"/>
        </w:rPr>
      </w:pPr>
    </w:p>
    <w:p>
      <w:pPr>
        <w:ind w:left="5960"/>
        <w:spacing w:after="0"/>
        <w:rPr>
          <w:sz w:val="20"/>
          <w:szCs w:val="20"/>
          <w:color w:val="auto"/>
        </w:rPr>
      </w:pPr>
      <w:r>
        <w:rPr>
          <w:rFonts w:ascii="Arial" w:cs="Arial" w:eastAsia="Arial" w:hAnsi="Arial"/>
          <w:sz w:val="13"/>
          <w:szCs w:val="13"/>
          <w:color w:val="auto"/>
        </w:rPr>
        <w:t>Shawn K. Singh</w:t>
      </w:r>
    </w:p>
    <w:p>
      <w:pPr>
        <w:spacing w:after="0" w:line="12" w:lineRule="exact"/>
        <w:rPr>
          <w:sz w:val="20"/>
          <w:szCs w:val="20"/>
          <w:color w:val="auto"/>
        </w:rPr>
      </w:pPr>
    </w:p>
    <w:p>
      <w:pPr>
        <w:ind w:left="5960"/>
        <w:spacing w:after="0"/>
        <w:rPr>
          <w:sz w:val="20"/>
          <w:szCs w:val="20"/>
          <w:color w:val="auto"/>
        </w:rPr>
      </w:pPr>
      <w:r>
        <w:rPr>
          <w:rFonts w:ascii="Arial" w:cs="Arial" w:eastAsia="Arial" w:hAnsi="Arial"/>
          <w:sz w:val="13"/>
          <w:szCs w:val="13"/>
          <w:color w:val="auto"/>
        </w:rPr>
        <w:t>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501015</wp:posOffset>
            </wp:positionV>
            <wp:extent cx="7170420" cy="1270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70420" cy="12700"/>
                    </a:xfrm>
                    <a:prstGeom prst="rect">
                      <a:avLst/>
                    </a:prstGeom>
                    <a:noFill/>
                  </pic:spPr>
                </pic:pic>
              </a:graphicData>
            </a:graphic>
          </wp:anchor>
        </w:drawing>
      </w:r>
    </w:p>
    <w:p>
      <w:pPr>
        <w:sectPr>
          <w:pgSz w:w="11900" w:h="16838" w:orient="portrait"/>
          <w:cols w:equalWidth="0" w:num="1">
            <w:col w:w="10139"/>
          </w:cols>
          <w:pgMar w:left="320" w:top="598" w:right="1440" w:bottom="1440" w:gutter="0" w:footer="0" w:header="0"/>
        </w:sectPr>
      </w:pPr>
    </w:p>
    <w:bookmarkStart w:id="3" w:name="page4"/>
    <w:bookmarkEnd w:id="3"/>
    <w:p>
      <w:pPr>
        <w:jc w:val="right"/>
        <w:spacing w:after="0"/>
        <w:rPr>
          <w:sz w:val="20"/>
          <w:szCs w:val="20"/>
          <w:color w:val="auto"/>
        </w:rPr>
      </w:pPr>
      <w:r>
        <w:rPr>
          <w:rFonts w:ascii="Arial" w:cs="Arial" w:eastAsia="Arial" w:hAnsi="Arial"/>
          <w:sz w:val="13"/>
          <w:szCs w:val="13"/>
          <w:b w:val="1"/>
          <w:bCs w:val="1"/>
          <w:color w:val="auto"/>
        </w:rPr>
        <w:t>Exhibit 99.1</w:t>
      </w:r>
    </w:p>
    <w:p>
      <w:pPr>
        <w:spacing w:after="0" w:line="14" w:lineRule="exact"/>
        <w:rPr>
          <w:sz w:val="20"/>
          <w:szCs w:val="20"/>
          <w:color w:val="auto"/>
        </w:rPr>
      </w:pPr>
    </w:p>
    <w:p>
      <w:pPr>
        <w:jc w:val="center"/>
        <w:ind w:right="20"/>
        <w:spacing w:after="0"/>
        <w:rPr>
          <w:sz w:val="20"/>
          <w:szCs w:val="20"/>
          <w:color w:val="auto"/>
        </w:rPr>
      </w:pPr>
      <w:r>
        <w:rPr>
          <w:rFonts w:ascii="Arial" w:cs="Arial" w:eastAsia="Arial" w:hAnsi="Arial"/>
          <w:sz w:val="16"/>
          <w:szCs w:val="16"/>
          <w:b w:val="1"/>
          <w:bCs w:val="1"/>
          <w:color w:val="auto"/>
        </w:rPr>
        <w:t>VistaGen Therapeutics Reports Fiscal 2021 First Quarter Financial Results and Highlights CNS Pipeline and Business Progress</w:t>
      </w:r>
    </w:p>
    <w:p>
      <w:pPr>
        <w:spacing w:after="0" w:line="155" w:lineRule="exact"/>
        <w:rPr>
          <w:sz w:val="20"/>
          <w:szCs w:val="20"/>
          <w:color w:val="auto"/>
        </w:rPr>
      </w:pPr>
    </w:p>
    <w:p>
      <w:pPr>
        <w:jc w:val="center"/>
        <w:ind w:right="20"/>
        <w:spacing w:after="0" w:line="359" w:lineRule="auto"/>
        <w:rPr>
          <w:sz w:val="20"/>
          <w:szCs w:val="20"/>
          <w:color w:val="auto"/>
        </w:rPr>
      </w:pPr>
      <w:r>
        <w:rPr>
          <w:rFonts w:ascii="Arial" w:cs="Arial" w:eastAsia="Arial" w:hAnsi="Arial"/>
          <w:sz w:val="15"/>
          <w:szCs w:val="15"/>
          <w:i w:val="1"/>
          <w:iCs w:val="1"/>
          <w:color w:val="auto"/>
        </w:rPr>
        <w:t>Company Received Over $17.5 Million Net Proceeds from PH94B Upfront License Payment and Public Offering of Common Stock Subsequent to Quarter-end Positive Meeting with the FDA Sets Key Aspects of Pivotal PH94B Phase 3 Study</w:t>
      </w:r>
    </w:p>
    <w:p>
      <w:pPr>
        <w:spacing w:after="0" w:line="56" w:lineRule="exact"/>
        <w:rPr>
          <w:sz w:val="20"/>
          <w:szCs w:val="20"/>
          <w:color w:val="auto"/>
        </w:rPr>
      </w:pPr>
    </w:p>
    <w:p>
      <w:pPr>
        <w:jc w:val="both"/>
        <w:ind w:right="20"/>
        <w:spacing w:after="0" w:line="276" w:lineRule="auto"/>
        <w:rPr>
          <w:sz w:val="20"/>
          <w:szCs w:val="20"/>
          <w:color w:val="auto"/>
        </w:rPr>
      </w:pPr>
      <w:r>
        <w:rPr>
          <w:rFonts w:ascii="Arial" w:cs="Arial" w:eastAsia="Arial" w:hAnsi="Arial"/>
          <w:sz w:val="13"/>
          <w:szCs w:val="13"/>
          <w:b w:val="1"/>
          <w:bCs w:val="1"/>
          <w:color w:val="auto"/>
        </w:rPr>
        <w:t xml:space="preserve">SOUTH SAN FRANCISCO, Calif., August 13, 2020 </w:t>
      </w:r>
      <w:r>
        <w:rPr>
          <w:rFonts w:ascii="Arial" w:cs="Arial" w:eastAsia="Arial" w:hAnsi="Arial"/>
          <w:sz w:val="13"/>
          <w:szCs w:val="13"/>
          <w:color w:val="auto"/>
        </w:rPr>
        <w:t>-- (BUSINESS WIRE)—VistaGen Therapeutics, Inc. (Nasdaq: VTGN), a biopharmaceutical company developing new generation medicines for anxiety, depression</w:t>
      </w:r>
      <w:r>
        <w:rPr>
          <w:rFonts w:ascii="Arial" w:cs="Arial" w:eastAsia="Arial" w:hAnsi="Arial"/>
          <w:sz w:val="13"/>
          <w:szCs w:val="13"/>
          <w:b w:val="1"/>
          <w:bCs w:val="1"/>
          <w:color w:val="auto"/>
        </w:rPr>
        <w:t xml:space="preserve"> </w:t>
      </w:r>
      <w:r>
        <w:rPr>
          <w:rFonts w:ascii="Arial" w:cs="Arial" w:eastAsia="Arial" w:hAnsi="Arial"/>
          <w:sz w:val="13"/>
          <w:szCs w:val="13"/>
          <w:color w:val="auto"/>
        </w:rPr>
        <w:t>and other central nervous system (CNS) disorders, today reported financial results for its fiscal 2021 first quarter ended June 30, 2020.</w:t>
      </w:r>
    </w:p>
    <w:p>
      <w:pPr>
        <w:spacing w:after="0" w:line="129" w:lineRule="exact"/>
        <w:rPr>
          <w:sz w:val="20"/>
          <w:szCs w:val="20"/>
          <w:color w:val="auto"/>
        </w:rPr>
      </w:pPr>
    </w:p>
    <w:p>
      <w:pPr>
        <w:jc w:val="both"/>
        <w:ind w:right="20"/>
        <w:spacing w:after="0" w:line="254" w:lineRule="auto"/>
        <w:rPr>
          <w:sz w:val="20"/>
          <w:szCs w:val="20"/>
          <w:color w:val="auto"/>
        </w:rPr>
      </w:pPr>
      <w:r>
        <w:rPr>
          <w:rFonts w:ascii="Arial" w:cs="Arial" w:eastAsia="Arial" w:hAnsi="Arial"/>
          <w:sz w:val="13"/>
          <w:szCs w:val="13"/>
          <w:color w:val="333333"/>
        </w:rPr>
        <w:t xml:space="preserve">"We accomplished several meaningful milestones thus far this fiscal year that positively impact our clinical development programs, including our PH94B Phase 3 program in social anxiety disorder. We reached consensus with the FDA on the key aspects of the design of our pivotal Phase 3 clinical studies of PH94B for acute treatment of anxiety in adults with social anxiety disorder. This design is similar to the design of the highly statistically significant Phase 2 study of PH94B in social anxiety disorder,” said </w:t>
      </w:r>
      <w:r>
        <w:rPr>
          <w:rFonts w:ascii="Arial" w:cs="Arial" w:eastAsia="Arial" w:hAnsi="Arial"/>
          <w:sz w:val="13"/>
          <w:szCs w:val="13"/>
          <w:u w:val="single" w:color="auto"/>
          <w:color w:val="0095DA"/>
        </w:rPr>
        <w:t>Shawn Singh, Chief Executive Officer of VistaGen</w:t>
      </w:r>
      <w:r>
        <w:rPr>
          <w:rFonts w:ascii="Arial" w:cs="Arial" w:eastAsia="Arial" w:hAnsi="Arial"/>
          <w:sz w:val="13"/>
          <w:szCs w:val="13"/>
          <w:color w:val="333333"/>
        </w:rPr>
        <w:t>. “Additionally, we received the $5 million upfront license payment from our partnering arrangement with EverInsight Therapeutics for Phase 3 development and commercialization of PH94B in key markets in Asia. We also completed a successful public offering of our common stock, resulting in gross proceeds to us of $14.29 million. These accomplishments significantly strengthen our go-forward development plans. We believe now more than ever; the global society needs new, safe, fast-acting treatments for anxiety and depression andwe remain committed to achieving that goal."</w:t>
      </w:r>
    </w:p>
    <w:p>
      <w:pPr>
        <w:spacing w:after="0" w:line="14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Financial Highlights During and Subsequent to the Fiscal 2021 First Quarter:</w:t>
      </w:r>
    </w:p>
    <w:p>
      <w:pPr>
        <w:spacing w:after="0" w:line="167" w:lineRule="exact"/>
        <w:rPr>
          <w:sz w:val="20"/>
          <w:szCs w:val="20"/>
          <w:color w:val="auto"/>
        </w:rPr>
      </w:pPr>
    </w:p>
    <w:p>
      <w:pPr>
        <w:ind w:left="460" w:right="20" w:hanging="227"/>
        <w:spacing w:after="0" w:line="269" w:lineRule="auto"/>
        <w:tabs>
          <w:tab w:leader="none" w:pos="460" w:val="left"/>
        </w:tabs>
        <w:numPr>
          <w:ilvl w:val="0"/>
          <w:numId w:val="2"/>
        </w:numPr>
        <w:rPr>
          <w:rFonts w:ascii="Arial" w:cs="Arial" w:eastAsia="Arial" w:hAnsi="Arial"/>
          <w:sz w:val="11"/>
          <w:szCs w:val="11"/>
          <w:color w:val="auto"/>
        </w:rPr>
      </w:pPr>
      <w:r>
        <w:rPr>
          <w:rFonts w:ascii="Arial" w:cs="Arial" w:eastAsia="Arial" w:hAnsi="Arial"/>
          <w:sz w:val="13"/>
          <w:szCs w:val="13"/>
          <w:color w:val="auto"/>
        </w:rPr>
        <w:t>VistaGen received a $5 million non-dilutive upfront license payment from EverInsight Therapeutics, the Company’s strategic partner for Phase 3 development and commercialization of PH94B for anxiety-related disorders in multiple key markets in Asia.</w:t>
      </w:r>
    </w:p>
    <w:p>
      <w:pPr>
        <w:spacing w:after="0" w:line="133" w:lineRule="exact"/>
        <w:rPr>
          <w:rFonts w:ascii="Arial" w:cs="Arial" w:eastAsia="Arial" w:hAnsi="Arial"/>
          <w:sz w:val="11"/>
          <w:szCs w:val="11"/>
          <w:color w:val="auto"/>
        </w:rPr>
      </w:pPr>
    </w:p>
    <w:p>
      <w:pPr>
        <w:ind w:left="460" w:hanging="227"/>
        <w:spacing w:after="0"/>
        <w:tabs>
          <w:tab w:leader="none" w:pos="460" w:val="left"/>
        </w:tabs>
        <w:numPr>
          <w:ilvl w:val="0"/>
          <w:numId w:val="2"/>
        </w:numPr>
        <w:rPr>
          <w:rFonts w:ascii="Arial" w:cs="Arial" w:eastAsia="Arial" w:hAnsi="Arial"/>
          <w:sz w:val="10"/>
          <w:szCs w:val="10"/>
          <w:color w:val="auto"/>
        </w:rPr>
      </w:pPr>
      <w:r>
        <w:rPr>
          <w:rFonts w:ascii="Arial" w:cs="Arial" w:eastAsia="Arial" w:hAnsi="Arial"/>
          <w:sz w:val="12"/>
          <w:szCs w:val="12"/>
          <w:color w:val="auto"/>
        </w:rPr>
        <w:t>VistaGen completed an underwritten public offering of common stock resulting in gross proceeds of $14.29 million to the Company, before underwriting discounts and commissions and offering expenses.</w:t>
      </w:r>
    </w:p>
    <w:p>
      <w:pPr>
        <w:spacing w:after="0" w:line="171"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CNS Pipeline Highlights:</w:t>
      </w:r>
    </w:p>
    <w:p>
      <w:pPr>
        <w:spacing w:after="0" w:line="167" w:lineRule="exact"/>
        <w:rPr>
          <w:sz w:val="20"/>
          <w:szCs w:val="20"/>
          <w:color w:val="auto"/>
        </w:rPr>
      </w:pPr>
    </w:p>
    <w:p>
      <w:pPr>
        <w:ind w:left="460" w:right="20" w:hanging="227"/>
        <w:spacing w:after="0" w:line="269" w:lineRule="auto"/>
        <w:tabs>
          <w:tab w:leader="none" w:pos="460" w:val="left"/>
        </w:tabs>
        <w:numPr>
          <w:ilvl w:val="0"/>
          <w:numId w:val="3"/>
        </w:numPr>
        <w:rPr>
          <w:rFonts w:ascii="Arial" w:cs="Arial" w:eastAsia="Arial" w:hAnsi="Arial"/>
          <w:sz w:val="11"/>
          <w:szCs w:val="11"/>
          <w:color w:val="auto"/>
        </w:rPr>
      </w:pPr>
      <w:r>
        <w:rPr>
          <w:rFonts w:ascii="Arial" w:cs="Arial" w:eastAsia="Arial" w:hAnsi="Arial"/>
          <w:sz w:val="13"/>
          <w:szCs w:val="13"/>
          <w:color w:val="auto"/>
        </w:rPr>
        <w:t>VistaGen reached consensus with the FDA on key aspects regarding the Company’s initial pivotal Phase 3 study of PH94B for acute treatment of anxiety in adults with social anxiety disorder (SAD) that, among other details, may provide significant time- and cost-efficiencies for its Phase 3 program.</w:t>
      </w:r>
    </w:p>
    <w:p>
      <w:pPr>
        <w:spacing w:after="0" w:line="134" w:lineRule="exact"/>
        <w:rPr>
          <w:sz w:val="20"/>
          <w:szCs w:val="20"/>
          <w:color w:val="auto"/>
        </w:rPr>
      </w:pPr>
    </w:p>
    <w:p>
      <w:pPr>
        <w:ind w:left="940" w:hanging="239"/>
        <w:spacing w:after="0"/>
        <w:tabs>
          <w:tab w:leader="none" w:pos="940" w:val="left"/>
        </w:tabs>
        <w:numPr>
          <w:ilvl w:val="1"/>
          <w:numId w:val="4"/>
        </w:numPr>
        <w:rPr>
          <w:rFonts w:ascii="Arial" w:cs="Arial" w:eastAsia="Arial" w:hAnsi="Arial"/>
          <w:sz w:val="12"/>
          <w:szCs w:val="12"/>
          <w:color w:val="auto"/>
        </w:rPr>
      </w:pPr>
      <w:r>
        <w:rPr>
          <w:rFonts w:ascii="Arial" w:cs="Arial" w:eastAsia="Arial" w:hAnsi="Arial"/>
          <w:sz w:val="12"/>
          <w:szCs w:val="12"/>
          <w:color w:val="auto"/>
        </w:rPr>
        <w:t>As in the highly statistically significant (p=0.002) Phase 2 study of PH94B in SAD, VistaGen’s Phase 3 study will involve a single laboratory-simulated anxiety-provoking public speaking challenge.</w:t>
      </w:r>
    </w:p>
    <w:p>
      <w:pPr>
        <w:spacing w:after="0" w:line="174" w:lineRule="exact"/>
        <w:rPr>
          <w:rFonts w:ascii="Arial" w:cs="Arial" w:eastAsia="Arial" w:hAnsi="Arial"/>
          <w:sz w:val="12"/>
          <w:szCs w:val="12"/>
          <w:color w:val="auto"/>
        </w:rPr>
      </w:pPr>
    </w:p>
    <w:p>
      <w:pPr>
        <w:ind w:left="940" w:hanging="239"/>
        <w:spacing w:after="0"/>
        <w:tabs>
          <w:tab w:leader="none" w:pos="940" w:val="left"/>
        </w:tabs>
        <w:numPr>
          <w:ilvl w:val="1"/>
          <w:numId w:val="4"/>
        </w:numPr>
        <w:rPr>
          <w:rFonts w:ascii="Arial" w:cs="Arial" w:eastAsia="Arial" w:hAnsi="Arial"/>
          <w:sz w:val="13"/>
          <w:szCs w:val="13"/>
          <w:color w:val="auto"/>
        </w:rPr>
      </w:pPr>
      <w:r>
        <w:rPr>
          <w:rFonts w:ascii="Arial" w:cs="Arial" w:eastAsia="Arial" w:hAnsi="Arial"/>
          <w:sz w:val="13"/>
          <w:szCs w:val="13"/>
          <w:color w:val="auto"/>
        </w:rPr>
        <w:t>The Phase 3 study will be a randomized, double-blind, placebo-controlled, parallel comparison study conducted at approximately 12 to 15 sites in North America.</w:t>
      </w:r>
    </w:p>
    <w:p>
      <w:pPr>
        <w:spacing w:after="0" w:line="163" w:lineRule="exact"/>
        <w:rPr>
          <w:rFonts w:ascii="Arial" w:cs="Arial" w:eastAsia="Arial" w:hAnsi="Arial"/>
          <w:sz w:val="13"/>
          <w:szCs w:val="13"/>
          <w:color w:val="auto"/>
        </w:rPr>
      </w:pPr>
    </w:p>
    <w:p>
      <w:pPr>
        <w:ind w:left="940" w:hanging="239"/>
        <w:spacing w:after="0"/>
        <w:tabs>
          <w:tab w:leader="none" w:pos="940" w:val="left"/>
        </w:tabs>
        <w:numPr>
          <w:ilvl w:val="1"/>
          <w:numId w:val="4"/>
        </w:numPr>
        <w:rPr>
          <w:rFonts w:ascii="Arial" w:cs="Arial" w:eastAsia="Arial" w:hAnsi="Arial"/>
          <w:sz w:val="13"/>
          <w:szCs w:val="13"/>
          <w:color w:val="auto"/>
        </w:rPr>
      </w:pPr>
      <w:r>
        <w:rPr>
          <w:rFonts w:ascii="Arial" w:cs="Arial" w:eastAsia="Arial" w:hAnsi="Arial"/>
          <w:sz w:val="13"/>
          <w:szCs w:val="13"/>
          <w:color w:val="auto"/>
        </w:rPr>
        <w:t>The Subjective Units of Distress Scale (SUDS) will be used to assess the primary efficacy endpoint in the study.</w:t>
      </w:r>
    </w:p>
    <w:p>
      <w:pPr>
        <w:spacing w:after="0" w:line="163" w:lineRule="exact"/>
        <w:rPr>
          <w:rFonts w:ascii="Arial" w:cs="Arial" w:eastAsia="Arial" w:hAnsi="Arial"/>
          <w:sz w:val="13"/>
          <w:szCs w:val="13"/>
          <w:color w:val="auto"/>
        </w:rPr>
      </w:pPr>
    </w:p>
    <w:p>
      <w:pPr>
        <w:ind w:left="940" w:right="20" w:hanging="239"/>
        <w:spacing w:after="0" w:line="269" w:lineRule="auto"/>
        <w:tabs>
          <w:tab w:leader="none" w:pos="940" w:val="left"/>
        </w:tabs>
        <w:numPr>
          <w:ilvl w:val="1"/>
          <w:numId w:val="4"/>
        </w:numPr>
        <w:rPr>
          <w:rFonts w:ascii="Arial" w:cs="Arial" w:eastAsia="Arial" w:hAnsi="Arial"/>
          <w:sz w:val="13"/>
          <w:szCs w:val="13"/>
          <w:color w:val="auto"/>
        </w:rPr>
      </w:pPr>
      <w:r>
        <w:rPr>
          <w:rFonts w:ascii="Arial" w:cs="Arial" w:eastAsia="Arial" w:hAnsi="Arial"/>
          <w:sz w:val="13"/>
          <w:szCs w:val="13"/>
          <w:color w:val="auto"/>
        </w:rPr>
        <w:t>Dr. Michael Liebowitz, Professor of Clinical Psychiatry at Columbia University, director of the Medical Research Network in New York City, and creator of the Liebowitz Social Anxiety Scale (LSAS), will be the Principal Investigator of the study.</w:t>
      </w:r>
    </w:p>
    <w:p>
      <w:pPr>
        <w:spacing w:after="0" w:line="133" w:lineRule="exact"/>
        <w:rPr>
          <w:rFonts w:ascii="Arial" w:cs="Arial" w:eastAsia="Arial" w:hAnsi="Arial"/>
          <w:sz w:val="13"/>
          <w:szCs w:val="13"/>
          <w:color w:val="auto"/>
        </w:rPr>
      </w:pPr>
    </w:p>
    <w:p>
      <w:pPr>
        <w:ind w:left="940" w:hanging="239"/>
        <w:spacing w:after="0"/>
        <w:tabs>
          <w:tab w:leader="none" w:pos="940" w:val="left"/>
        </w:tabs>
        <w:numPr>
          <w:ilvl w:val="1"/>
          <w:numId w:val="4"/>
        </w:numPr>
        <w:rPr>
          <w:rFonts w:ascii="Arial" w:cs="Arial" w:eastAsia="Arial" w:hAnsi="Arial"/>
          <w:sz w:val="13"/>
          <w:szCs w:val="13"/>
          <w:color w:val="auto"/>
        </w:rPr>
      </w:pPr>
      <w:r>
        <w:rPr>
          <w:rFonts w:ascii="Arial" w:cs="Arial" w:eastAsia="Arial" w:hAnsi="Arial"/>
          <w:sz w:val="13"/>
          <w:szCs w:val="13"/>
          <w:color w:val="auto"/>
        </w:rPr>
        <w:t>Target enrollment (completed patients) will be approximately 182 adult patients with SAD.</w:t>
      </w:r>
    </w:p>
    <w:p>
      <w:pPr>
        <w:spacing w:after="0" w:line="163" w:lineRule="exact"/>
        <w:rPr>
          <w:rFonts w:ascii="Arial" w:cs="Arial" w:eastAsia="Arial" w:hAnsi="Arial"/>
          <w:sz w:val="13"/>
          <w:szCs w:val="13"/>
          <w:color w:val="auto"/>
        </w:rPr>
      </w:pPr>
    </w:p>
    <w:p>
      <w:pPr>
        <w:jc w:val="both"/>
        <w:ind w:left="460" w:right="20" w:hanging="227"/>
        <w:spacing w:after="0" w:line="260" w:lineRule="auto"/>
        <w:tabs>
          <w:tab w:leader="none" w:pos="460" w:val="left"/>
        </w:tabs>
        <w:numPr>
          <w:ilvl w:val="0"/>
          <w:numId w:val="4"/>
        </w:numPr>
        <w:rPr>
          <w:rFonts w:ascii="Arial" w:cs="Arial" w:eastAsia="Arial" w:hAnsi="Arial"/>
          <w:sz w:val="11"/>
          <w:szCs w:val="11"/>
          <w:color w:val="auto"/>
        </w:rPr>
      </w:pPr>
      <w:r>
        <w:rPr>
          <w:rFonts w:ascii="Arial" w:cs="Arial" w:eastAsia="Arial" w:hAnsi="Arial"/>
          <w:sz w:val="13"/>
          <w:szCs w:val="13"/>
          <w:color w:val="auto"/>
        </w:rPr>
        <w:t>Through the FDA’s Coronavirus Treatment Acceleration Program (CTAP), VistaGen submitted its preliminary protocol and development plan for an exploratory, open-label Phase 2A study of PH94B for acute treatment of adjustment disorder with anxiety (AjDA), including, but not limited to, anxiety-provoking stressors related to the diverse impact of the COVID-19 pandemic (e.g., fear and anxiety regarding health and safety, economic loss, unemployment, social isolation, distance-learning, etc.) and civil unrest.</w:t>
      </w:r>
    </w:p>
    <w:p>
      <w:pPr>
        <w:spacing w:after="0" w:line="139" w:lineRule="exact"/>
        <w:rPr>
          <w:rFonts w:ascii="Arial" w:cs="Arial" w:eastAsia="Arial" w:hAnsi="Arial"/>
          <w:sz w:val="11"/>
          <w:szCs w:val="11"/>
          <w:color w:val="auto"/>
        </w:rPr>
      </w:pPr>
    </w:p>
    <w:p>
      <w:pPr>
        <w:ind w:left="940" w:right="20" w:hanging="239"/>
        <w:spacing w:after="0" w:line="269" w:lineRule="auto"/>
        <w:tabs>
          <w:tab w:leader="none" w:pos="940" w:val="left"/>
        </w:tabs>
        <w:numPr>
          <w:ilvl w:val="1"/>
          <w:numId w:val="4"/>
        </w:numPr>
        <w:rPr>
          <w:rFonts w:ascii="Arial" w:cs="Arial" w:eastAsia="Arial" w:hAnsi="Arial"/>
          <w:sz w:val="13"/>
          <w:szCs w:val="13"/>
          <w:color w:val="auto"/>
        </w:rPr>
      </w:pPr>
      <w:r>
        <w:rPr>
          <w:rFonts w:ascii="Arial" w:cs="Arial" w:eastAsia="Arial" w:hAnsi="Arial"/>
          <w:sz w:val="13"/>
          <w:szCs w:val="13"/>
          <w:color w:val="auto"/>
        </w:rPr>
        <w:t>The Company is currently working closely with the FDA on plans for the Phase 2A study in AjDA, which, when study preparations are completed, will be conducted in New York City by Dr. Michael Liebowitz.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187960</wp:posOffset>
            </wp:positionV>
            <wp:extent cx="7170420" cy="1270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70420" cy="12700"/>
                    </a:xfrm>
                    <a:prstGeom prst="rect">
                      <a:avLst/>
                    </a:prstGeom>
                    <a:noFill/>
                  </pic:spPr>
                </pic:pic>
              </a:graphicData>
            </a:graphic>
          </wp:anchor>
        </w:drawing>
      </w:r>
    </w:p>
    <w:p>
      <w:pPr>
        <w:sectPr>
          <w:pgSz w:w="11900" w:h="16838" w:orient="portrait"/>
          <w:cols w:equalWidth="0" w:num="1">
            <w:col w:w="11300"/>
          </w:cols>
          <w:pgMar w:left="300" w:top="305" w:right="299" w:bottom="1440" w:gutter="0" w:footer="0" w:header="0"/>
        </w:sectPr>
      </w:pPr>
    </w:p>
    <w:bookmarkStart w:id="4" w:name="page5"/>
    <w:bookmarkEnd w:id="4"/>
    <w:p>
      <w:pPr>
        <w:spacing w:after="0"/>
        <w:rPr>
          <w:sz w:val="20"/>
          <w:szCs w:val="20"/>
          <w:color w:val="auto"/>
        </w:rPr>
      </w:pPr>
      <w:r>
        <w:rPr>
          <w:rFonts w:ascii="Arial" w:cs="Arial" w:eastAsia="Arial" w:hAnsi="Arial"/>
          <w:sz w:val="13"/>
          <w:szCs w:val="13"/>
          <w:b w:val="1"/>
          <w:bCs w:val="1"/>
          <w:color w:val="auto"/>
        </w:rPr>
        <w:t>Financial Results for the Fiscal Quarter Ended June 30, 2020:</w:t>
      </w:r>
    </w:p>
    <w:p>
      <w:pPr>
        <w:spacing w:after="0" w:line="163" w:lineRule="exact"/>
        <w:rPr>
          <w:sz w:val="20"/>
          <w:szCs w:val="20"/>
          <w:color w:val="auto"/>
        </w:rPr>
      </w:pPr>
    </w:p>
    <w:p>
      <w:pPr>
        <w:spacing w:after="0"/>
        <w:rPr>
          <w:sz w:val="20"/>
          <w:szCs w:val="20"/>
          <w:color w:val="auto"/>
        </w:rPr>
      </w:pPr>
      <w:r>
        <w:rPr>
          <w:rFonts w:ascii="Arial" w:cs="Arial" w:eastAsia="Arial" w:hAnsi="Arial"/>
          <w:sz w:val="12"/>
          <w:szCs w:val="12"/>
          <w:b w:val="1"/>
          <w:bCs w:val="1"/>
          <w:color w:val="auto"/>
        </w:rPr>
        <w:t xml:space="preserve">Net loss: </w:t>
      </w:r>
      <w:r>
        <w:rPr>
          <w:rFonts w:ascii="Arial" w:cs="Arial" w:eastAsia="Arial" w:hAnsi="Arial"/>
          <w:sz w:val="12"/>
          <w:szCs w:val="12"/>
          <w:color w:val="333333"/>
        </w:rPr>
        <w:t>Net loss attributable to common stockholders for the fiscal quarter ended June 30, 2020 decreased to approximately $3.5 million compared to $6.5 million for the fiscal quarter ended June 30, 2019.</w:t>
      </w:r>
    </w:p>
    <w:p>
      <w:pPr>
        <w:spacing w:after="0" w:line="175" w:lineRule="exact"/>
        <w:rPr>
          <w:sz w:val="20"/>
          <w:szCs w:val="20"/>
          <w:color w:val="auto"/>
        </w:rPr>
      </w:pPr>
    </w:p>
    <w:p>
      <w:pPr>
        <w:jc w:val="both"/>
        <w:spacing w:after="0" w:line="259" w:lineRule="auto"/>
        <w:rPr>
          <w:sz w:val="20"/>
          <w:szCs w:val="20"/>
          <w:color w:val="auto"/>
        </w:rPr>
      </w:pPr>
      <w:r>
        <w:rPr>
          <w:rFonts w:ascii="Arial" w:cs="Arial" w:eastAsia="Arial" w:hAnsi="Arial"/>
          <w:sz w:val="13"/>
          <w:szCs w:val="13"/>
          <w:b w:val="1"/>
          <w:bCs w:val="1"/>
          <w:color w:val="auto"/>
        </w:rPr>
        <w:t xml:space="preserve">Research and development (R&amp;D) expense: </w:t>
      </w:r>
      <w:r>
        <w:rPr>
          <w:rFonts w:ascii="Arial" w:cs="Arial" w:eastAsia="Arial" w:hAnsi="Arial"/>
          <w:sz w:val="13"/>
          <w:szCs w:val="13"/>
          <w:color w:val="auto"/>
        </w:rPr>
        <w:t>R&amp;D expense decreased to approximately $1.7 million from $4.3 million for the quarters ended June 30, 2020 and 2019, respectively, primarily due to the completion of our</w:t>
      </w:r>
      <w:r>
        <w:rPr>
          <w:rFonts w:ascii="Arial" w:cs="Arial" w:eastAsia="Arial" w:hAnsi="Arial"/>
          <w:sz w:val="13"/>
          <w:szCs w:val="13"/>
          <w:b w:val="1"/>
          <w:bCs w:val="1"/>
          <w:color w:val="auto"/>
        </w:rPr>
        <w:t xml:space="preserve"> </w:t>
      </w:r>
      <w:r>
        <w:rPr>
          <w:rFonts w:ascii="Arial" w:cs="Arial" w:eastAsia="Arial" w:hAnsi="Arial"/>
          <w:sz w:val="13"/>
          <w:szCs w:val="13"/>
          <w:color w:val="auto"/>
        </w:rPr>
        <w:t>Phase 2 study of AV-101 in major depressive disorder in the fourth calendar quarter of 2019. Expenses related to that study and other AV-101 related nonclinical activities decreased by $2.5 million in the quarter ended June 30, 2020 compared to expense in the quarter ended June 30, 2019. Noncash research and development expenses, primarily stock-based compensation, and depreciation in both periods, accounted for approximately $249,000 and $416,000 in the quarters ended June 30, 2020 and 2019, respectively.</w:t>
      </w:r>
    </w:p>
    <w:p>
      <w:pPr>
        <w:spacing w:after="0" w:line="136" w:lineRule="exact"/>
        <w:rPr>
          <w:sz w:val="20"/>
          <w:szCs w:val="20"/>
          <w:color w:val="auto"/>
        </w:rPr>
      </w:pPr>
    </w:p>
    <w:p>
      <w:pPr>
        <w:jc w:val="both"/>
        <w:spacing w:after="0" w:line="263" w:lineRule="auto"/>
        <w:rPr>
          <w:sz w:val="20"/>
          <w:szCs w:val="20"/>
          <w:color w:val="auto"/>
        </w:rPr>
      </w:pPr>
      <w:r>
        <w:rPr>
          <w:rFonts w:ascii="Arial" w:cs="Arial" w:eastAsia="Arial" w:hAnsi="Arial"/>
          <w:sz w:val="13"/>
          <w:szCs w:val="13"/>
          <w:b w:val="1"/>
          <w:bCs w:val="1"/>
          <w:color w:val="333333"/>
        </w:rPr>
        <w:t xml:space="preserve">General and administrative (G&amp;A) expense: </w:t>
      </w:r>
      <w:r>
        <w:rPr>
          <w:rFonts w:ascii="Arial" w:cs="Arial" w:eastAsia="Arial" w:hAnsi="Arial"/>
          <w:sz w:val="13"/>
          <w:szCs w:val="13"/>
          <w:color w:val="000000"/>
        </w:rPr>
        <w:t>G&amp;A expense decreased to approximately $1.4 million from approximately $1.9 million for the quarters ended June 30, 2020 and 2019, respectively. Noncash G&amp;A expense,</w:t>
      </w:r>
      <w:r>
        <w:rPr>
          <w:rFonts w:ascii="Arial" w:cs="Arial" w:eastAsia="Arial" w:hAnsi="Arial"/>
          <w:sz w:val="13"/>
          <w:szCs w:val="13"/>
          <w:b w:val="1"/>
          <w:bCs w:val="1"/>
          <w:color w:val="333333"/>
        </w:rPr>
        <w:t xml:space="preserve"> </w:t>
      </w:r>
      <w:r>
        <w:rPr>
          <w:rFonts w:ascii="Arial" w:cs="Arial" w:eastAsia="Arial" w:hAnsi="Arial"/>
          <w:sz w:val="13"/>
          <w:szCs w:val="13"/>
          <w:color w:val="000000"/>
        </w:rPr>
        <w:t>$466,000 in the quarter ended June 30, 2020, decreased from $772,000 in the quarter ended June 30, 2019, primarily due to decreases in stock-based compensation and the noncash components of investor and public relations expense attributable to the amortization of the fair value of common stock or warrants granted to service providers.</w:t>
      </w:r>
    </w:p>
    <w:p>
      <w:pPr>
        <w:spacing w:after="0" w:line="134" w:lineRule="exact"/>
        <w:rPr>
          <w:sz w:val="20"/>
          <w:szCs w:val="20"/>
          <w:color w:val="auto"/>
        </w:rPr>
      </w:pPr>
    </w:p>
    <w:p>
      <w:pPr>
        <w:jc w:val="both"/>
        <w:spacing w:after="0" w:line="295" w:lineRule="auto"/>
        <w:rPr>
          <w:sz w:val="20"/>
          <w:szCs w:val="20"/>
          <w:color w:val="auto"/>
        </w:rPr>
      </w:pPr>
      <w:r>
        <w:rPr>
          <w:rFonts w:ascii="Arial" w:cs="Arial" w:eastAsia="Arial" w:hAnsi="Arial"/>
          <w:sz w:val="12"/>
          <w:szCs w:val="12"/>
          <w:b w:val="1"/>
          <w:bCs w:val="1"/>
          <w:color w:val="auto"/>
        </w:rPr>
        <w:t xml:space="preserve">Cash Position: </w:t>
      </w:r>
      <w:r>
        <w:rPr>
          <w:rFonts w:ascii="Arial" w:cs="Arial" w:eastAsia="Arial" w:hAnsi="Arial"/>
          <w:sz w:val="12"/>
          <w:szCs w:val="12"/>
          <w:color w:val="auto"/>
        </w:rPr>
        <w:t>At June 30, 2020, VistaGen had cash and cash equivalents of $1.5 million, compared to $1.4 million at March 31, 2020. After June 30, 2020, the Company received net proceeds totaling approximately</w:t>
      </w:r>
      <w:r>
        <w:rPr>
          <w:rFonts w:ascii="Arial" w:cs="Arial" w:eastAsia="Arial" w:hAnsi="Arial"/>
          <w:sz w:val="12"/>
          <w:szCs w:val="12"/>
          <w:b w:val="1"/>
          <w:bCs w:val="1"/>
          <w:color w:val="auto"/>
        </w:rPr>
        <w:t xml:space="preserve"> </w:t>
      </w:r>
      <w:r>
        <w:rPr>
          <w:rFonts w:ascii="Arial" w:cs="Arial" w:eastAsia="Arial" w:hAnsi="Arial"/>
          <w:sz w:val="12"/>
          <w:szCs w:val="12"/>
          <w:color w:val="auto"/>
        </w:rPr>
        <w:t>$17.5 million from (i) the $5.0 million gross non-dilutive upfront license fee payment from EverInsight Therapeutics, Inc. pursuant our PH94B strategic collaboration agreement for development and commercialization of PH94B in key markets in Asia, and (ii) the gross proceeds of approximately $14.29 million from the sale of shares of common stock in the underwritten public offering.</w:t>
      </w:r>
    </w:p>
    <w:p>
      <w:pPr>
        <w:spacing w:after="0" w:line="120" w:lineRule="exact"/>
        <w:rPr>
          <w:sz w:val="20"/>
          <w:szCs w:val="20"/>
          <w:color w:val="auto"/>
        </w:rPr>
      </w:pPr>
    </w:p>
    <w:p>
      <w:pPr>
        <w:spacing w:after="0"/>
        <w:rPr>
          <w:sz w:val="20"/>
          <w:szCs w:val="20"/>
          <w:color w:val="auto"/>
        </w:rPr>
      </w:pPr>
      <w:r>
        <w:rPr>
          <w:rFonts w:ascii="Arial" w:cs="Arial" w:eastAsia="Arial" w:hAnsi="Arial"/>
          <w:sz w:val="13"/>
          <w:szCs w:val="13"/>
          <w:color w:val="auto"/>
        </w:rPr>
        <w:t>As of August 13, 2020, there were 77,998,057 shares of common stock outstanding.</w:t>
      </w:r>
    </w:p>
    <w:p>
      <w:pPr>
        <w:spacing w:after="0" w:line="159"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PH94B</w:t>
      </w:r>
    </w:p>
    <w:p>
      <w:pPr>
        <w:spacing w:after="0" w:line="16" w:lineRule="exact"/>
        <w:rPr>
          <w:sz w:val="20"/>
          <w:szCs w:val="20"/>
          <w:color w:val="auto"/>
        </w:rPr>
      </w:pPr>
    </w:p>
    <w:p>
      <w:pPr>
        <w:jc w:val="both"/>
        <w:spacing w:after="0" w:line="261" w:lineRule="auto"/>
        <w:rPr>
          <w:sz w:val="20"/>
          <w:szCs w:val="20"/>
          <w:color w:val="auto"/>
        </w:rPr>
      </w:pPr>
      <w:r>
        <w:rPr>
          <w:rFonts w:ascii="Arial" w:cs="Arial" w:eastAsia="Arial" w:hAnsi="Arial"/>
          <w:sz w:val="13"/>
          <w:szCs w:val="13"/>
          <w:color w:val="auto"/>
        </w:rPr>
        <w:t>PH94B is a rapid-onset (within approximately 15 minutes) synthetic neurosteroid nasal spray with therapeutic potential across a broad range of anxiety-related disorders. Easily self-administered in microgram-level doses, PH94B does not require systemic uptake and distribution to produce its rapid-onset anti-anxiety effects.</w:t>
      </w:r>
    </w:p>
    <w:p>
      <w:pPr>
        <w:spacing w:after="0" w:line="139" w:lineRule="exact"/>
        <w:rPr>
          <w:sz w:val="20"/>
          <w:szCs w:val="20"/>
          <w:color w:val="auto"/>
        </w:rPr>
      </w:pPr>
    </w:p>
    <w:p>
      <w:pPr>
        <w:jc w:val="both"/>
        <w:spacing w:after="0" w:line="269" w:lineRule="auto"/>
        <w:rPr>
          <w:sz w:val="20"/>
          <w:szCs w:val="20"/>
          <w:color w:val="auto"/>
        </w:rPr>
      </w:pPr>
      <w:r>
        <w:rPr>
          <w:rFonts w:ascii="Arial" w:cs="Arial" w:eastAsia="Arial" w:hAnsi="Arial"/>
          <w:sz w:val="13"/>
          <w:szCs w:val="13"/>
          <w:color w:val="auto"/>
        </w:rPr>
        <w:t>VistaGen is preparing for Phase 3 clinical development of PH94B as a potential new generation fast-acting, non-sedating, non-addictive acute treatment of anxiety in adults with social anxiety disorder (SAD). The FDA has granted Fast Track designation for development of PH94B for this indication, believed to be the first such designation by the FDA for a drug candidate for SAD.</w:t>
      </w:r>
    </w:p>
    <w:p>
      <w:pPr>
        <w:spacing w:after="0" w:line="134" w:lineRule="exact"/>
        <w:rPr>
          <w:sz w:val="20"/>
          <w:szCs w:val="20"/>
          <w:color w:val="auto"/>
        </w:rPr>
      </w:pPr>
    </w:p>
    <w:p>
      <w:pPr>
        <w:jc w:val="both"/>
        <w:spacing w:after="0" w:line="312" w:lineRule="auto"/>
        <w:rPr>
          <w:sz w:val="20"/>
          <w:szCs w:val="20"/>
          <w:color w:val="auto"/>
        </w:rPr>
      </w:pPr>
      <w:r>
        <w:rPr>
          <w:rFonts w:ascii="Arial" w:cs="Arial" w:eastAsia="Arial" w:hAnsi="Arial"/>
          <w:sz w:val="12"/>
          <w:szCs w:val="12"/>
          <w:color w:val="auto"/>
        </w:rPr>
        <w:t xml:space="preserve">With its rapid-onset pharmacology, lack of systemic exposure and excellent safety profile in earlier studies, PH94B has potential as a novel treatment for multiple additional anxiety-related disorders. VistaGen is also preparing for exploratory Phase 2A development of PH94B for acute treatment of adjustment disorder. </w:t>
      </w:r>
      <w:r>
        <w:rPr>
          <w:rFonts w:ascii="Arial" w:cs="Arial" w:eastAsia="Arial" w:hAnsi="Arial"/>
          <w:sz w:val="12"/>
          <w:szCs w:val="12"/>
          <w:u w:val="single" w:color="auto"/>
          <w:color w:val="auto"/>
        </w:rPr>
        <w:t>View more background information on SAD and a video on PH94B's mechanism of action</w:t>
      </w:r>
      <w:r>
        <w:rPr>
          <w:rFonts w:ascii="Arial" w:cs="Arial" w:eastAsia="Arial" w:hAnsi="Arial"/>
          <w:sz w:val="12"/>
          <w:szCs w:val="12"/>
          <w:color w:val="auto"/>
        </w:rPr>
        <w:t>.</w:t>
      </w:r>
    </w:p>
    <w:p>
      <w:pPr>
        <w:spacing w:after="0" w:line="106"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PH10</w:t>
      </w:r>
    </w:p>
    <w:p>
      <w:pPr>
        <w:spacing w:after="0" w:line="1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PH10 is an investigational synthetic neurosteroid with therapeutic potential in a wide range of neuropsychiatric indications involving depression and suicidal ideation. VistaGen is initially developing PH10 as a potential fast-acting, non-sedating, non-addictive new generation stand-alone treatment of major depressive disorder (MDD). Following successfully completed Phase 2A development for MDD, VistaGen is now preparing for Phase 2B clinical development of PH10 for MDD.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292100</wp:posOffset>
            </wp:positionV>
            <wp:extent cx="7170420" cy="127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0420" cy="12700"/>
                    </a:xfrm>
                    <a:prstGeom prst="rect">
                      <a:avLst/>
                    </a:prstGeom>
                    <a:noFill/>
                  </pic:spPr>
                </pic:pic>
              </a:graphicData>
            </a:graphic>
          </wp:anchor>
        </w:drawing>
      </w:r>
    </w:p>
    <w:p>
      <w:pPr>
        <w:sectPr>
          <w:pgSz w:w="11900" w:h="16838" w:orient="portrait"/>
          <w:cols w:equalWidth="0" w:num="1">
            <w:col w:w="11280"/>
          </w:cols>
          <w:pgMar w:left="300" w:top="462" w:right="319" w:bottom="1440" w:gutter="0" w:footer="0" w:header="0"/>
        </w:sectPr>
      </w:pPr>
    </w:p>
    <w:bookmarkStart w:id="5" w:name="page6"/>
    <w:bookmarkEnd w:id="5"/>
    <w:p>
      <w:pPr>
        <w:spacing w:after="0"/>
        <w:rPr>
          <w:sz w:val="20"/>
          <w:szCs w:val="20"/>
          <w:color w:val="auto"/>
        </w:rPr>
      </w:pPr>
      <w:r>
        <w:rPr>
          <w:rFonts w:ascii="Arial" w:cs="Arial" w:eastAsia="Arial" w:hAnsi="Arial"/>
          <w:sz w:val="13"/>
          <w:szCs w:val="13"/>
          <w:b w:val="1"/>
          <w:bCs w:val="1"/>
          <w:color w:val="auto"/>
        </w:rPr>
        <w:t>About AV-101</w:t>
      </w:r>
    </w:p>
    <w:p>
      <w:pPr>
        <w:spacing w:after="0" w:line="16" w:lineRule="exact"/>
        <w:rPr>
          <w:sz w:val="20"/>
          <w:szCs w:val="20"/>
          <w:color w:val="auto"/>
        </w:rPr>
      </w:pPr>
    </w:p>
    <w:p>
      <w:pPr>
        <w:jc w:val="both"/>
        <w:spacing w:after="0" w:line="279" w:lineRule="auto"/>
        <w:rPr>
          <w:sz w:val="20"/>
          <w:szCs w:val="20"/>
          <w:color w:val="auto"/>
        </w:rPr>
      </w:pPr>
      <w:r>
        <w:rPr>
          <w:rFonts w:ascii="Arial" w:cs="Arial" w:eastAsia="Arial" w:hAnsi="Arial"/>
          <w:sz w:val="12"/>
          <w:szCs w:val="12"/>
          <w:color w:val="auto"/>
        </w:rPr>
        <w:t xml:space="preserve">AV-101 (4-Cl-KYN) targets the NMDAR (N-methyl-D-aspartate receptor), an ionotropic glutamate receptor in the brain. Abnormal NMDAR function is associated with numerous CNS diseases and disorders. AV-101 is an oral prodrug of 7-chlorokynurenic acid (7-Cl-KYNA), which is a potent and selective full antagonist of the glycine co-agonist site of the NMDAR that inhibits the function of the NMDAR. Unlike ketamine and other NMDAR antagonists, 7-Cl-KYNA is not an ion channel blocker. In all studies to date, AV-101 has exhibited no dissociative or hallucinogenic psychological side effects or safety concerns similar to those that may be caused by amantadine, esketamine and ketamine. With its exceptionally few side effects and excellent safety profile, AV-101 has potential to be an oral new generation treatment for multiple CNS indications. The FDA has granted Fast Track designation for development of AV-101 as both a potential </w:t>
      </w:r>
      <w:r>
        <w:rPr>
          <w:rFonts w:ascii="Arial" w:cs="Arial" w:eastAsia="Arial" w:hAnsi="Arial"/>
          <w:sz w:val="12"/>
          <w:szCs w:val="12"/>
          <w:u w:val="single" w:color="auto"/>
          <w:color w:val="auto"/>
        </w:rPr>
        <w:t>adjunctive treatment for MDD</w:t>
      </w:r>
      <w:r>
        <w:rPr>
          <w:rFonts w:ascii="Arial" w:cs="Arial" w:eastAsia="Arial" w:hAnsi="Arial"/>
          <w:sz w:val="12"/>
          <w:szCs w:val="12"/>
          <w:color w:val="auto"/>
        </w:rPr>
        <w:t xml:space="preserve"> and as a </w:t>
      </w:r>
      <w:r>
        <w:rPr>
          <w:rFonts w:ascii="Arial" w:cs="Arial" w:eastAsia="Arial" w:hAnsi="Arial"/>
          <w:sz w:val="12"/>
          <w:szCs w:val="12"/>
          <w:u w:val="single" w:color="auto"/>
          <w:color w:val="auto"/>
        </w:rPr>
        <w:t>non-opioid treatment for neuropathic pain</w:t>
      </w:r>
      <w:r>
        <w:rPr>
          <w:rFonts w:ascii="Arial" w:cs="Arial" w:eastAsia="Arial" w:hAnsi="Arial"/>
          <w:sz w:val="12"/>
          <w:szCs w:val="12"/>
          <w:color w:val="auto"/>
          <w:highlight w:val="white"/>
        </w:rPr>
        <w:t>.</w:t>
      </w:r>
    </w:p>
    <w:p>
      <w:pPr>
        <w:spacing w:after="0" w:line="127"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About VistaGen Therapeutics, Inc.</w:t>
      </w:r>
    </w:p>
    <w:p>
      <w:pPr>
        <w:spacing w:after="0" w:line="16" w:lineRule="exact"/>
        <w:rPr>
          <w:sz w:val="20"/>
          <w:szCs w:val="20"/>
          <w:color w:val="auto"/>
        </w:rPr>
      </w:pPr>
    </w:p>
    <w:p>
      <w:pPr>
        <w:jc w:val="both"/>
        <w:spacing w:after="0" w:line="256" w:lineRule="auto"/>
        <w:rPr>
          <w:sz w:val="20"/>
          <w:szCs w:val="20"/>
          <w:color w:val="auto"/>
        </w:rPr>
      </w:pPr>
      <w:r>
        <w:rPr>
          <w:rFonts w:ascii="Arial" w:cs="Arial" w:eastAsia="Arial" w:hAnsi="Arial"/>
          <w:sz w:val="13"/>
          <w:szCs w:val="13"/>
          <w:color w:val="auto"/>
        </w:rPr>
        <w:t xml:space="preserve">VistaGen Therapeutics is a clinical-stage biopharmaceutical company developing new generation medicines for anxiety, depression and certain CNS disorders where current treatments are believed by VistaGen to be inadequate, resulting in high unmet need. Each of VistaGen's three drug candidates has a differentiated mechanism of action, an exceptional safety profile, and therapeutic potential in several large global CNS markets. For more information, please visit </w:t>
      </w:r>
      <w:r>
        <w:rPr>
          <w:rFonts w:ascii="Arial" w:cs="Arial" w:eastAsia="Arial" w:hAnsi="Arial"/>
          <w:sz w:val="13"/>
          <w:szCs w:val="13"/>
          <w:u w:val="single" w:color="auto"/>
          <w:color w:val="auto"/>
        </w:rPr>
        <w:t>www.vistagen.com</w:t>
      </w:r>
      <w:r>
        <w:rPr>
          <w:rFonts w:ascii="Arial" w:cs="Arial" w:eastAsia="Arial" w:hAnsi="Arial"/>
          <w:sz w:val="13"/>
          <w:szCs w:val="13"/>
          <w:color w:val="auto"/>
        </w:rPr>
        <w:t xml:space="preserve"> and connect with VistaGen on </w:t>
      </w:r>
      <w:r>
        <w:rPr>
          <w:rFonts w:ascii="Arial" w:cs="Arial" w:eastAsia="Arial" w:hAnsi="Arial"/>
          <w:sz w:val="13"/>
          <w:szCs w:val="13"/>
          <w:u w:val="single" w:color="auto"/>
          <w:color w:val="auto"/>
        </w:rPr>
        <w:t>Twitter</w:t>
      </w:r>
      <w:r>
        <w:rPr>
          <w:rFonts w:ascii="Arial" w:cs="Arial" w:eastAsia="Arial" w:hAnsi="Arial"/>
          <w:sz w:val="13"/>
          <w:szCs w:val="13"/>
          <w:color w:val="auto"/>
        </w:rPr>
        <w:t xml:space="preserve">, </w:t>
      </w:r>
      <w:r>
        <w:rPr>
          <w:rFonts w:ascii="Arial" w:cs="Arial" w:eastAsia="Arial" w:hAnsi="Arial"/>
          <w:sz w:val="13"/>
          <w:szCs w:val="13"/>
          <w:u w:val="single" w:color="auto"/>
          <w:color w:val="auto"/>
        </w:rPr>
        <w:t>LinkedIn</w:t>
      </w:r>
      <w:r>
        <w:rPr>
          <w:rFonts w:ascii="Arial" w:cs="Arial" w:eastAsia="Arial" w:hAnsi="Arial"/>
          <w:sz w:val="13"/>
          <w:szCs w:val="13"/>
          <w:color w:val="auto"/>
        </w:rPr>
        <w:t xml:space="preserve"> and </w:t>
      </w:r>
      <w:r>
        <w:rPr>
          <w:rFonts w:ascii="Arial" w:cs="Arial" w:eastAsia="Arial" w:hAnsi="Arial"/>
          <w:sz w:val="13"/>
          <w:szCs w:val="13"/>
          <w:u w:val="single" w:color="auto"/>
          <w:color w:val="auto"/>
        </w:rPr>
        <w:t>Facebook</w:t>
      </w:r>
      <w:r>
        <w:rPr>
          <w:rFonts w:ascii="Arial" w:cs="Arial" w:eastAsia="Arial" w:hAnsi="Arial"/>
          <w:sz w:val="13"/>
          <w:szCs w:val="13"/>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3180715</wp:posOffset>
            </wp:positionH>
            <wp:positionV relativeFrom="paragraph">
              <wp:posOffset>-104140</wp:posOffset>
            </wp:positionV>
            <wp:extent cx="490220" cy="933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0220" cy="93345"/>
                    </a:xfrm>
                    <a:prstGeom prst="rect">
                      <a:avLst/>
                    </a:prstGeom>
                    <a:noFill/>
                  </pic:spPr>
                </pic:pic>
              </a:graphicData>
            </a:graphic>
          </wp:anchor>
        </w:drawing>
      </w:r>
    </w:p>
    <w:p>
      <w:pPr>
        <w:spacing w:after="0" w:line="118"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Forward Looking Statements</w:t>
      </w:r>
    </w:p>
    <w:p>
      <w:pPr>
        <w:spacing w:after="0" w:line="16" w:lineRule="exact"/>
        <w:rPr>
          <w:sz w:val="20"/>
          <w:szCs w:val="20"/>
          <w:color w:val="auto"/>
        </w:rPr>
      </w:pPr>
    </w:p>
    <w:p>
      <w:pPr>
        <w:jc w:val="both"/>
        <w:spacing w:after="0" w:line="274" w:lineRule="auto"/>
        <w:rPr>
          <w:sz w:val="20"/>
          <w:szCs w:val="20"/>
          <w:color w:val="auto"/>
        </w:rPr>
      </w:pPr>
      <w:r>
        <w:rPr>
          <w:rFonts w:ascii="Arial" w:cs="Arial" w:eastAsia="Arial" w:hAnsi="Arial"/>
          <w:sz w:val="12"/>
          <w:szCs w:val="12"/>
          <w:color w:val="auto"/>
        </w:rPr>
        <w:t>Various statements in this release are "forward-looking statements" concerning VistaGen's future expectations, plans and prospects, including the potential for successful Phase 3 development of PH94B for acute treatment of anxiety in adults with social anxiety disorder and Phase 2A development for acute treatment of adjustment disorder, as well as ongoing clinical development of PH10 for the potential treatment of MDD and AV-101 as a potential treatment in multiple CNS indications. These forward-looking statements are neither promises nor guarantees of future performance, and are subject to a variety of risks and uncertainties which could cause actual results to differ materially from those contemplated in these forward-looking statements, including the risks that: development and approval of PH94B, PH10 or AV-101 may not be achieved in any market; the FDA may decide that the results of any of the Company's clinical development programs, including its PH94B Phase 3 clinical program for acute treatment of anxiety in adult patients with SAD or any other anxiety-related disorder, are not sufficient for regulatory approval; development of PH94B, PH10 and/or AV-101 may not be successful in any indication; success in nonclinical studies or in earlier-stage clinical trials may not be repeated or observed in future studies which may not support further development or be sufficient to gain regulatory approval to market PH94B, PH10 and/or AV-101; adverse events may be encountered at any stage of development that negatively impact further development. Other risks and uncertainties include, but are not limited to, issues related to: adverse healthcare reforms and changes of laws and regulations; general industry and market conditions; manufacturing and marketing risks, which may include, but are not limited to, unavailability of or delays in delivery of raw materials for manufacture of PH94B, PH10 and/or AV-101; inadequate and/or untimely supply of PH94B, PH10 and/or AV-101 to meet demand; entry of competitive products; and other technical and unexpected hurdles in the development, manufacture and commercialization of PH94B, PH10 and/or AV-101, as well as those risks more fully discussed in the section entitled "Risk Factors" in VistaGen's most recent Annual Report on Form 10-K for the year ended March 31, 2020, and subsequent quarterly reports on Form 10-Q, as well as discussions of potential risks, uncertainties, and other important factors in the company's other filings with the Securities and Exchange Commission. In addition, any forward-looking statements represent the Company's views only as of today and should not be relied upon as representing its views as of any subsequent date. The Company explicitly disclaims any obligation to update any forward-looking statements.</w:t>
      </w:r>
    </w:p>
    <w:p>
      <w:pPr>
        <w:spacing w:after="0" w:line="130" w:lineRule="exact"/>
        <w:rPr>
          <w:sz w:val="20"/>
          <w:szCs w:val="20"/>
          <w:color w:val="auto"/>
        </w:rPr>
      </w:pPr>
    </w:p>
    <w:p>
      <w:pPr>
        <w:spacing w:after="0"/>
        <w:rPr>
          <w:sz w:val="20"/>
          <w:szCs w:val="20"/>
          <w:color w:val="auto"/>
        </w:rPr>
      </w:pPr>
      <w:r>
        <w:rPr>
          <w:rFonts w:ascii="Arial" w:cs="Arial" w:eastAsia="Arial" w:hAnsi="Arial"/>
          <w:sz w:val="13"/>
          <w:szCs w:val="13"/>
          <w:b w:val="1"/>
          <w:bCs w:val="1"/>
          <w:color w:val="auto"/>
        </w:rPr>
        <w:t>VistaGen Company Contact</w:t>
      </w:r>
    </w:p>
    <w:p>
      <w:pPr>
        <w:spacing w:after="0" w:line="16" w:lineRule="exact"/>
        <w:rPr>
          <w:sz w:val="20"/>
          <w:szCs w:val="20"/>
          <w:color w:val="auto"/>
        </w:rPr>
      </w:pPr>
    </w:p>
    <w:p>
      <w:pPr>
        <w:spacing w:after="0"/>
        <w:rPr>
          <w:sz w:val="20"/>
          <w:szCs w:val="20"/>
          <w:color w:val="auto"/>
        </w:rPr>
      </w:pPr>
      <w:r>
        <w:rPr>
          <w:rFonts w:ascii="Arial" w:cs="Arial" w:eastAsia="Arial" w:hAnsi="Arial"/>
          <w:sz w:val="13"/>
          <w:szCs w:val="13"/>
          <w:color w:val="auto"/>
        </w:rPr>
        <w:t>Mark A. McPartland</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VistaGen Therapeutics Inc.</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Phone: +1 (650) 577-3600</w:t>
      </w:r>
    </w:p>
    <w:p>
      <w:pPr>
        <w:spacing w:after="0" w:line="7"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Email: </w:t>
      </w:r>
      <w:r>
        <w:rPr>
          <w:rFonts w:ascii="Arial" w:cs="Arial" w:eastAsia="Arial" w:hAnsi="Arial"/>
          <w:sz w:val="13"/>
          <w:szCs w:val="13"/>
          <w:u w:val="single" w:color="auto"/>
          <w:color w:val="0095DA"/>
        </w:rPr>
        <w:t>IR@vistagen.com</w:t>
      </w:r>
    </w:p>
    <w:p>
      <w:pPr>
        <w:spacing w:after="0" w:line="315"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Tables Follow</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181610</wp:posOffset>
            </wp:positionV>
            <wp:extent cx="7170420" cy="1270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0420" cy="12700"/>
                    </a:xfrm>
                    <a:prstGeom prst="rect">
                      <a:avLst/>
                    </a:prstGeom>
                    <a:noFill/>
                  </pic:spPr>
                </pic:pic>
              </a:graphicData>
            </a:graphic>
          </wp:anchor>
        </w:drawing>
      </w:r>
    </w:p>
    <w:p>
      <w:pPr>
        <w:sectPr>
          <w:pgSz w:w="11900" w:h="16838" w:orient="portrait"/>
          <w:cols w:equalWidth="0" w:num="1">
            <w:col w:w="11280"/>
          </w:cols>
          <w:pgMar w:left="300" w:top="462" w:right="319" w:bottom="1440" w:gutter="0" w:footer="0" w:header="0"/>
        </w:sectPr>
      </w:pPr>
    </w:p>
    <w:bookmarkStart w:id="6" w:name="page7"/>
    <w:bookmarkEnd w:id="6"/>
    <w:p>
      <w:pPr>
        <w:jc w:val="center"/>
        <w:spacing w:after="0"/>
        <w:rPr>
          <w:sz w:val="20"/>
          <w:szCs w:val="20"/>
          <w:color w:val="auto"/>
        </w:rPr>
      </w:pPr>
      <w:r>
        <w:rPr>
          <w:rFonts w:ascii="Arial" w:cs="Arial" w:eastAsia="Arial" w:hAnsi="Arial"/>
          <w:sz w:val="13"/>
          <w:szCs w:val="13"/>
          <w:b w:val="1"/>
          <w:bCs w:val="1"/>
          <w:color w:val="auto"/>
        </w:rPr>
        <w:t>VISTAGEN THERAPEUTICS, INC.</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BALANCE SHEETS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(Amounts in dollars, except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5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center"/>
              <w:ind w:right="360"/>
              <w:spacing w:after="0"/>
              <w:rPr>
                <w:sz w:val="20"/>
                <w:szCs w:val="20"/>
                <w:color w:val="auto"/>
              </w:rPr>
            </w:pPr>
            <w:r>
              <w:rPr>
                <w:rFonts w:ascii="Arial" w:cs="Arial" w:eastAsia="Arial" w:hAnsi="Arial"/>
                <w:sz w:val="13"/>
                <w:szCs w:val="13"/>
                <w:b w:val="1"/>
                <w:bCs w:val="1"/>
                <w:color w:val="auto"/>
                <w:w w:val="84"/>
              </w:rPr>
              <w:t>June 30,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380"/>
              <w:spacing w:after="0"/>
              <w:rPr>
                <w:sz w:val="20"/>
                <w:szCs w:val="20"/>
                <w:color w:val="auto"/>
              </w:rPr>
            </w:pPr>
            <w:r>
              <w:rPr>
                <w:rFonts w:ascii="Arial" w:cs="Arial" w:eastAsia="Arial" w:hAnsi="Arial"/>
                <w:sz w:val="13"/>
                <w:szCs w:val="13"/>
                <w:b w:val="1"/>
                <w:bCs w:val="1"/>
                <w:color w:val="auto"/>
              </w:rPr>
              <w:t>March 31,</w:t>
            </w:r>
          </w:p>
        </w:tc>
      </w:tr>
      <w:tr>
        <w:trPr>
          <w:trHeight w:val="176"/>
        </w:trPr>
        <w:tc>
          <w:tcPr>
            <w:tcW w:w="8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Borders>
              <w:bottom w:val="single" w:sz="8" w:color="auto"/>
            </w:tcBorders>
          </w:tcPr>
          <w:p>
            <w:pPr>
              <w:spacing w:after="0"/>
              <w:rPr>
                <w:sz w:val="15"/>
                <w:szCs w:val="15"/>
                <w:color w:val="auto"/>
              </w:rPr>
            </w:pPr>
          </w:p>
        </w:tc>
        <w:tc>
          <w:tcPr>
            <w:tcW w:w="88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2020</w:t>
            </w: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920" w:type="dxa"/>
            <w:vAlign w:val="bottom"/>
            <w:tcBorders>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2020</w:t>
            </w:r>
          </w:p>
        </w:tc>
        <w:tc>
          <w:tcPr>
            <w:tcW w:w="120" w:type="dxa"/>
            <w:vAlign w:val="bottom"/>
          </w:tcPr>
          <w:p>
            <w:pPr>
              <w:spacing w:after="0"/>
              <w:rPr>
                <w:sz w:val="15"/>
                <w:szCs w:val="15"/>
                <w:color w:val="auto"/>
              </w:rPr>
            </w:pPr>
          </w:p>
        </w:tc>
      </w:tr>
      <w:tr>
        <w:trPr>
          <w:trHeight w:val="175"/>
        </w:trPr>
        <w:tc>
          <w:tcPr>
            <w:tcW w:w="8580" w:type="dxa"/>
            <w:vAlign w:val="bottom"/>
          </w:tcPr>
          <w:p>
            <w:pPr>
              <w:ind w:left="4060"/>
              <w:spacing w:after="0"/>
              <w:rPr>
                <w:sz w:val="20"/>
                <w:szCs w:val="20"/>
                <w:color w:val="auto"/>
              </w:rPr>
            </w:pPr>
            <w:r>
              <w:rPr>
                <w:rFonts w:ascii="Arial" w:cs="Arial" w:eastAsia="Arial" w:hAnsi="Arial"/>
                <w:sz w:val="13"/>
                <w:szCs w:val="13"/>
                <w:b w:val="1"/>
                <w:bCs w:val="1"/>
                <w:color w:val="auto"/>
              </w:rPr>
              <w:t>ASSETS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8580" w:type="dxa"/>
            <w:vAlign w:val="bottom"/>
          </w:tcPr>
          <w:p>
            <w:pPr>
              <w:ind w:left="20"/>
              <w:spacing w:after="0"/>
              <w:rPr>
                <w:sz w:val="20"/>
                <w:szCs w:val="20"/>
                <w:color w:val="auto"/>
              </w:rPr>
            </w:pPr>
            <w:r>
              <w:rPr>
                <w:rFonts w:ascii="Arial" w:cs="Arial" w:eastAsia="Arial" w:hAnsi="Arial"/>
                <w:sz w:val="13"/>
                <w:szCs w:val="13"/>
                <w:color w:val="auto"/>
              </w:rPr>
              <w:t>Current assets:</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7"/>
        </w:trPr>
        <w:tc>
          <w:tcPr>
            <w:tcW w:w="8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Cash and cash equivalents</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1,545,900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1,355,100</w:t>
            </w:r>
          </w:p>
        </w:tc>
      </w:tr>
      <w:tr>
        <w:trPr>
          <w:trHeight w:val="156"/>
        </w:trPr>
        <w:tc>
          <w:tcPr>
            <w:tcW w:w="8580" w:type="dxa"/>
            <w:vAlign w:val="bottom"/>
          </w:tcPr>
          <w:p>
            <w:pPr>
              <w:ind w:left="140"/>
              <w:spacing w:after="0"/>
              <w:rPr>
                <w:sz w:val="20"/>
                <w:szCs w:val="20"/>
                <w:color w:val="auto"/>
              </w:rPr>
            </w:pPr>
            <w:r>
              <w:rPr>
                <w:rFonts w:ascii="Arial" w:cs="Arial" w:eastAsia="Arial" w:hAnsi="Arial"/>
                <w:sz w:val="13"/>
                <w:szCs w:val="13"/>
                <w:color w:val="auto"/>
              </w:rPr>
              <w:t>Prepaid expenses and other current assets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633,000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225,100</w:t>
            </w:r>
          </w:p>
        </w:tc>
      </w:tr>
      <w:tr>
        <w:trPr>
          <w:trHeight w:val="20"/>
        </w:trPr>
        <w:tc>
          <w:tcPr>
            <w:tcW w:w="8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85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current assets</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2,178,900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1,580,200</w:t>
            </w:r>
          </w:p>
        </w:tc>
      </w:tr>
      <w:tr>
        <w:trPr>
          <w:trHeight w:val="156"/>
        </w:trPr>
        <w:tc>
          <w:tcPr>
            <w:tcW w:w="8580" w:type="dxa"/>
            <w:vAlign w:val="bottom"/>
          </w:tcPr>
          <w:p>
            <w:pPr>
              <w:ind w:left="140"/>
              <w:spacing w:after="0"/>
              <w:rPr>
                <w:sz w:val="20"/>
                <w:szCs w:val="20"/>
                <w:color w:val="auto"/>
              </w:rPr>
            </w:pPr>
            <w:r>
              <w:rPr>
                <w:rFonts w:ascii="Arial" w:cs="Arial" w:eastAsia="Arial" w:hAnsi="Arial"/>
                <w:sz w:val="13"/>
                <w:szCs w:val="13"/>
                <w:color w:val="auto"/>
              </w:rPr>
              <w:t>Property and equipment, net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184,200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209,600</w:t>
            </w:r>
          </w:p>
        </w:tc>
      </w:tr>
      <w:tr>
        <w:trPr>
          <w:trHeight w:val="156"/>
        </w:trPr>
        <w:tc>
          <w:tcPr>
            <w:tcW w:w="8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Right of use asset - operating lease</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3,492,100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3,579,600</w:t>
            </w:r>
          </w:p>
        </w:tc>
      </w:tr>
      <w:tr>
        <w:trPr>
          <w:trHeight w:val="156"/>
        </w:trPr>
        <w:tc>
          <w:tcPr>
            <w:tcW w:w="8580" w:type="dxa"/>
            <w:vAlign w:val="bottom"/>
          </w:tcPr>
          <w:p>
            <w:pPr>
              <w:ind w:left="140"/>
              <w:spacing w:after="0"/>
              <w:rPr>
                <w:sz w:val="20"/>
                <w:szCs w:val="20"/>
                <w:color w:val="auto"/>
              </w:rPr>
            </w:pPr>
            <w:r>
              <w:rPr>
                <w:rFonts w:ascii="Arial" w:cs="Arial" w:eastAsia="Arial" w:hAnsi="Arial"/>
                <w:sz w:val="13"/>
                <w:szCs w:val="13"/>
                <w:color w:val="auto"/>
              </w:rPr>
              <w:t>Deferred offering costs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263,900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355,100</w:t>
            </w:r>
          </w:p>
        </w:tc>
      </w:tr>
      <w:tr>
        <w:trPr>
          <w:trHeight w:val="156"/>
        </w:trPr>
        <w:tc>
          <w:tcPr>
            <w:tcW w:w="8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Security deposits and other assets</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47,800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47,800</w:t>
            </w:r>
          </w:p>
        </w:tc>
      </w:tr>
      <w:tr>
        <w:trPr>
          <w:trHeight w:val="20"/>
        </w:trPr>
        <w:tc>
          <w:tcPr>
            <w:tcW w:w="85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6"/>
        </w:trPr>
        <w:tc>
          <w:tcPr>
            <w:tcW w:w="8580" w:type="dxa"/>
            <w:vAlign w:val="bottom"/>
          </w:tcPr>
          <w:p>
            <w:pPr>
              <w:ind w:left="260"/>
              <w:spacing w:after="0"/>
              <w:rPr>
                <w:sz w:val="20"/>
                <w:szCs w:val="20"/>
                <w:color w:val="auto"/>
              </w:rPr>
            </w:pPr>
            <w:r>
              <w:rPr>
                <w:rFonts w:ascii="Arial" w:cs="Arial" w:eastAsia="Arial" w:hAnsi="Arial"/>
                <w:sz w:val="13"/>
                <w:szCs w:val="13"/>
                <w:color w:val="auto"/>
              </w:rPr>
              <w:t>Total assets</w:t>
            </w: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6,166,900</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5,772,300</w:t>
            </w:r>
          </w:p>
        </w:tc>
      </w:tr>
      <w:tr>
        <w:trPr>
          <w:trHeight w:val="20"/>
        </w:trPr>
        <w:tc>
          <w:tcPr>
            <w:tcW w:w="8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5"/>
        </w:trPr>
        <w:tc>
          <w:tcPr>
            <w:tcW w:w="8580" w:type="dxa"/>
            <w:vAlign w:val="bottom"/>
            <w:shd w:val="clear" w:color="auto" w:fill="CCEEFF"/>
          </w:tcPr>
          <w:p>
            <w:pPr>
              <w:spacing w:after="0"/>
              <w:rPr>
                <w:sz w:val="11"/>
                <w:szCs w:val="11"/>
                <w:color w:val="auto"/>
              </w:rPr>
            </w:pPr>
          </w:p>
        </w:tc>
        <w:tc>
          <w:tcPr>
            <w:tcW w:w="140" w:type="dxa"/>
            <w:vAlign w:val="bottom"/>
            <w:shd w:val="clear" w:color="auto" w:fill="CCEEFF"/>
          </w:tcPr>
          <w:p>
            <w:pPr>
              <w:spacing w:after="0"/>
              <w:rPr>
                <w:sz w:val="11"/>
                <w:szCs w:val="11"/>
                <w:color w:val="auto"/>
              </w:rPr>
            </w:pPr>
          </w:p>
        </w:tc>
        <w:tc>
          <w:tcPr>
            <w:tcW w:w="200" w:type="dxa"/>
            <w:vAlign w:val="bottom"/>
            <w:shd w:val="clear" w:color="auto" w:fill="CCEEFF"/>
          </w:tcPr>
          <w:p>
            <w:pPr>
              <w:spacing w:after="0"/>
              <w:rPr>
                <w:sz w:val="11"/>
                <w:szCs w:val="11"/>
                <w:color w:val="auto"/>
              </w:rPr>
            </w:pPr>
          </w:p>
        </w:tc>
        <w:tc>
          <w:tcPr>
            <w:tcW w:w="88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92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6"/>
        </w:trPr>
        <w:tc>
          <w:tcPr>
            <w:tcW w:w="8580" w:type="dxa"/>
            <w:vAlign w:val="bottom"/>
          </w:tcPr>
          <w:p>
            <w:pPr>
              <w:ind w:left="2920"/>
              <w:spacing w:after="0"/>
              <w:rPr>
                <w:sz w:val="20"/>
                <w:szCs w:val="20"/>
                <w:color w:val="auto"/>
              </w:rPr>
            </w:pPr>
            <w:r>
              <w:rPr>
                <w:rFonts w:ascii="Arial" w:cs="Arial" w:eastAsia="Arial" w:hAnsi="Arial"/>
                <w:sz w:val="13"/>
                <w:szCs w:val="13"/>
                <w:b w:val="1"/>
                <w:bCs w:val="1"/>
                <w:color w:val="auto"/>
              </w:rPr>
              <w:t>LIABILITIES AND STOCKHOLDERS’ DEFICIT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Current liabilities:</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6"/>
        </w:trPr>
        <w:tc>
          <w:tcPr>
            <w:tcW w:w="8580" w:type="dxa"/>
            <w:vAlign w:val="bottom"/>
          </w:tcPr>
          <w:p>
            <w:pPr>
              <w:ind w:left="140"/>
              <w:spacing w:after="0"/>
              <w:rPr>
                <w:sz w:val="20"/>
                <w:szCs w:val="20"/>
                <w:color w:val="auto"/>
              </w:rPr>
            </w:pPr>
            <w:r>
              <w:rPr>
                <w:rFonts w:ascii="Arial" w:cs="Arial" w:eastAsia="Arial" w:hAnsi="Arial"/>
                <w:sz w:val="13"/>
                <w:szCs w:val="13"/>
                <w:color w:val="auto"/>
              </w:rPr>
              <w:t>Accounts payable</w:t>
            </w:r>
          </w:p>
        </w:tc>
        <w:tc>
          <w:tcPr>
            <w:tcW w:w="340" w:type="dxa"/>
            <w:vAlign w:val="bottom"/>
            <w:gridSpan w:val="2"/>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1,307,300</w:t>
            </w:r>
          </w:p>
        </w:tc>
        <w:tc>
          <w:tcPr>
            <w:tcW w:w="280" w:type="dxa"/>
            <w:vAlign w:val="bottom"/>
            <w:gridSpan w:val="2"/>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1,836,600</w:t>
            </w:r>
          </w:p>
        </w:tc>
      </w:tr>
      <w:tr>
        <w:trPr>
          <w:trHeight w:val="156"/>
        </w:trPr>
        <w:tc>
          <w:tcPr>
            <w:tcW w:w="8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expenses</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607,800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561,500</w:t>
            </w:r>
          </w:p>
        </w:tc>
      </w:tr>
      <w:tr>
        <w:trPr>
          <w:trHeight w:val="156"/>
        </w:trPr>
        <w:tc>
          <w:tcPr>
            <w:tcW w:w="8580" w:type="dxa"/>
            <w:vAlign w:val="bottom"/>
          </w:tcPr>
          <w:p>
            <w:pPr>
              <w:ind w:left="140"/>
              <w:spacing w:after="0"/>
              <w:rPr>
                <w:sz w:val="20"/>
                <w:szCs w:val="20"/>
                <w:color w:val="auto"/>
              </w:rPr>
            </w:pPr>
            <w:r>
              <w:rPr>
                <w:rFonts w:ascii="Arial" w:cs="Arial" w:eastAsia="Arial" w:hAnsi="Arial"/>
                <w:sz w:val="13"/>
                <w:szCs w:val="13"/>
                <w:color w:val="auto"/>
              </w:rPr>
              <w:t>Current notes payable, including accrued interest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428,900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56,500</w:t>
            </w:r>
          </w:p>
        </w:tc>
      </w:tr>
      <w:tr>
        <w:trPr>
          <w:trHeight w:val="156"/>
        </w:trPr>
        <w:tc>
          <w:tcPr>
            <w:tcW w:w="8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Operating lease obligation - current portion</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325,700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313,400</w:t>
            </w:r>
          </w:p>
        </w:tc>
      </w:tr>
      <w:tr>
        <w:trPr>
          <w:trHeight w:val="156"/>
        </w:trPr>
        <w:tc>
          <w:tcPr>
            <w:tcW w:w="8580" w:type="dxa"/>
            <w:vAlign w:val="bottom"/>
          </w:tcPr>
          <w:p>
            <w:pPr>
              <w:ind w:left="140"/>
              <w:spacing w:after="0"/>
              <w:rPr>
                <w:sz w:val="20"/>
                <w:szCs w:val="20"/>
                <w:color w:val="auto"/>
              </w:rPr>
            </w:pPr>
            <w:r>
              <w:rPr>
                <w:rFonts w:ascii="Arial" w:cs="Arial" w:eastAsia="Arial" w:hAnsi="Arial"/>
                <w:sz w:val="13"/>
                <w:szCs w:val="13"/>
                <w:color w:val="auto"/>
              </w:rPr>
              <w:t>Financing lease obligation - current portion</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3,400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3,300</w:t>
            </w:r>
          </w:p>
        </w:tc>
      </w:tr>
      <w:tr>
        <w:trPr>
          <w:trHeight w:val="20"/>
        </w:trPr>
        <w:tc>
          <w:tcPr>
            <w:tcW w:w="8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85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current liabilities</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2,673,100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2,771,300</w:t>
            </w:r>
          </w:p>
        </w:tc>
      </w:tr>
      <w:tr>
        <w:trPr>
          <w:trHeight w:val="156"/>
        </w:trPr>
        <w:tc>
          <w:tcPr>
            <w:tcW w:w="8580" w:type="dxa"/>
            <w:vAlign w:val="bottom"/>
            <w:tcBorders>
              <w:top w:val="single" w:sz="8" w:color="CCEEFF"/>
            </w:tcBorders>
          </w:tcPr>
          <w:p>
            <w:pPr>
              <w:spacing w:after="0"/>
              <w:rPr>
                <w:sz w:val="13"/>
                <w:szCs w:val="13"/>
                <w:color w:val="auto"/>
              </w:rPr>
            </w:pPr>
          </w:p>
        </w:tc>
        <w:tc>
          <w:tcPr>
            <w:tcW w:w="140" w:type="dxa"/>
            <w:vAlign w:val="bottom"/>
            <w:tcBorders>
              <w:top w:val="single" w:sz="8" w:color="CCEEFF"/>
            </w:tcBorders>
          </w:tcPr>
          <w:p>
            <w:pPr>
              <w:spacing w:after="0"/>
              <w:rPr>
                <w:sz w:val="13"/>
                <w:szCs w:val="13"/>
                <w:color w:val="auto"/>
              </w:rPr>
            </w:pPr>
          </w:p>
        </w:tc>
        <w:tc>
          <w:tcPr>
            <w:tcW w:w="200" w:type="dxa"/>
            <w:vAlign w:val="bottom"/>
            <w:tcBorders>
              <w:top w:val="single" w:sz="8" w:color="auto"/>
            </w:tcBorders>
          </w:tcPr>
          <w:p>
            <w:pPr>
              <w:spacing w:after="0"/>
              <w:rPr>
                <w:sz w:val="13"/>
                <w:szCs w:val="13"/>
                <w:color w:val="auto"/>
              </w:rPr>
            </w:pPr>
          </w:p>
        </w:tc>
        <w:tc>
          <w:tcPr>
            <w:tcW w:w="880" w:type="dxa"/>
            <w:vAlign w:val="bottom"/>
            <w:tcBorders>
              <w:top w:val="single" w:sz="8" w:color="auto"/>
            </w:tcBorders>
          </w:tcPr>
          <w:p>
            <w:pPr>
              <w:spacing w:after="0"/>
              <w:rPr>
                <w:sz w:val="13"/>
                <w:szCs w:val="13"/>
                <w:color w:val="auto"/>
              </w:rPr>
            </w:pPr>
          </w:p>
        </w:tc>
        <w:tc>
          <w:tcPr>
            <w:tcW w:w="160" w:type="dxa"/>
            <w:vAlign w:val="bottom"/>
            <w:tcBorders>
              <w:top w:val="single" w:sz="8" w:color="CCEEFF"/>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c>
          <w:tcPr>
            <w:tcW w:w="160" w:type="dxa"/>
            <w:vAlign w:val="bottom"/>
            <w:tcBorders>
              <w:top w:val="single" w:sz="8" w:color="auto"/>
            </w:tcBorders>
          </w:tcPr>
          <w:p>
            <w:pPr>
              <w:spacing w:after="0"/>
              <w:rPr>
                <w:sz w:val="13"/>
                <w:szCs w:val="13"/>
                <w:color w:val="auto"/>
              </w:rPr>
            </w:pPr>
          </w:p>
        </w:tc>
        <w:tc>
          <w:tcPr>
            <w:tcW w:w="920" w:type="dxa"/>
            <w:vAlign w:val="bottom"/>
            <w:tcBorders>
              <w:top w:val="single" w:sz="8" w:color="auto"/>
            </w:tcBorders>
          </w:tcPr>
          <w:p>
            <w:pPr>
              <w:spacing w:after="0"/>
              <w:rPr>
                <w:sz w:val="13"/>
                <w:szCs w:val="13"/>
                <w:color w:val="auto"/>
              </w:rPr>
            </w:pPr>
          </w:p>
        </w:tc>
        <w:tc>
          <w:tcPr>
            <w:tcW w:w="120" w:type="dxa"/>
            <w:vAlign w:val="bottom"/>
            <w:tcBorders>
              <w:top w:val="single" w:sz="8" w:color="CCEEFF"/>
            </w:tcBorders>
          </w:tcPr>
          <w:p>
            <w:pPr>
              <w:spacing w:after="0"/>
              <w:rPr>
                <w:sz w:val="13"/>
                <w:szCs w:val="13"/>
                <w:color w:val="auto"/>
              </w:rPr>
            </w:pPr>
          </w:p>
        </w:tc>
      </w:tr>
      <w:tr>
        <w:trPr>
          <w:trHeight w:val="156"/>
        </w:trPr>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Non-current liabilities:</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92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6"/>
        </w:trPr>
        <w:tc>
          <w:tcPr>
            <w:tcW w:w="8580" w:type="dxa"/>
            <w:vAlign w:val="bottom"/>
          </w:tcPr>
          <w:p>
            <w:pPr>
              <w:ind w:left="140"/>
              <w:spacing w:after="0"/>
              <w:rPr>
                <w:sz w:val="20"/>
                <w:szCs w:val="20"/>
                <w:color w:val="auto"/>
              </w:rPr>
            </w:pPr>
            <w:r>
              <w:rPr>
                <w:rFonts w:ascii="Arial" w:cs="Arial" w:eastAsia="Arial" w:hAnsi="Arial"/>
                <w:sz w:val="13"/>
                <w:szCs w:val="13"/>
                <w:color w:val="auto"/>
              </w:rPr>
              <w:t>Non-current portion of notes payable</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124,700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w:t>
            </w:r>
          </w:p>
        </w:tc>
      </w:tr>
      <w:tr>
        <w:trPr>
          <w:trHeight w:val="156"/>
        </w:trPr>
        <w:tc>
          <w:tcPr>
            <w:tcW w:w="8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Accrued dividends on Series B Preferred Stock</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5,347,600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5,011,800</w:t>
            </w:r>
          </w:p>
        </w:tc>
      </w:tr>
      <w:tr>
        <w:trPr>
          <w:trHeight w:val="156"/>
        </w:trPr>
        <w:tc>
          <w:tcPr>
            <w:tcW w:w="8580" w:type="dxa"/>
            <w:vAlign w:val="bottom"/>
          </w:tcPr>
          <w:p>
            <w:pPr>
              <w:ind w:left="140"/>
              <w:spacing w:after="0"/>
              <w:rPr>
                <w:sz w:val="20"/>
                <w:szCs w:val="20"/>
                <w:color w:val="auto"/>
              </w:rPr>
            </w:pPr>
            <w:r>
              <w:rPr>
                <w:rFonts w:ascii="Arial" w:cs="Arial" w:eastAsia="Arial" w:hAnsi="Arial"/>
                <w:sz w:val="13"/>
                <w:szCs w:val="13"/>
                <w:color w:val="auto"/>
              </w:rPr>
              <w:t>Operating lease obligation - non-current portion</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3,631,100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3,715,600</w:t>
            </w:r>
          </w:p>
        </w:tc>
      </w:tr>
      <w:tr>
        <w:trPr>
          <w:trHeight w:val="156"/>
        </w:trPr>
        <w:tc>
          <w:tcPr>
            <w:tcW w:w="8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Financing lease obligation - non-current portion</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2,100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3,000</w:t>
            </w:r>
          </w:p>
        </w:tc>
      </w:tr>
      <w:tr>
        <w:trPr>
          <w:trHeight w:val="20"/>
        </w:trPr>
        <w:tc>
          <w:tcPr>
            <w:tcW w:w="85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6"/>
        </w:trPr>
        <w:tc>
          <w:tcPr>
            <w:tcW w:w="8580" w:type="dxa"/>
            <w:vAlign w:val="bottom"/>
          </w:tcPr>
          <w:p>
            <w:pPr>
              <w:ind w:left="260"/>
              <w:spacing w:after="0"/>
              <w:rPr>
                <w:sz w:val="20"/>
                <w:szCs w:val="20"/>
                <w:color w:val="auto"/>
              </w:rPr>
            </w:pPr>
            <w:r>
              <w:rPr>
                <w:rFonts w:ascii="Arial" w:cs="Arial" w:eastAsia="Arial" w:hAnsi="Arial"/>
                <w:sz w:val="13"/>
                <w:szCs w:val="13"/>
                <w:color w:val="auto"/>
              </w:rPr>
              <w:t>Total non-current liabilities</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9,105,500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8,730,400</w:t>
            </w:r>
          </w:p>
        </w:tc>
      </w:tr>
      <w:tr>
        <w:trPr>
          <w:trHeight w:val="20"/>
        </w:trPr>
        <w:tc>
          <w:tcPr>
            <w:tcW w:w="8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8580" w:type="dxa"/>
            <w:vAlign w:val="bottom"/>
            <w:shd w:val="clear" w:color="auto" w:fill="CCEEFF"/>
          </w:tcPr>
          <w:p>
            <w:pPr>
              <w:ind w:left="260"/>
              <w:spacing w:after="0"/>
              <w:rPr>
                <w:sz w:val="20"/>
                <w:szCs w:val="20"/>
                <w:color w:val="auto"/>
              </w:rPr>
            </w:pPr>
            <w:r>
              <w:rPr>
                <w:rFonts w:ascii="Arial" w:cs="Arial" w:eastAsia="Arial" w:hAnsi="Arial"/>
                <w:sz w:val="13"/>
                <w:szCs w:val="13"/>
                <w:color w:val="auto"/>
              </w:rPr>
              <w:t>Total liabilities</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11,778,600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11,501,700</w:t>
            </w:r>
          </w:p>
        </w:tc>
      </w:tr>
      <w:tr>
        <w:trPr>
          <w:trHeight w:val="175"/>
        </w:trPr>
        <w:tc>
          <w:tcPr>
            <w:tcW w:w="8580" w:type="dxa"/>
            <w:vAlign w:val="bottom"/>
            <w:tcBorders>
              <w:top w:val="single" w:sz="8" w:color="CCEEFF"/>
            </w:tcBorders>
          </w:tcPr>
          <w:p>
            <w:pPr>
              <w:spacing w:after="0"/>
              <w:rPr>
                <w:sz w:val="15"/>
                <w:szCs w:val="15"/>
                <w:color w:val="auto"/>
              </w:rPr>
            </w:pPr>
          </w:p>
        </w:tc>
        <w:tc>
          <w:tcPr>
            <w:tcW w:w="140" w:type="dxa"/>
            <w:vAlign w:val="bottom"/>
            <w:tcBorders>
              <w:top w:val="single" w:sz="8" w:color="CCEEFF"/>
            </w:tcBorders>
          </w:tcPr>
          <w:p>
            <w:pPr>
              <w:spacing w:after="0"/>
              <w:rPr>
                <w:sz w:val="15"/>
                <w:szCs w:val="15"/>
                <w:color w:val="auto"/>
              </w:rPr>
            </w:pPr>
          </w:p>
        </w:tc>
        <w:tc>
          <w:tcPr>
            <w:tcW w:w="200" w:type="dxa"/>
            <w:vAlign w:val="bottom"/>
            <w:tcBorders>
              <w:top w:val="single" w:sz="8" w:color="auto"/>
            </w:tcBorders>
          </w:tcPr>
          <w:p>
            <w:pPr>
              <w:spacing w:after="0"/>
              <w:rPr>
                <w:sz w:val="15"/>
                <w:szCs w:val="15"/>
                <w:color w:val="auto"/>
              </w:rPr>
            </w:pPr>
          </w:p>
        </w:tc>
        <w:tc>
          <w:tcPr>
            <w:tcW w:w="880" w:type="dxa"/>
            <w:vAlign w:val="bottom"/>
            <w:tcBorders>
              <w:top w:val="single" w:sz="8" w:color="auto"/>
            </w:tcBorders>
          </w:tcPr>
          <w:p>
            <w:pPr>
              <w:spacing w:after="0"/>
              <w:rPr>
                <w:sz w:val="15"/>
                <w:szCs w:val="15"/>
                <w:color w:val="auto"/>
              </w:rPr>
            </w:pPr>
          </w:p>
        </w:tc>
        <w:tc>
          <w:tcPr>
            <w:tcW w:w="160" w:type="dxa"/>
            <w:vAlign w:val="bottom"/>
            <w:tcBorders>
              <w:top w:val="single" w:sz="8" w:color="CCEEFF"/>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c>
          <w:tcPr>
            <w:tcW w:w="160" w:type="dxa"/>
            <w:vAlign w:val="bottom"/>
            <w:tcBorders>
              <w:top w:val="single" w:sz="8" w:color="auto"/>
            </w:tcBorders>
          </w:tcPr>
          <w:p>
            <w:pPr>
              <w:spacing w:after="0"/>
              <w:rPr>
                <w:sz w:val="15"/>
                <w:szCs w:val="15"/>
                <w:color w:val="auto"/>
              </w:rPr>
            </w:pPr>
          </w:p>
        </w:tc>
        <w:tc>
          <w:tcPr>
            <w:tcW w:w="920" w:type="dxa"/>
            <w:vAlign w:val="bottom"/>
            <w:tcBorders>
              <w:top w:val="single" w:sz="8" w:color="auto"/>
            </w:tcBorders>
          </w:tcPr>
          <w:p>
            <w:pPr>
              <w:spacing w:after="0"/>
              <w:rPr>
                <w:sz w:val="15"/>
                <w:szCs w:val="15"/>
                <w:color w:val="auto"/>
              </w:rPr>
            </w:pPr>
          </w:p>
        </w:tc>
        <w:tc>
          <w:tcPr>
            <w:tcW w:w="120" w:type="dxa"/>
            <w:vAlign w:val="bottom"/>
            <w:tcBorders>
              <w:top w:val="single" w:sz="8" w:color="CCEEFF"/>
            </w:tcBorders>
          </w:tcPr>
          <w:p>
            <w:pPr>
              <w:spacing w:after="0"/>
              <w:rPr>
                <w:sz w:val="15"/>
                <w:szCs w:val="15"/>
                <w:color w:val="auto"/>
              </w:rPr>
            </w:pPr>
          </w:p>
        </w:tc>
      </w:tr>
      <w:tr>
        <w:trPr>
          <w:trHeight w:val="176"/>
        </w:trPr>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Commitments and contingencies (Note 10)</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6"/>
        </w:trPr>
        <w:tc>
          <w:tcPr>
            <w:tcW w:w="85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76"/>
        </w:trPr>
        <w:tc>
          <w:tcPr>
            <w:tcW w:w="8580" w:type="dxa"/>
            <w:vAlign w:val="bottom"/>
            <w:shd w:val="clear" w:color="auto" w:fill="CCEEFF"/>
          </w:tcPr>
          <w:p>
            <w:pPr>
              <w:ind w:left="20"/>
              <w:spacing w:after="0"/>
              <w:rPr>
                <w:sz w:val="20"/>
                <w:szCs w:val="20"/>
                <w:color w:val="auto"/>
              </w:rPr>
            </w:pPr>
            <w:r>
              <w:rPr>
                <w:rFonts w:ascii="Arial" w:cs="Arial" w:eastAsia="Arial" w:hAnsi="Arial"/>
                <w:sz w:val="13"/>
                <w:szCs w:val="13"/>
                <w:color w:val="auto"/>
              </w:rPr>
              <w:t>Stockholders’ equity (deficit):</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75"/>
        </w:trPr>
        <w:tc>
          <w:tcPr>
            <w:tcW w:w="8580" w:type="dxa"/>
            <w:vAlign w:val="bottom"/>
          </w:tcPr>
          <w:p>
            <w:pPr>
              <w:ind w:left="180"/>
              <w:spacing w:after="0"/>
              <w:rPr>
                <w:sz w:val="20"/>
                <w:szCs w:val="20"/>
                <w:color w:val="auto"/>
              </w:rPr>
            </w:pPr>
            <w:r>
              <w:rPr>
                <w:rFonts w:ascii="Arial" w:cs="Arial" w:eastAsia="Arial" w:hAnsi="Arial"/>
                <w:sz w:val="13"/>
                <w:szCs w:val="13"/>
                <w:color w:val="auto"/>
              </w:rPr>
              <w:t>Preferred stock, $0.001 par value; 10,000,000 shares authorized at June 30, 2020 and March 31, 2020:</w:t>
            </w:r>
          </w:p>
        </w:tc>
        <w:tc>
          <w:tcPr>
            <w:tcW w:w="1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7"/>
        </w:trPr>
        <w:tc>
          <w:tcPr>
            <w:tcW w:w="85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Series A Preferred, 500,000 shares authorized, issued and outstanding at June 30, 2020 and March 31, 2020</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500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500</w:t>
            </w:r>
          </w:p>
        </w:tc>
      </w:tr>
      <w:tr>
        <w:trPr>
          <w:trHeight w:val="170"/>
        </w:trPr>
        <w:tc>
          <w:tcPr>
            <w:tcW w:w="8580" w:type="dxa"/>
            <w:vAlign w:val="bottom"/>
          </w:tcPr>
          <w:p>
            <w:pPr>
              <w:ind w:left="300"/>
              <w:spacing w:after="0"/>
              <w:rPr>
                <w:sz w:val="20"/>
                <w:szCs w:val="20"/>
                <w:color w:val="auto"/>
              </w:rPr>
            </w:pPr>
            <w:r>
              <w:rPr>
                <w:rFonts w:ascii="Arial" w:cs="Arial" w:eastAsia="Arial" w:hAnsi="Arial"/>
                <w:sz w:val="13"/>
                <w:szCs w:val="13"/>
                <w:color w:val="auto"/>
              </w:rPr>
              <w:t>Series B Preferred; 4,000,000 shares authorized at June 30, 2020 and March 31, 2020; 1,160,240 shares</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8580" w:type="dxa"/>
            <w:vAlign w:val="bottom"/>
          </w:tcPr>
          <w:p>
            <w:pPr>
              <w:ind w:left="420"/>
              <w:spacing w:after="0"/>
              <w:rPr>
                <w:sz w:val="20"/>
                <w:szCs w:val="20"/>
                <w:color w:val="auto"/>
              </w:rPr>
            </w:pPr>
            <w:r>
              <w:rPr>
                <w:rFonts w:ascii="Arial" w:cs="Arial" w:eastAsia="Arial" w:hAnsi="Arial"/>
                <w:sz w:val="13"/>
                <w:szCs w:val="13"/>
                <w:color w:val="auto"/>
              </w:rPr>
              <w:t>issued and outstanding at June 30, 2020 and March 31, 2020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1,200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1,200</w:t>
            </w:r>
          </w:p>
        </w:tc>
      </w:tr>
      <w:tr>
        <w:trPr>
          <w:trHeight w:val="175"/>
        </w:trPr>
        <w:tc>
          <w:tcPr>
            <w:tcW w:w="8580" w:type="dxa"/>
            <w:vAlign w:val="bottom"/>
            <w:shd w:val="clear" w:color="auto" w:fill="CCEEFF"/>
          </w:tcPr>
          <w:p>
            <w:pPr>
              <w:ind w:left="300"/>
              <w:spacing w:after="0"/>
              <w:rPr>
                <w:sz w:val="20"/>
                <w:szCs w:val="20"/>
                <w:color w:val="auto"/>
              </w:rPr>
            </w:pPr>
            <w:r>
              <w:rPr>
                <w:rFonts w:ascii="Arial" w:cs="Arial" w:eastAsia="Arial" w:hAnsi="Arial"/>
                <w:sz w:val="13"/>
                <w:szCs w:val="13"/>
                <w:color w:val="auto"/>
              </w:rPr>
              <w:t>Series C Preferred; 3,000,000 shares authorized at June 30, 2020 and March 31, 2020; 2,318,012 shares</w:t>
            </w:r>
          </w:p>
        </w:tc>
        <w:tc>
          <w:tcPr>
            <w:tcW w:w="14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r>
      <w:tr>
        <w:trPr>
          <w:trHeight w:val="157"/>
        </w:trPr>
        <w:tc>
          <w:tcPr>
            <w:tcW w:w="8580" w:type="dxa"/>
            <w:vAlign w:val="bottom"/>
            <w:shd w:val="clear" w:color="auto" w:fill="CCEEFF"/>
          </w:tcPr>
          <w:p>
            <w:pPr>
              <w:ind w:left="420"/>
              <w:spacing w:after="0"/>
              <w:rPr>
                <w:sz w:val="20"/>
                <w:szCs w:val="20"/>
                <w:color w:val="auto"/>
              </w:rPr>
            </w:pPr>
            <w:r>
              <w:rPr>
                <w:rFonts w:ascii="Arial" w:cs="Arial" w:eastAsia="Arial" w:hAnsi="Arial"/>
                <w:sz w:val="13"/>
                <w:szCs w:val="13"/>
                <w:color w:val="auto"/>
              </w:rPr>
              <w:t>issued and outstanding at June 30, 2020 and March 31, 2020</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2,300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2,300</w:t>
            </w:r>
          </w:p>
        </w:tc>
      </w:tr>
      <w:tr>
        <w:trPr>
          <w:trHeight w:val="170"/>
        </w:trPr>
        <w:tc>
          <w:tcPr>
            <w:tcW w:w="8580" w:type="dxa"/>
            <w:vAlign w:val="bottom"/>
          </w:tcPr>
          <w:p>
            <w:pPr>
              <w:ind w:left="140"/>
              <w:spacing w:after="0"/>
              <w:rPr>
                <w:sz w:val="20"/>
                <w:szCs w:val="20"/>
                <w:color w:val="auto"/>
              </w:rPr>
            </w:pPr>
            <w:r>
              <w:rPr>
                <w:rFonts w:ascii="Arial" w:cs="Arial" w:eastAsia="Arial" w:hAnsi="Arial"/>
                <w:sz w:val="13"/>
                <w:szCs w:val="13"/>
                <w:color w:val="auto"/>
              </w:rPr>
              <w:t>Common stock, $0.001 par value; 175,000,000 shares authorized at June 30, 2020 and March 31, 2020;</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162"/>
        </w:trPr>
        <w:tc>
          <w:tcPr>
            <w:tcW w:w="8580" w:type="dxa"/>
            <w:vAlign w:val="bottom"/>
          </w:tcPr>
          <w:p>
            <w:pPr>
              <w:ind w:left="220"/>
              <w:spacing w:after="0"/>
              <w:rPr>
                <w:sz w:val="20"/>
                <w:szCs w:val="20"/>
                <w:color w:val="auto"/>
              </w:rPr>
            </w:pPr>
            <w:r>
              <w:rPr>
                <w:rFonts w:ascii="Arial" w:cs="Arial" w:eastAsia="Arial" w:hAnsi="Arial"/>
                <w:sz w:val="13"/>
                <w:szCs w:val="13"/>
                <w:color w:val="auto"/>
              </w:rPr>
              <w:t>55,937,472 and 49,348,707 shares issued and outstanding at June 30, 2020 and March 31, 2020, respectively</w:t>
            </w: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3"/>
                <w:szCs w:val="13"/>
                <w:color w:val="auto"/>
              </w:rPr>
              <w:t>55,900</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49,300</w:t>
            </w:r>
          </w:p>
        </w:tc>
      </w:tr>
      <w:tr>
        <w:trPr>
          <w:trHeight w:val="157"/>
        </w:trPr>
        <w:tc>
          <w:tcPr>
            <w:tcW w:w="8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Additional paid-in capital</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203,330,700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200,092,800</w:t>
            </w:r>
          </w:p>
        </w:tc>
      </w:tr>
      <w:tr>
        <w:trPr>
          <w:trHeight w:val="156"/>
        </w:trPr>
        <w:tc>
          <w:tcPr>
            <w:tcW w:w="8580" w:type="dxa"/>
            <w:vAlign w:val="bottom"/>
          </w:tcPr>
          <w:p>
            <w:pPr>
              <w:ind w:left="140"/>
              <w:spacing w:after="0"/>
              <w:rPr>
                <w:sz w:val="20"/>
                <w:szCs w:val="20"/>
                <w:color w:val="auto"/>
              </w:rPr>
            </w:pPr>
            <w:r>
              <w:rPr>
                <w:rFonts w:ascii="Arial" w:cs="Arial" w:eastAsia="Arial" w:hAnsi="Arial"/>
                <w:sz w:val="13"/>
                <w:szCs w:val="13"/>
                <w:color w:val="auto"/>
              </w:rPr>
              <w:t>Treasury stock, at cost, 135,665 shares of common stock held at June 30, 2020 and March 31, 2020</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(3,968,100)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(3,968,100)</w:t>
            </w:r>
          </w:p>
        </w:tc>
      </w:tr>
      <w:tr>
        <w:trPr>
          <w:trHeight w:val="156"/>
        </w:trPr>
        <w:tc>
          <w:tcPr>
            <w:tcW w:w="8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Accumulated deficit</w:t>
            </w:r>
          </w:p>
        </w:tc>
        <w:tc>
          <w:tcPr>
            <w:tcW w:w="140" w:type="dxa"/>
            <w:vAlign w:val="bottom"/>
            <w:shd w:val="clear" w:color="auto" w:fill="CCEEFF"/>
          </w:tcPr>
          <w:p>
            <w:pPr>
              <w:spacing w:after="0"/>
              <w:rPr>
                <w:sz w:val="13"/>
                <w:szCs w:val="13"/>
                <w:color w:val="auto"/>
              </w:rPr>
            </w:pPr>
          </w:p>
        </w:tc>
        <w:tc>
          <w:tcPr>
            <w:tcW w:w="20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(205,034,200)</w:t>
            </w:r>
          </w:p>
        </w:tc>
        <w:tc>
          <w:tcPr>
            <w:tcW w:w="12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04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(201,907,400)</w:t>
            </w:r>
          </w:p>
        </w:tc>
      </w:tr>
      <w:tr>
        <w:trPr>
          <w:trHeight w:val="20"/>
        </w:trPr>
        <w:tc>
          <w:tcPr>
            <w:tcW w:w="8580" w:type="dxa"/>
            <w:vAlign w:val="bottom"/>
            <w:shd w:val="clear" w:color="auto" w:fill="CCEEFF"/>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6"/>
        </w:trPr>
        <w:tc>
          <w:tcPr>
            <w:tcW w:w="8580" w:type="dxa"/>
            <w:vAlign w:val="bottom"/>
          </w:tcPr>
          <w:p>
            <w:pPr>
              <w:ind w:left="140"/>
              <w:spacing w:after="0"/>
              <w:rPr>
                <w:sz w:val="20"/>
                <w:szCs w:val="20"/>
                <w:color w:val="auto"/>
              </w:rPr>
            </w:pPr>
            <w:r>
              <w:rPr>
                <w:rFonts w:ascii="Arial" w:cs="Arial" w:eastAsia="Arial" w:hAnsi="Arial"/>
                <w:sz w:val="13"/>
                <w:szCs w:val="13"/>
                <w:color w:val="auto"/>
              </w:rPr>
              <w:t>Total stockholders’ deficit</w:t>
            </w:r>
          </w:p>
        </w:tc>
        <w:tc>
          <w:tcPr>
            <w:tcW w:w="1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040" w:type="dxa"/>
            <w:vAlign w:val="bottom"/>
            <w:gridSpan w:val="2"/>
          </w:tcPr>
          <w:p>
            <w:pPr>
              <w:jc w:val="right"/>
              <w:ind w:right="120"/>
              <w:spacing w:after="0"/>
              <w:rPr>
                <w:sz w:val="20"/>
                <w:szCs w:val="20"/>
                <w:color w:val="auto"/>
              </w:rPr>
            </w:pPr>
            <w:r>
              <w:rPr>
                <w:rFonts w:ascii="Arial" w:cs="Arial" w:eastAsia="Arial" w:hAnsi="Arial"/>
                <w:sz w:val="13"/>
                <w:szCs w:val="13"/>
                <w:color w:val="auto"/>
              </w:rPr>
              <w:t>(5,611,700)</w:t>
            </w:r>
          </w:p>
        </w:tc>
        <w:tc>
          <w:tcPr>
            <w:tcW w:w="1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3"/>
                <w:szCs w:val="13"/>
                <w:color w:val="auto"/>
              </w:rPr>
              <w:t>(5,729,400)</w:t>
            </w:r>
          </w:p>
        </w:tc>
      </w:tr>
      <w:tr>
        <w:trPr>
          <w:trHeight w:val="20"/>
        </w:trPr>
        <w:tc>
          <w:tcPr>
            <w:tcW w:w="85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96"/>
        </w:trPr>
        <w:tc>
          <w:tcPr>
            <w:tcW w:w="8580" w:type="dxa"/>
            <w:vAlign w:val="bottom"/>
            <w:shd w:val="clear" w:color="auto" w:fill="CCEEFF"/>
          </w:tcPr>
          <w:p>
            <w:pPr>
              <w:ind w:left="140"/>
              <w:spacing w:after="0"/>
              <w:rPr>
                <w:sz w:val="20"/>
                <w:szCs w:val="20"/>
                <w:color w:val="auto"/>
              </w:rPr>
            </w:pPr>
            <w:r>
              <w:rPr>
                <w:rFonts w:ascii="Arial" w:cs="Arial" w:eastAsia="Arial" w:hAnsi="Arial"/>
                <w:sz w:val="13"/>
                <w:szCs w:val="13"/>
                <w:color w:val="auto"/>
              </w:rPr>
              <w:t>Total liabilities and stockholders’ deficit</w:t>
            </w:r>
          </w:p>
        </w:tc>
        <w:tc>
          <w:tcPr>
            <w:tcW w:w="340" w:type="dxa"/>
            <w:vAlign w:val="bottom"/>
            <w:gridSpan w:val="2"/>
            <w:shd w:val="clear" w:color="auto" w:fill="CCEEFF"/>
          </w:tcPr>
          <w:p>
            <w:pPr>
              <w:jc w:val="right"/>
              <w:ind w:right="14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6,166,900</w:t>
            </w:r>
          </w:p>
        </w:tc>
        <w:tc>
          <w:tcPr>
            <w:tcW w:w="280" w:type="dxa"/>
            <w:vAlign w:val="bottom"/>
            <w:gridSpan w:val="2"/>
            <w:shd w:val="clear" w:color="auto" w:fill="CCEEFF"/>
          </w:tcPr>
          <w:p>
            <w:pPr>
              <w:jc w:val="right"/>
              <w:ind w:right="100"/>
              <w:spacing w:after="0"/>
              <w:rPr>
                <w:sz w:val="20"/>
                <w:szCs w:val="20"/>
                <w:color w:val="auto"/>
              </w:rPr>
            </w:pPr>
            <w:r>
              <w:rPr>
                <w:rFonts w:ascii="Arial" w:cs="Arial" w:eastAsia="Arial" w:hAnsi="Arial"/>
                <w:sz w:val="13"/>
                <w:szCs w:val="13"/>
                <w:color w:val="auto"/>
              </w:rPr>
              <w:t>$</w:t>
            </w:r>
          </w:p>
        </w:tc>
        <w:tc>
          <w:tcPr>
            <w:tcW w:w="104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5,772,300</w:t>
            </w:r>
          </w:p>
        </w:tc>
      </w:tr>
      <w:tr>
        <w:trPr>
          <w:trHeight w:val="409"/>
        </w:trPr>
        <w:tc>
          <w:tcPr>
            <w:tcW w:w="8580" w:type="dxa"/>
            <w:vAlign w:val="bottom"/>
            <w:tcBorders>
              <w:top w:val="single" w:sz="8" w:color="CCEEFF"/>
              <w:bottom w:val="single" w:sz="8" w:color="auto"/>
            </w:tcBorders>
          </w:tcPr>
          <w:p>
            <w:pPr>
              <w:spacing w:after="0"/>
              <w:rPr>
                <w:sz w:val="24"/>
                <w:szCs w:val="24"/>
                <w:color w:val="auto"/>
              </w:rPr>
            </w:pPr>
          </w:p>
        </w:tc>
        <w:tc>
          <w:tcPr>
            <w:tcW w:w="140" w:type="dxa"/>
            <w:vAlign w:val="bottom"/>
            <w:tcBorders>
              <w:top w:val="single" w:sz="8" w:color="CCEEFF"/>
              <w:bottom w:val="single" w:sz="8" w:color="auto"/>
            </w:tcBorders>
          </w:tcPr>
          <w:p>
            <w:pPr>
              <w:spacing w:after="0"/>
              <w:rPr>
                <w:sz w:val="24"/>
                <w:szCs w:val="24"/>
                <w:color w:val="auto"/>
              </w:rPr>
            </w:pPr>
          </w:p>
        </w:tc>
        <w:tc>
          <w:tcPr>
            <w:tcW w:w="200" w:type="dxa"/>
            <w:vAlign w:val="bottom"/>
            <w:tcBorders>
              <w:top w:val="single" w:sz="8" w:color="auto"/>
              <w:bottom w:val="single" w:sz="8" w:color="auto"/>
            </w:tcBorders>
          </w:tcPr>
          <w:p>
            <w:pPr>
              <w:spacing w:after="0"/>
              <w:rPr>
                <w:sz w:val="24"/>
                <w:szCs w:val="24"/>
                <w:color w:val="auto"/>
              </w:rPr>
            </w:pPr>
          </w:p>
        </w:tc>
        <w:tc>
          <w:tcPr>
            <w:tcW w:w="880" w:type="dxa"/>
            <w:vAlign w:val="bottom"/>
            <w:tcBorders>
              <w:top w:val="single" w:sz="8" w:color="auto"/>
              <w:bottom w:val="single" w:sz="8" w:color="auto"/>
            </w:tcBorders>
          </w:tcPr>
          <w:p>
            <w:pPr>
              <w:spacing w:after="0"/>
              <w:rPr>
                <w:sz w:val="24"/>
                <w:szCs w:val="24"/>
                <w:color w:val="auto"/>
              </w:rPr>
            </w:pPr>
          </w:p>
        </w:tc>
        <w:tc>
          <w:tcPr>
            <w:tcW w:w="160" w:type="dxa"/>
            <w:vAlign w:val="bottom"/>
            <w:tcBorders>
              <w:top w:val="single" w:sz="8" w:color="CCEEFF"/>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c>
          <w:tcPr>
            <w:tcW w:w="160" w:type="dxa"/>
            <w:vAlign w:val="bottom"/>
            <w:tcBorders>
              <w:top w:val="single" w:sz="8" w:color="auto"/>
              <w:bottom w:val="single" w:sz="8" w:color="auto"/>
            </w:tcBorders>
          </w:tcPr>
          <w:p>
            <w:pPr>
              <w:spacing w:after="0"/>
              <w:rPr>
                <w:sz w:val="24"/>
                <w:szCs w:val="24"/>
                <w:color w:val="auto"/>
              </w:rPr>
            </w:pPr>
          </w:p>
        </w:tc>
        <w:tc>
          <w:tcPr>
            <w:tcW w:w="920" w:type="dxa"/>
            <w:vAlign w:val="bottom"/>
            <w:tcBorders>
              <w:top w:val="single" w:sz="8" w:color="auto"/>
              <w:bottom w:val="single" w:sz="8" w:color="auto"/>
            </w:tcBorders>
          </w:tcPr>
          <w:p>
            <w:pPr>
              <w:spacing w:after="0"/>
              <w:rPr>
                <w:sz w:val="24"/>
                <w:szCs w:val="24"/>
                <w:color w:val="auto"/>
              </w:rPr>
            </w:pPr>
          </w:p>
        </w:tc>
        <w:tc>
          <w:tcPr>
            <w:tcW w:w="120" w:type="dxa"/>
            <w:vAlign w:val="bottom"/>
            <w:tcBorders>
              <w:top w:val="single" w:sz="8" w:color="CCEEFF"/>
              <w:bottom w:val="single" w:sz="8" w:color="auto"/>
            </w:tcBorders>
          </w:tcPr>
          <w:p>
            <w:pPr>
              <w:spacing w:after="0"/>
              <w:rPr>
                <w:sz w:val="24"/>
                <w:szCs w:val="24"/>
                <w:color w:val="auto"/>
              </w:rPr>
            </w:pPr>
          </w:p>
        </w:tc>
      </w:tr>
    </w:tbl>
    <w:p>
      <w:pPr>
        <w:sectPr>
          <w:pgSz w:w="11900" w:h="16838" w:orient="portrait"/>
          <w:cols w:equalWidth="0" w:num="1">
            <w:col w:w="11280"/>
          </w:cols>
          <w:pgMar w:left="300" w:top="403" w:right="319" w:bottom="1440" w:gutter="0" w:footer="0" w:header="0"/>
        </w:sectPr>
      </w:pPr>
    </w:p>
    <w:bookmarkStart w:id="7" w:name="page8"/>
    <w:bookmarkEnd w:id="7"/>
    <w:p>
      <w:pPr>
        <w:jc w:val="center"/>
        <w:spacing w:after="0"/>
        <w:rPr>
          <w:sz w:val="20"/>
          <w:szCs w:val="20"/>
          <w:color w:val="auto"/>
        </w:rPr>
      </w:pPr>
      <w:r>
        <w:rPr>
          <w:rFonts w:ascii="Arial" w:cs="Arial" w:eastAsia="Arial" w:hAnsi="Arial"/>
          <w:sz w:val="13"/>
          <w:szCs w:val="13"/>
          <w:b w:val="1"/>
          <w:bCs w:val="1"/>
          <w:color w:val="auto"/>
        </w:rPr>
        <w:t>VISTAGEN THERAPEUTICS</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3"/>
          <w:szCs w:val="13"/>
          <w:b w:val="1"/>
          <w:bCs w:val="1"/>
          <w:color w:val="auto"/>
        </w:rPr>
        <w:t>CONSOLIDATED STATEMENTS OF OPERATIONS AND COMPREHENSIVE LOSS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(Amounts in Dollars, except share amounts)</w:t>
      </w:r>
    </w:p>
    <w:p>
      <w:pPr>
        <w:spacing w:after="0" w:line="7"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 Unaudited)</w:t>
      </w:r>
    </w:p>
    <w:p>
      <w:pPr>
        <w:spacing w:after="0" w:line="193" w:lineRule="exact"/>
        <w:rPr>
          <w:sz w:val="20"/>
          <w:szCs w:val="20"/>
          <w:color w:val="auto"/>
        </w:rPr>
      </w:pPr>
    </w:p>
    <w:tbl>
      <w:tblPr>
        <w:tblLayout w:type="fixed"/>
        <w:tblInd w:w="0" w:type="dxa"/>
        <w:tblCellMar>
          <w:top w:w="0" w:type="dxa"/>
          <w:left w:w="0" w:type="dxa"/>
          <w:bottom w:w="0" w:type="dxa"/>
          <w:right w:w="0" w:type="dxa"/>
        </w:tblCellMar>
      </w:tblPr>
      <w:tr>
        <w:trPr>
          <w:trHeight w:val="166"/>
        </w:trPr>
        <w:tc>
          <w:tcPr>
            <w:tcW w:w="5620" w:type="dxa"/>
            <w:vAlign w:val="bottom"/>
          </w:tcPr>
          <w:p>
            <w:pPr>
              <w:spacing w:after="0"/>
              <w:rPr>
                <w:sz w:val="14"/>
                <w:szCs w:val="14"/>
                <w:color w:val="auto"/>
              </w:rPr>
            </w:pPr>
          </w:p>
        </w:tc>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320" w:type="dxa"/>
            <w:vAlign w:val="bottom"/>
            <w:gridSpan w:val="6"/>
          </w:tcPr>
          <w:p>
            <w:pPr>
              <w:jc w:val="right"/>
              <w:ind w:right="500"/>
              <w:spacing w:after="0"/>
              <w:rPr>
                <w:sz w:val="20"/>
                <w:szCs w:val="20"/>
                <w:color w:val="auto"/>
              </w:rPr>
            </w:pPr>
            <w:r>
              <w:rPr>
                <w:rFonts w:ascii="Arial" w:cs="Arial" w:eastAsia="Arial" w:hAnsi="Arial"/>
                <w:sz w:val="13"/>
                <w:szCs w:val="13"/>
                <w:b w:val="1"/>
                <w:bCs w:val="1"/>
                <w:color w:val="auto"/>
                <w:w w:val="97"/>
              </w:rPr>
              <w:t>Three Months Ended June 30,</w:t>
            </w:r>
          </w:p>
        </w:tc>
      </w:tr>
      <w:tr>
        <w:trPr>
          <w:trHeight w:val="175"/>
        </w:trPr>
        <w:tc>
          <w:tcPr>
            <w:tcW w:w="562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37"/>
              <w:spacing w:after="0"/>
              <w:rPr>
                <w:sz w:val="20"/>
                <w:szCs w:val="20"/>
                <w:color w:val="auto"/>
              </w:rPr>
            </w:pPr>
            <w:r>
              <w:rPr>
                <w:rFonts w:ascii="Arial" w:cs="Arial" w:eastAsia="Arial" w:hAnsi="Arial"/>
                <w:sz w:val="13"/>
                <w:szCs w:val="13"/>
                <w:b w:val="1"/>
                <w:bCs w:val="1"/>
                <w:color w:val="auto"/>
              </w:rPr>
              <w:t>2020</w:t>
            </w:r>
          </w:p>
        </w:tc>
        <w:tc>
          <w:tcPr>
            <w:tcW w:w="160" w:type="dxa"/>
            <w:vAlign w:val="bottom"/>
            <w:tcBorders>
              <w:top w:val="single" w:sz="8" w:color="auto"/>
            </w:tcBorders>
          </w:tcPr>
          <w:p>
            <w:pPr>
              <w:spacing w:after="0"/>
              <w:rPr>
                <w:sz w:val="15"/>
                <w:szCs w:val="15"/>
                <w:color w:val="auto"/>
              </w:rPr>
            </w:pPr>
          </w:p>
        </w:tc>
        <w:tc>
          <w:tcPr>
            <w:tcW w:w="120" w:type="dxa"/>
            <w:vAlign w:val="bottom"/>
            <w:tcBorders>
              <w:top w:val="single" w:sz="8" w:color="auto"/>
            </w:tcBorders>
          </w:tcPr>
          <w:p>
            <w:pPr>
              <w:spacing w:after="0"/>
              <w:rPr>
                <w:sz w:val="15"/>
                <w:szCs w:val="15"/>
                <w:color w:val="auto"/>
              </w:rPr>
            </w:pPr>
          </w:p>
        </w:tc>
        <w:tc>
          <w:tcPr>
            <w:tcW w:w="240" w:type="dxa"/>
            <w:vAlign w:val="bottom"/>
            <w:tcBorders>
              <w:top w:val="single" w:sz="8" w:color="auto"/>
              <w:bottom w:val="single" w:sz="8" w:color="auto"/>
            </w:tcBorders>
          </w:tcPr>
          <w:p>
            <w:pPr>
              <w:spacing w:after="0"/>
              <w:rPr>
                <w:sz w:val="15"/>
                <w:szCs w:val="15"/>
                <w:color w:val="auto"/>
              </w:rPr>
            </w:pPr>
          </w:p>
        </w:tc>
        <w:tc>
          <w:tcPr>
            <w:tcW w:w="840" w:type="dxa"/>
            <w:vAlign w:val="bottom"/>
            <w:tcBorders>
              <w:top w:val="single" w:sz="8" w:color="auto"/>
              <w:bottom w:val="single" w:sz="8" w:color="auto"/>
            </w:tcBorders>
          </w:tcPr>
          <w:p>
            <w:pPr>
              <w:jc w:val="right"/>
              <w:ind w:right="357"/>
              <w:spacing w:after="0"/>
              <w:rPr>
                <w:sz w:val="20"/>
                <w:szCs w:val="20"/>
                <w:color w:val="auto"/>
              </w:rPr>
            </w:pPr>
            <w:r>
              <w:rPr>
                <w:rFonts w:ascii="Arial" w:cs="Arial" w:eastAsia="Arial" w:hAnsi="Arial"/>
                <w:sz w:val="13"/>
                <w:szCs w:val="13"/>
                <w:b w:val="1"/>
                <w:bCs w:val="1"/>
                <w:color w:val="auto"/>
              </w:rPr>
              <w:t>2019</w:t>
            </w:r>
          </w:p>
        </w:tc>
        <w:tc>
          <w:tcPr>
            <w:tcW w:w="120" w:type="dxa"/>
            <w:vAlign w:val="bottom"/>
          </w:tcPr>
          <w:p>
            <w:pPr>
              <w:spacing w:after="0"/>
              <w:rPr>
                <w:sz w:val="15"/>
                <w:szCs w:val="15"/>
                <w:color w:val="auto"/>
              </w:rPr>
            </w:pPr>
          </w:p>
        </w:tc>
      </w:tr>
      <w:tr>
        <w:trPr>
          <w:trHeight w:val="175"/>
        </w:trPr>
        <w:tc>
          <w:tcPr>
            <w:tcW w:w="5620" w:type="dxa"/>
            <w:vAlign w:val="bottom"/>
          </w:tcPr>
          <w:p>
            <w:pPr>
              <w:spacing w:after="0"/>
              <w:rPr>
                <w:sz w:val="20"/>
                <w:szCs w:val="20"/>
                <w:color w:val="auto"/>
              </w:rPr>
            </w:pPr>
            <w:r>
              <w:rPr>
                <w:rFonts w:ascii="Arial" w:cs="Arial" w:eastAsia="Arial" w:hAnsi="Arial"/>
                <w:sz w:val="13"/>
                <w:szCs w:val="13"/>
                <w:color w:val="auto"/>
              </w:rPr>
              <w:t>Operating expenses:</w:t>
            </w:r>
          </w:p>
        </w:tc>
        <w:tc>
          <w:tcPr>
            <w:tcW w:w="3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157"/>
        </w:trPr>
        <w:tc>
          <w:tcPr>
            <w:tcW w:w="5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Research and development</w:t>
            </w:r>
          </w:p>
        </w:tc>
        <w:tc>
          <w:tcPr>
            <w:tcW w:w="334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1,731,200</w:t>
            </w:r>
          </w:p>
        </w:tc>
        <w:tc>
          <w:tcPr>
            <w:tcW w:w="360" w:type="dxa"/>
            <w:vAlign w:val="bottom"/>
            <w:gridSpan w:val="2"/>
            <w:shd w:val="clear" w:color="auto" w:fill="CCEEFF"/>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4,313,900</w:t>
            </w:r>
          </w:p>
        </w:tc>
      </w:tr>
      <w:tr>
        <w:trPr>
          <w:trHeight w:val="156"/>
        </w:trPr>
        <w:tc>
          <w:tcPr>
            <w:tcW w:w="5620" w:type="dxa"/>
            <w:vAlign w:val="bottom"/>
          </w:tcPr>
          <w:p>
            <w:pPr>
              <w:ind w:left="60"/>
              <w:spacing w:after="0"/>
              <w:rPr>
                <w:sz w:val="20"/>
                <w:szCs w:val="20"/>
                <w:color w:val="auto"/>
              </w:rPr>
            </w:pPr>
            <w:r>
              <w:rPr>
                <w:rFonts w:ascii="Arial" w:cs="Arial" w:eastAsia="Arial" w:hAnsi="Arial"/>
                <w:sz w:val="13"/>
                <w:szCs w:val="13"/>
                <w:color w:val="auto"/>
              </w:rPr>
              <w:t>General and administrative</w:t>
            </w:r>
          </w:p>
        </w:tc>
        <w:tc>
          <w:tcPr>
            <w:tcW w:w="3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1,390,600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1,910,100</w:t>
            </w:r>
          </w:p>
        </w:tc>
      </w:tr>
      <w:tr>
        <w:trPr>
          <w:trHeight w:val="20"/>
        </w:trPr>
        <w:tc>
          <w:tcPr>
            <w:tcW w:w="5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56"/>
        </w:trPr>
        <w:tc>
          <w:tcPr>
            <w:tcW w:w="5620" w:type="dxa"/>
            <w:vAlign w:val="bottom"/>
            <w:shd w:val="clear" w:color="auto" w:fill="CCEEFF"/>
          </w:tcPr>
          <w:p>
            <w:pPr>
              <w:ind w:left="120"/>
              <w:spacing w:after="0"/>
              <w:rPr>
                <w:sz w:val="20"/>
                <w:szCs w:val="20"/>
                <w:color w:val="auto"/>
              </w:rPr>
            </w:pPr>
            <w:r>
              <w:rPr>
                <w:rFonts w:ascii="Arial" w:cs="Arial" w:eastAsia="Arial" w:hAnsi="Arial"/>
                <w:sz w:val="13"/>
                <w:szCs w:val="13"/>
                <w:color w:val="auto"/>
              </w:rPr>
              <w:t>Total operating expenses</w:t>
            </w:r>
          </w:p>
        </w:tc>
        <w:tc>
          <w:tcPr>
            <w:tcW w:w="3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3,121,800</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6,224,000</w:t>
            </w:r>
          </w:p>
        </w:tc>
      </w:tr>
      <w:tr>
        <w:trPr>
          <w:trHeight w:val="20"/>
        </w:trPr>
        <w:tc>
          <w:tcPr>
            <w:tcW w:w="5620" w:type="dxa"/>
            <w:vAlign w:val="bottom"/>
            <w:shd w:val="clear" w:color="auto" w:fill="CCEEFF"/>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6"/>
        </w:trPr>
        <w:tc>
          <w:tcPr>
            <w:tcW w:w="5620" w:type="dxa"/>
            <w:vAlign w:val="bottom"/>
          </w:tcPr>
          <w:p>
            <w:pPr>
              <w:spacing w:after="0"/>
              <w:rPr>
                <w:sz w:val="20"/>
                <w:szCs w:val="20"/>
                <w:color w:val="auto"/>
              </w:rPr>
            </w:pPr>
            <w:r>
              <w:rPr>
                <w:rFonts w:ascii="Arial" w:cs="Arial" w:eastAsia="Arial" w:hAnsi="Arial"/>
                <w:sz w:val="13"/>
                <w:szCs w:val="13"/>
                <w:color w:val="auto"/>
              </w:rPr>
              <w:t>Loss from operations</w:t>
            </w:r>
          </w:p>
        </w:tc>
        <w:tc>
          <w:tcPr>
            <w:tcW w:w="3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(3,121,800)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(6,224,000)</w:t>
            </w:r>
          </w:p>
        </w:tc>
      </w:tr>
      <w:tr>
        <w:trPr>
          <w:trHeight w:val="156"/>
        </w:trPr>
        <w:tc>
          <w:tcPr>
            <w:tcW w:w="5620" w:type="dxa"/>
            <w:vAlign w:val="bottom"/>
            <w:shd w:val="clear" w:color="auto" w:fill="CCEEFF"/>
          </w:tcPr>
          <w:p>
            <w:pPr>
              <w:spacing w:after="0"/>
              <w:rPr>
                <w:sz w:val="20"/>
                <w:szCs w:val="20"/>
                <w:color w:val="auto"/>
              </w:rPr>
            </w:pPr>
            <w:r>
              <w:rPr>
                <w:rFonts w:ascii="Arial" w:cs="Arial" w:eastAsia="Arial" w:hAnsi="Arial"/>
                <w:sz w:val="13"/>
                <w:szCs w:val="13"/>
                <w:color w:val="auto"/>
              </w:rPr>
              <w:t>Other income (expenses), net:</w:t>
            </w:r>
          </w:p>
        </w:tc>
        <w:tc>
          <w:tcPr>
            <w:tcW w:w="3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6"/>
        </w:trPr>
        <w:tc>
          <w:tcPr>
            <w:tcW w:w="5620" w:type="dxa"/>
            <w:vAlign w:val="bottom"/>
          </w:tcPr>
          <w:p>
            <w:pPr>
              <w:ind w:left="60"/>
              <w:spacing w:after="0"/>
              <w:rPr>
                <w:sz w:val="20"/>
                <w:szCs w:val="20"/>
                <w:color w:val="auto"/>
              </w:rPr>
            </w:pPr>
            <w:r>
              <w:rPr>
                <w:rFonts w:ascii="Arial" w:cs="Arial" w:eastAsia="Arial" w:hAnsi="Arial"/>
                <w:sz w:val="13"/>
                <w:szCs w:val="13"/>
                <w:color w:val="auto"/>
              </w:rPr>
              <w:t>Interest income (expense), net</w:t>
            </w:r>
          </w:p>
        </w:tc>
        <w:tc>
          <w:tcPr>
            <w:tcW w:w="3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(3,200)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16,500</w:t>
            </w:r>
          </w:p>
        </w:tc>
      </w:tr>
      <w:tr>
        <w:trPr>
          <w:trHeight w:val="156"/>
        </w:trPr>
        <w:tc>
          <w:tcPr>
            <w:tcW w:w="5620" w:type="dxa"/>
            <w:vAlign w:val="bottom"/>
            <w:shd w:val="clear" w:color="auto" w:fill="CCEEFF"/>
          </w:tcPr>
          <w:p>
            <w:pPr>
              <w:ind w:left="60"/>
              <w:spacing w:after="0"/>
              <w:rPr>
                <w:sz w:val="20"/>
                <w:szCs w:val="20"/>
                <w:color w:val="auto"/>
              </w:rPr>
            </w:pPr>
            <w:r>
              <w:rPr>
                <w:rFonts w:ascii="Arial" w:cs="Arial" w:eastAsia="Arial" w:hAnsi="Arial"/>
                <w:sz w:val="13"/>
                <w:szCs w:val="13"/>
                <w:color w:val="auto"/>
              </w:rPr>
              <w:t>Other income</w:t>
            </w:r>
          </w:p>
        </w:tc>
        <w:tc>
          <w:tcPr>
            <w:tcW w:w="3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60"/>
              <w:spacing w:after="0"/>
              <w:rPr>
                <w:sz w:val="20"/>
                <w:szCs w:val="20"/>
                <w:color w:val="auto"/>
              </w:rPr>
            </w:pPr>
            <w:r>
              <w:rPr>
                <w:rFonts w:ascii="Arial" w:cs="Arial" w:eastAsia="Arial" w:hAnsi="Arial"/>
                <w:sz w:val="13"/>
                <w:szCs w:val="13"/>
                <w:color w:val="auto"/>
              </w:rPr>
              <w:t>600</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w:t>
            </w:r>
          </w:p>
        </w:tc>
      </w:tr>
      <w:tr>
        <w:trPr>
          <w:trHeight w:val="20"/>
        </w:trPr>
        <w:tc>
          <w:tcPr>
            <w:tcW w:w="5620" w:type="dxa"/>
            <w:vAlign w:val="bottom"/>
            <w:shd w:val="clear" w:color="auto" w:fill="CCEEFF"/>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6"/>
        </w:trPr>
        <w:tc>
          <w:tcPr>
            <w:tcW w:w="5620" w:type="dxa"/>
            <w:vAlign w:val="bottom"/>
          </w:tcPr>
          <w:p>
            <w:pPr>
              <w:spacing w:after="0"/>
              <w:rPr>
                <w:sz w:val="20"/>
                <w:szCs w:val="20"/>
                <w:color w:val="auto"/>
              </w:rPr>
            </w:pPr>
            <w:r>
              <w:rPr>
                <w:rFonts w:ascii="Arial" w:cs="Arial" w:eastAsia="Arial" w:hAnsi="Arial"/>
                <w:sz w:val="13"/>
                <w:szCs w:val="13"/>
                <w:color w:val="auto"/>
              </w:rPr>
              <w:t>Loss before income taxes</w:t>
            </w:r>
          </w:p>
        </w:tc>
        <w:tc>
          <w:tcPr>
            <w:tcW w:w="3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(3,124,400)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(6,207,500)</w:t>
            </w:r>
          </w:p>
        </w:tc>
      </w:tr>
      <w:tr>
        <w:trPr>
          <w:trHeight w:val="156"/>
        </w:trPr>
        <w:tc>
          <w:tcPr>
            <w:tcW w:w="5620" w:type="dxa"/>
            <w:vAlign w:val="bottom"/>
            <w:shd w:val="clear" w:color="auto" w:fill="CCEEFF"/>
          </w:tcPr>
          <w:p>
            <w:pPr>
              <w:spacing w:after="0"/>
              <w:rPr>
                <w:sz w:val="20"/>
                <w:szCs w:val="20"/>
                <w:color w:val="auto"/>
              </w:rPr>
            </w:pPr>
            <w:r>
              <w:rPr>
                <w:rFonts w:ascii="Arial" w:cs="Arial" w:eastAsia="Arial" w:hAnsi="Arial"/>
                <w:sz w:val="13"/>
                <w:szCs w:val="13"/>
                <w:color w:val="auto"/>
              </w:rPr>
              <w:t>Income taxes</w:t>
            </w:r>
          </w:p>
        </w:tc>
        <w:tc>
          <w:tcPr>
            <w:tcW w:w="3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1000" w:type="dxa"/>
            <w:vAlign w:val="bottom"/>
            <w:gridSpan w:val="2"/>
            <w:shd w:val="clear" w:color="auto" w:fill="CCEEFF"/>
          </w:tcPr>
          <w:p>
            <w:pPr>
              <w:jc w:val="right"/>
              <w:ind w:right="120"/>
              <w:spacing w:after="0"/>
              <w:rPr>
                <w:sz w:val="20"/>
                <w:szCs w:val="20"/>
                <w:color w:val="auto"/>
              </w:rPr>
            </w:pPr>
            <w:r>
              <w:rPr>
                <w:rFonts w:ascii="Arial" w:cs="Arial" w:eastAsia="Arial" w:hAnsi="Arial"/>
                <w:sz w:val="13"/>
                <w:szCs w:val="13"/>
                <w:color w:val="auto"/>
              </w:rPr>
              <w:t>(2,400)</w:t>
            </w: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960" w:type="dxa"/>
            <w:vAlign w:val="bottom"/>
            <w:gridSpan w:val="2"/>
            <w:shd w:val="clear" w:color="auto" w:fill="CCEEFF"/>
          </w:tcPr>
          <w:p>
            <w:pPr>
              <w:jc w:val="right"/>
              <w:ind w:right="80"/>
              <w:spacing w:after="0"/>
              <w:rPr>
                <w:sz w:val="20"/>
                <w:szCs w:val="20"/>
                <w:color w:val="auto"/>
              </w:rPr>
            </w:pPr>
            <w:r>
              <w:rPr>
                <w:rFonts w:ascii="Arial" w:cs="Arial" w:eastAsia="Arial" w:hAnsi="Arial"/>
                <w:sz w:val="13"/>
                <w:szCs w:val="13"/>
                <w:color w:val="auto"/>
              </w:rPr>
              <w:t>(2,400)</w:t>
            </w:r>
          </w:p>
        </w:tc>
      </w:tr>
      <w:tr>
        <w:trPr>
          <w:trHeight w:val="20"/>
        </w:trPr>
        <w:tc>
          <w:tcPr>
            <w:tcW w:w="5620" w:type="dxa"/>
            <w:vAlign w:val="bottom"/>
            <w:shd w:val="clear" w:color="auto" w:fill="CCEEFF"/>
          </w:tcPr>
          <w:p>
            <w:pPr>
              <w:spacing w:after="0" w:line="20" w:lineRule="exact"/>
              <w:rPr>
                <w:sz w:val="1"/>
                <w:szCs w:val="1"/>
                <w:color w:val="auto"/>
              </w:rPr>
            </w:pPr>
          </w:p>
        </w:tc>
        <w:tc>
          <w:tcPr>
            <w:tcW w:w="31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r>
      <w:tr>
        <w:trPr>
          <w:trHeight w:val="156"/>
        </w:trPr>
        <w:tc>
          <w:tcPr>
            <w:tcW w:w="5620" w:type="dxa"/>
            <w:vAlign w:val="bottom"/>
          </w:tcPr>
          <w:p>
            <w:pPr>
              <w:spacing w:after="0"/>
              <w:rPr>
                <w:sz w:val="20"/>
                <w:szCs w:val="20"/>
                <w:color w:val="auto"/>
              </w:rPr>
            </w:pPr>
            <w:r>
              <w:rPr>
                <w:rFonts w:ascii="Arial" w:cs="Arial" w:eastAsia="Arial" w:hAnsi="Arial"/>
                <w:sz w:val="13"/>
                <w:szCs w:val="13"/>
                <w:color w:val="auto"/>
              </w:rPr>
              <w:t>Net loss and comprehensive loss</w:t>
            </w:r>
          </w:p>
        </w:tc>
        <w:tc>
          <w:tcPr>
            <w:tcW w:w="3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(3,126,800)</w:t>
            </w: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(6,209,900)</w:t>
            </w:r>
          </w:p>
        </w:tc>
      </w:tr>
      <w:tr>
        <w:trPr>
          <w:trHeight w:val="156"/>
        </w:trPr>
        <w:tc>
          <w:tcPr>
            <w:tcW w:w="562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shd w:val="clear" w:color="auto" w:fill="CCEEFF"/>
          </w:tcPr>
          <w:p>
            <w:pPr>
              <w:spacing w:after="0"/>
              <w:rPr>
                <w:sz w:val="13"/>
                <w:szCs w:val="13"/>
                <w:color w:val="auto"/>
              </w:rPr>
            </w:pPr>
          </w:p>
        </w:tc>
        <w:tc>
          <w:tcPr>
            <w:tcW w:w="84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6"/>
        </w:trPr>
        <w:tc>
          <w:tcPr>
            <w:tcW w:w="5620" w:type="dxa"/>
            <w:vAlign w:val="bottom"/>
          </w:tcPr>
          <w:p>
            <w:pPr>
              <w:ind w:left="80"/>
              <w:spacing w:after="0"/>
              <w:rPr>
                <w:sz w:val="20"/>
                <w:szCs w:val="20"/>
                <w:color w:val="auto"/>
              </w:rPr>
            </w:pPr>
            <w:r>
              <w:rPr>
                <w:rFonts w:ascii="Arial" w:cs="Arial" w:eastAsia="Arial" w:hAnsi="Arial"/>
                <w:sz w:val="13"/>
                <w:szCs w:val="13"/>
                <w:color w:val="auto"/>
              </w:rPr>
              <w:t>Accrued dividends on Series B Preferred stock</w:t>
            </w:r>
          </w:p>
        </w:tc>
        <w:tc>
          <w:tcPr>
            <w:tcW w:w="3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(335,800)</w:t>
            </w: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(302,500)</w:t>
            </w:r>
          </w:p>
        </w:tc>
      </w:tr>
      <w:tr>
        <w:trPr>
          <w:trHeight w:val="156"/>
        </w:trPr>
        <w:tc>
          <w:tcPr>
            <w:tcW w:w="5620" w:type="dxa"/>
            <w:vAlign w:val="bottom"/>
            <w:shd w:val="clear" w:color="auto" w:fill="CCEEFF"/>
          </w:tcPr>
          <w:p>
            <w:pPr>
              <w:spacing w:after="0"/>
              <w:rPr>
                <w:sz w:val="13"/>
                <w:szCs w:val="13"/>
                <w:color w:val="auto"/>
              </w:rPr>
            </w:pPr>
          </w:p>
        </w:tc>
        <w:tc>
          <w:tcPr>
            <w:tcW w:w="310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6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240" w:type="dxa"/>
            <w:vAlign w:val="bottom"/>
            <w:tcBorders>
              <w:top w:val="single" w:sz="8" w:color="auto"/>
            </w:tcBorders>
            <w:shd w:val="clear" w:color="auto" w:fill="CCEEFF"/>
          </w:tcPr>
          <w:p>
            <w:pPr>
              <w:spacing w:after="0"/>
              <w:rPr>
                <w:sz w:val="13"/>
                <w:szCs w:val="13"/>
                <w:color w:val="auto"/>
              </w:rPr>
            </w:pPr>
          </w:p>
        </w:tc>
        <w:tc>
          <w:tcPr>
            <w:tcW w:w="840" w:type="dxa"/>
            <w:vAlign w:val="bottom"/>
            <w:tcBorders>
              <w:top w:val="single" w:sz="8" w:color="auto"/>
            </w:tcBorders>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r>
      <w:tr>
        <w:trPr>
          <w:trHeight w:val="156"/>
        </w:trPr>
        <w:tc>
          <w:tcPr>
            <w:tcW w:w="5620" w:type="dxa"/>
            <w:vAlign w:val="bottom"/>
          </w:tcPr>
          <w:p>
            <w:pPr>
              <w:spacing w:after="0"/>
              <w:rPr>
                <w:sz w:val="20"/>
                <w:szCs w:val="20"/>
                <w:color w:val="auto"/>
              </w:rPr>
            </w:pPr>
            <w:r>
              <w:rPr>
                <w:rFonts w:ascii="Arial" w:cs="Arial" w:eastAsia="Arial" w:hAnsi="Arial"/>
                <w:sz w:val="13"/>
                <w:szCs w:val="13"/>
                <w:color w:val="auto"/>
              </w:rPr>
              <w:t>Net loss attributable to common stockholders</w:t>
            </w:r>
          </w:p>
        </w:tc>
        <w:tc>
          <w:tcPr>
            <w:tcW w:w="3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(3,462,600)</w:t>
            </w: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(6,512,400)</w:t>
            </w:r>
          </w:p>
        </w:tc>
      </w:tr>
      <w:tr>
        <w:trPr>
          <w:trHeight w:val="20"/>
        </w:trPr>
        <w:tc>
          <w:tcPr>
            <w:tcW w:w="5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5"/>
        </w:trPr>
        <w:tc>
          <w:tcPr>
            <w:tcW w:w="5620" w:type="dxa"/>
            <w:vAlign w:val="bottom"/>
            <w:shd w:val="clear" w:color="auto" w:fill="CCEEFF"/>
          </w:tcPr>
          <w:p>
            <w:pPr>
              <w:spacing w:after="0"/>
              <w:rPr>
                <w:sz w:val="11"/>
                <w:szCs w:val="11"/>
                <w:color w:val="auto"/>
              </w:rPr>
            </w:pPr>
          </w:p>
        </w:tc>
        <w:tc>
          <w:tcPr>
            <w:tcW w:w="3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0"/>
        </w:trPr>
        <w:tc>
          <w:tcPr>
            <w:tcW w:w="5620" w:type="dxa"/>
            <w:vAlign w:val="bottom"/>
          </w:tcPr>
          <w:p>
            <w:pPr>
              <w:spacing w:after="0"/>
              <w:rPr>
                <w:sz w:val="20"/>
                <w:szCs w:val="20"/>
                <w:color w:val="auto"/>
              </w:rPr>
            </w:pPr>
            <w:r>
              <w:rPr>
                <w:rFonts w:ascii="Arial" w:cs="Arial" w:eastAsia="Arial" w:hAnsi="Arial"/>
                <w:sz w:val="13"/>
                <w:szCs w:val="13"/>
                <w:color w:val="auto"/>
              </w:rPr>
              <w:t>Basic and diluted net loss attributable to common</w:t>
            </w:r>
          </w:p>
        </w:tc>
        <w:tc>
          <w:tcPr>
            <w:tcW w:w="3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5620" w:type="dxa"/>
            <w:vAlign w:val="bottom"/>
          </w:tcPr>
          <w:p>
            <w:pPr>
              <w:ind w:left="160"/>
              <w:spacing w:after="0"/>
              <w:rPr>
                <w:sz w:val="20"/>
                <w:szCs w:val="20"/>
                <w:color w:val="auto"/>
              </w:rPr>
            </w:pPr>
            <w:r>
              <w:rPr>
                <w:rFonts w:ascii="Arial" w:cs="Arial" w:eastAsia="Arial" w:hAnsi="Arial"/>
                <w:sz w:val="13"/>
                <w:szCs w:val="13"/>
                <w:color w:val="auto"/>
              </w:rPr>
              <w:t>stockholders per common share</w:t>
            </w:r>
          </w:p>
        </w:tc>
        <w:tc>
          <w:tcPr>
            <w:tcW w:w="334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1000" w:type="dxa"/>
            <w:vAlign w:val="bottom"/>
            <w:gridSpan w:val="2"/>
          </w:tcPr>
          <w:p>
            <w:pPr>
              <w:jc w:val="right"/>
              <w:ind w:right="120"/>
              <w:spacing w:after="0"/>
              <w:rPr>
                <w:sz w:val="20"/>
                <w:szCs w:val="20"/>
                <w:color w:val="auto"/>
              </w:rPr>
            </w:pPr>
            <w:r>
              <w:rPr>
                <w:rFonts w:ascii="Arial" w:cs="Arial" w:eastAsia="Arial" w:hAnsi="Arial"/>
                <w:sz w:val="13"/>
                <w:szCs w:val="13"/>
                <w:color w:val="auto"/>
              </w:rPr>
              <w:t>(0.07)</w:t>
            </w:r>
          </w:p>
        </w:tc>
        <w:tc>
          <w:tcPr>
            <w:tcW w:w="360" w:type="dxa"/>
            <w:vAlign w:val="bottom"/>
            <w:gridSpan w:val="2"/>
          </w:tcPr>
          <w:p>
            <w:pPr>
              <w:jc w:val="right"/>
              <w:ind w:right="180"/>
              <w:spacing w:after="0"/>
              <w:rPr>
                <w:sz w:val="20"/>
                <w:szCs w:val="20"/>
                <w:color w:val="auto"/>
              </w:rPr>
            </w:pPr>
            <w:r>
              <w:rPr>
                <w:rFonts w:ascii="Arial" w:cs="Arial" w:eastAsia="Arial" w:hAnsi="Arial"/>
                <w:sz w:val="13"/>
                <w:szCs w:val="13"/>
                <w:color w:val="auto"/>
              </w:rPr>
              <w:t>$</w:t>
            </w:r>
          </w:p>
        </w:tc>
        <w:tc>
          <w:tcPr>
            <w:tcW w:w="960" w:type="dxa"/>
            <w:vAlign w:val="bottom"/>
            <w:gridSpan w:val="2"/>
          </w:tcPr>
          <w:p>
            <w:pPr>
              <w:jc w:val="right"/>
              <w:ind w:right="80"/>
              <w:spacing w:after="0"/>
              <w:rPr>
                <w:sz w:val="20"/>
                <w:szCs w:val="20"/>
                <w:color w:val="auto"/>
              </w:rPr>
            </w:pPr>
            <w:r>
              <w:rPr>
                <w:rFonts w:ascii="Arial" w:cs="Arial" w:eastAsia="Arial" w:hAnsi="Arial"/>
                <w:sz w:val="13"/>
                <w:szCs w:val="13"/>
                <w:color w:val="auto"/>
              </w:rPr>
              <w:t>(0.15)</w:t>
            </w:r>
          </w:p>
        </w:tc>
      </w:tr>
      <w:tr>
        <w:trPr>
          <w:trHeight w:val="20"/>
        </w:trPr>
        <w:tc>
          <w:tcPr>
            <w:tcW w:w="5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136"/>
        </w:trPr>
        <w:tc>
          <w:tcPr>
            <w:tcW w:w="5620" w:type="dxa"/>
            <w:vAlign w:val="bottom"/>
            <w:shd w:val="clear" w:color="auto" w:fill="CCEEFF"/>
          </w:tcPr>
          <w:p>
            <w:pPr>
              <w:spacing w:after="0"/>
              <w:rPr>
                <w:sz w:val="11"/>
                <w:szCs w:val="11"/>
                <w:color w:val="auto"/>
              </w:rPr>
            </w:pPr>
          </w:p>
        </w:tc>
        <w:tc>
          <w:tcPr>
            <w:tcW w:w="310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6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c>
          <w:tcPr>
            <w:tcW w:w="240" w:type="dxa"/>
            <w:vAlign w:val="bottom"/>
            <w:shd w:val="clear" w:color="auto" w:fill="CCEEFF"/>
          </w:tcPr>
          <w:p>
            <w:pPr>
              <w:spacing w:after="0"/>
              <w:rPr>
                <w:sz w:val="11"/>
                <w:szCs w:val="11"/>
                <w:color w:val="auto"/>
              </w:rPr>
            </w:pPr>
          </w:p>
        </w:tc>
        <w:tc>
          <w:tcPr>
            <w:tcW w:w="840" w:type="dxa"/>
            <w:vAlign w:val="bottom"/>
            <w:shd w:val="clear" w:color="auto" w:fill="CCEEFF"/>
          </w:tcPr>
          <w:p>
            <w:pPr>
              <w:spacing w:after="0"/>
              <w:rPr>
                <w:sz w:val="11"/>
                <w:szCs w:val="11"/>
                <w:color w:val="auto"/>
              </w:rPr>
            </w:pPr>
          </w:p>
        </w:tc>
        <w:tc>
          <w:tcPr>
            <w:tcW w:w="120" w:type="dxa"/>
            <w:vAlign w:val="bottom"/>
            <w:shd w:val="clear" w:color="auto" w:fill="CCEEFF"/>
          </w:tcPr>
          <w:p>
            <w:pPr>
              <w:spacing w:after="0"/>
              <w:rPr>
                <w:sz w:val="11"/>
                <w:szCs w:val="11"/>
                <w:color w:val="auto"/>
              </w:rPr>
            </w:pPr>
          </w:p>
        </w:tc>
      </w:tr>
      <w:tr>
        <w:trPr>
          <w:trHeight w:val="150"/>
        </w:trPr>
        <w:tc>
          <w:tcPr>
            <w:tcW w:w="5620" w:type="dxa"/>
            <w:vAlign w:val="bottom"/>
          </w:tcPr>
          <w:p>
            <w:pPr>
              <w:spacing w:after="0"/>
              <w:rPr>
                <w:sz w:val="20"/>
                <w:szCs w:val="20"/>
                <w:color w:val="auto"/>
              </w:rPr>
            </w:pPr>
            <w:r>
              <w:rPr>
                <w:rFonts w:ascii="Arial" w:cs="Arial" w:eastAsia="Arial" w:hAnsi="Arial"/>
                <w:sz w:val="13"/>
                <w:szCs w:val="13"/>
                <w:color w:val="auto"/>
              </w:rPr>
              <w:t>Weighted average shares used in computing</w:t>
            </w:r>
          </w:p>
        </w:tc>
        <w:tc>
          <w:tcPr>
            <w:tcW w:w="3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56"/>
        </w:trPr>
        <w:tc>
          <w:tcPr>
            <w:tcW w:w="5620" w:type="dxa"/>
            <w:vAlign w:val="bottom"/>
          </w:tcPr>
          <w:p>
            <w:pPr>
              <w:ind w:left="20"/>
              <w:spacing w:after="0"/>
              <w:rPr>
                <w:sz w:val="20"/>
                <w:szCs w:val="20"/>
                <w:color w:val="auto"/>
              </w:rPr>
            </w:pPr>
            <w:r>
              <w:rPr>
                <w:rFonts w:ascii="Arial" w:cs="Arial" w:eastAsia="Arial" w:hAnsi="Arial"/>
                <w:sz w:val="13"/>
                <w:szCs w:val="13"/>
                <w:color w:val="auto"/>
              </w:rPr>
              <w:t>basic and diluted net loss attributable to common</w:t>
            </w:r>
          </w:p>
        </w:tc>
        <w:tc>
          <w:tcPr>
            <w:tcW w:w="3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20" w:type="dxa"/>
            <w:vAlign w:val="bottom"/>
          </w:tcPr>
          <w:p>
            <w:pPr>
              <w:spacing w:after="0"/>
              <w:rPr>
                <w:sz w:val="13"/>
                <w:szCs w:val="13"/>
                <w:color w:val="auto"/>
              </w:rPr>
            </w:pPr>
          </w:p>
        </w:tc>
      </w:tr>
      <w:tr>
        <w:trPr>
          <w:trHeight w:val="162"/>
        </w:trPr>
        <w:tc>
          <w:tcPr>
            <w:tcW w:w="5620" w:type="dxa"/>
            <w:vAlign w:val="bottom"/>
          </w:tcPr>
          <w:p>
            <w:pPr>
              <w:ind w:left="20"/>
              <w:spacing w:after="0"/>
              <w:rPr>
                <w:sz w:val="20"/>
                <w:szCs w:val="20"/>
                <w:color w:val="auto"/>
              </w:rPr>
            </w:pPr>
            <w:r>
              <w:rPr>
                <w:rFonts w:ascii="Arial" w:cs="Arial" w:eastAsia="Arial" w:hAnsi="Arial"/>
                <w:sz w:val="13"/>
                <w:szCs w:val="13"/>
                <w:color w:val="auto"/>
              </w:rPr>
              <w:t>stockholders per common share</w:t>
            </w:r>
          </w:p>
        </w:tc>
        <w:tc>
          <w:tcPr>
            <w:tcW w:w="3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2"/>
          </w:tcPr>
          <w:p>
            <w:pPr>
              <w:jc w:val="right"/>
              <w:ind w:right="160"/>
              <w:spacing w:after="0"/>
              <w:rPr>
                <w:sz w:val="20"/>
                <w:szCs w:val="20"/>
                <w:color w:val="auto"/>
              </w:rPr>
            </w:pPr>
            <w:r>
              <w:rPr>
                <w:rFonts w:ascii="Arial" w:cs="Arial" w:eastAsia="Arial" w:hAnsi="Arial"/>
                <w:sz w:val="13"/>
                <w:szCs w:val="13"/>
                <w:color w:val="auto"/>
              </w:rPr>
              <w:t>51,321,355</w:t>
            </w:r>
          </w:p>
        </w:tc>
        <w:tc>
          <w:tcPr>
            <w:tcW w:w="1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3"/>
                <w:szCs w:val="13"/>
                <w:color w:val="auto"/>
              </w:rPr>
              <w:t>42,622,965</w:t>
            </w:r>
          </w:p>
        </w:tc>
      </w:tr>
      <w:tr>
        <w:trPr>
          <w:trHeight w:val="20"/>
        </w:trPr>
        <w:tc>
          <w:tcPr>
            <w:tcW w:w="562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605"/>
        </w:trPr>
        <w:tc>
          <w:tcPr>
            <w:tcW w:w="5620" w:type="dxa"/>
            <w:vAlign w:val="bottom"/>
            <w:tcBorders>
              <w:bottom w:val="single" w:sz="8" w:color="auto"/>
            </w:tcBorders>
          </w:tcPr>
          <w:p>
            <w:pPr>
              <w:spacing w:after="0"/>
              <w:rPr>
                <w:sz w:val="24"/>
                <w:szCs w:val="24"/>
                <w:color w:val="auto"/>
              </w:rPr>
            </w:pPr>
          </w:p>
        </w:tc>
        <w:tc>
          <w:tcPr>
            <w:tcW w:w="3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r>
    </w:tbl>
    <w:p>
      <w:pPr>
        <w:sectPr>
          <w:pgSz w:w="11900" w:h="16838" w:orient="portrait"/>
          <w:cols w:equalWidth="0" w:num="1">
            <w:col w:w="11280"/>
          </w:cols>
          <w:pgMar w:left="300" w:top="403" w:right="319" w:bottom="1440" w:gutter="0" w:footer="0" w:header="0"/>
        </w:sectPr>
      </w:pPr>
    </w:p>
    <w:bookmarkStart w:id="8" w:name="page9"/>
    <w:bookmarkEnd w:id="8"/>
    <w:p>
      <w:pPr>
        <w:ind w:left="9500"/>
        <w:spacing w:after="0"/>
        <w:rPr>
          <w:sz w:val="20"/>
          <w:szCs w:val="20"/>
          <w:color w:val="auto"/>
        </w:rPr>
      </w:pPr>
      <w:r>
        <w:rPr>
          <w:rFonts w:ascii="Arial" w:cs="Arial" w:eastAsia="Arial" w:hAnsi="Arial"/>
          <w:sz w:val="11"/>
          <w:szCs w:val="11"/>
          <w:b w:val="1"/>
          <w:bCs w:val="1"/>
          <w:color w:val="auto"/>
        </w:rPr>
        <w:t>Exhibit 99.2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-724535</wp:posOffset>
            </wp:positionH>
            <wp:positionV relativeFrom="paragraph">
              <wp:posOffset>25400</wp:posOffset>
            </wp:positionV>
            <wp:extent cx="7214870" cy="578104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14870" cy="5781040"/>
                    </a:xfrm>
                    <a:prstGeom prst="rect">
                      <a:avLst/>
                    </a:prstGeom>
                    <a:noFill/>
                  </pic:spPr>
                </pic:pic>
              </a:graphicData>
            </a:graphic>
          </wp:anchor>
        </w:drawing>
      </w:r>
    </w:p>
    <w:p>
      <w:pPr>
        <w:sectPr>
          <w:pgSz w:w="11900" w:h="16838" w:orient="portrait"/>
          <w:cols w:equalWidth="0" w:num="1">
            <w:col w:w="10160"/>
          </w:cols>
          <w:pgMar w:left="1440" w:top="266" w:right="299" w:bottom="1440"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5745480</wp:posOffset>
            </wp:positionV>
            <wp:extent cx="7170420" cy="127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70420" cy="12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5745480</wp:posOffset>
            </wp:positionV>
            <wp:extent cx="7170420" cy="1270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0420" cy="1270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9" w:name="page40"/>
    <w:bookmarkEnd w:id="3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0" w:name="page41"/>
    <w:bookmarkEnd w:id="4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1" w:name="page42"/>
    <w:bookmarkEnd w:id="4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2" w:name="page43"/>
    <w:bookmarkEnd w:id="4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3" w:name="page44"/>
    <w:bookmarkEnd w:id="4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44" w:name="page45"/>
    <w:bookmarkEnd w:id="4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189230</wp:posOffset>
            </wp:positionH>
            <wp:positionV relativeFrom="page">
              <wp:posOffset>88900</wp:posOffset>
            </wp:positionV>
            <wp:extent cx="7214870" cy="566928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214870" cy="566928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
      <w:numFmt w:val="bullet"/>
      <w:start w:val="1"/>
    </w:lvl>
    <w:lvl w:ilvl="1">
      <w:lvlJc w:val="left"/>
      <w:lvlText w:val="o"/>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2020-08-14T21:49:59Z</dcterms:created>
  <dcterms:modified xsi:type="dcterms:W3CDTF">2020-08-14T21:49:59Z</dcterms:modified>
</cp:coreProperties>
</file>