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333-254299</w:t>
      </w:r>
    </w:p>
    <w:p>
      <w:pPr>
        <w:spacing w:after="0" w:line="183"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PROSPECTUS SUPPLEMENT</w:t>
      </w:r>
    </w:p>
    <w:p>
      <w:pPr>
        <w:spacing w:after="0" w:line="24" w:lineRule="exact"/>
        <w:rPr>
          <w:sz w:val="24"/>
          <w:szCs w:val="24"/>
          <w:color w:val="auto"/>
        </w:rPr>
      </w:pPr>
    </w:p>
    <w:p>
      <w:pPr>
        <w:ind w:left="4"/>
        <w:spacing w:after="0"/>
        <w:rPr>
          <w:sz w:val="20"/>
          <w:szCs w:val="20"/>
          <w:color w:val="auto"/>
        </w:rPr>
      </w:pPr>
      <w:r>
        <w:rPr>
          <w:rFonts w:ascii="Arial" w:cs="Arial" w:eastAsia="Arial" w:hAnsi="Arial"/>
          <w:sz w:val="16"/>
          <w:szCs w:val="16"/>
          <w:color w:val="auto"/>
        </w:rPr>
        <w:t>(To Prospectus Dated 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248285</wp:posOffset>
            </wp:positionV>
            <wp:extent cx="2283460" cy="616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3460" cy="616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263"/>
        <w:spacing w:after="0"/>
        <w:rPr>
          <w:sz w:val="20"/>
          <w:szCs w:val="20"/>
          <w:color w:val="auto"/>
        </w:rPr>
      </w:pPr>
      <w:r>
        <w:rPr>
          <w:rFonts w:ascii="Arial" w:cs="Arial" w:eastAsia="Arial" w:hAnsi="Arial"/>
          <w:sz w:val="16"/>
          <w:szCs w:val="16"/>
          <w:b w:val="1"/>
          <w:bCs w:val="1"/>
          <w:color w:val="auto"/>
        </w:rPr>
        <w:t>15,010,810 Shares of Common Stock</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Pre-Funded Warrants to Purchase up to 3,577,240 Shares of Common Stock</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Tranche 1 Warrants to Purchase up to 9,294,022 Shares of Common Stock</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Tranche 2 Warrants to Purchase up to 11,265,086 Shares of Common Stock</w:t>
      </w:r>
    </w:p>
    <w:p>
      <w:pPr>
        <w:spacing w:after="0" w:line="187" w:lineRule="exact"/>
        <w:rPr>
          <w:sz w:val="24"/>
          <w:szCs w:val="24"/>
          <w:color w:val="auto"/>
        </w:rPr>
      </w:pPr>
    </w:p>
    <w:p>
      <w:pPr>
        <w:ind w:left="4" w:right="20"/>
        <w:spacing w:after="0" w:line="272" w:lineRule="auto"/>
        <w:rPr>
          <w:sz w:val="20"/>
          <w:szCs w:val="20"/>
          <w:color w:val="auto"/>
        </w:rPr>
      </w:pPr>
      <w:r>
        <w:rPr>
          <w:rFonts w:ascii="Arial" w:cs="Arial" w:eastAsia="Arial" w:hAnsi="Arial"/>
          <w:sz w:val="15"/>
          <w:szCs w:val="15"/>
          <w:color w:val="auto"/>
        </w:rPr>
        <w:t xml:space="preserve">We are offering 15,010,810 shares of our common stock, $0.001 par value per share, accompanying common warrants to purchase up to 9,294,022 shares of our common stock (or pre-funded warrants to purchase up to 9,294,022 shares of our common stock in lieu thereof) (the </w:t>
      </w:r>
      <w:r>
        <w:rPr>
          <w:rFonts w:ascii="Arial" w:cs="Arial" w:eastAsia="Arial" w:hAnsi="Arial"/>
          <w:sz w:val="15"/>
          <w:szCs w:val="15"/>
          <w:i w:val="1"/>
          <w:iCs w:val="1"/>
          <w:color w:val="auto"/>
        </w:rPr>
        <w:t>Tranche 1 Warrants</w:t>
      </w:r>
      <w:r>
        <w:rPr>
          <w:rFonts w:ascii="Arial" w:cs="Arial" w:eastAsia="Arial" w:hAnsi="Arial"/>
          <w:sz w:val="15"/>
          <w:szCs w:val="15"/>
          <w:color w:val="auto"/>
        </w:rPr>
        <w:t xml:space="preserve">) and accompanying common warrants to purchase up to 11,265,086 shares of our common stock (or pre-funded warrants to purchase up to 11,265,086 shares of our common stock in lieu thereof) (the </w:t>
      </w:r>
      <w:r>
        <w:rPr>
          <w:rFonts w:ascii="Arial" w:cs="Arial" w:eastAsia="Arial" w:hAnsi="Arial"/>
          <w:sz w:val="15"/>
          <w:szCs w:val="15"/>
          <w:i w:val="1"/>
          <w:iCs w:val="1"/>
          <w:color w:val="auto"/>
        </w:rPr>
        <w:t>Tranche 2 Warrants</w:t>
      </w:r>
      <w:r>
        <w:rPr>
          <w:rFonts w:ascii="Arial" w:cs="Arial" w:eastAsia="Arial" w:hAnsi="Arial"/>
          <w:sz w:val="15"/>
          <w:szCs w:val="15"/>
          <w:color w:val="auto"/>
        </w:rPr>
        <w:t>) pursuant to this prospectus supplement and accompanying prospectus. The combined offering price for each share of common stock, accompanying Tranche 1 Warrant and accompanying Tranche 2 Warrant is $5.38. The Tranche 1 Warrants have an exercise price of $5.38 per share of common stock or pre-funded warrant, are exercisable immediately and will expire subject to the terms under the Tranche 1 Warrant. The Tranche 2 Warrants have an exercise price of $8.877 per share of common stock or pre-funded warrant, are exercisable immediately and will expire five years from the date of issuance. See “</w:t>
      </w:r>
      <w:r>
        <w:rPr>
          <w:rFonts w:ascii="Arial" w:cs="Arial" w:eastAsia="Arial" w:hAnsi="Arial"/>
          <w:sz w:val="15"/>
          <w:szCs w:val="15"/>
          <w:i w:val="1"/>
          <w:iCs w:val="1"/>
          <w:color w:val="auto"/>
        </w:rPr>
        <w:t>Description of Pre-Funded Warrants and Warrants</w:t>
      </w:r>
      <w:r>
        <w:rPr>
          <w:rFonts w:ascii="Arial" w:cs="Arial" w:eastAsia="Arial" w:hAnsi="Arial"/>
          <w:sz w:val="15"/>
          <w:szCs w:val="15"/>
          <w:color w:val="auto"/>
        </w:rPr>
        <w:t>.” The shares of common stock, accompanying Tranche 1 Warrants and accompanying Tranche 2 Warrants can only be purchased together in this offering but will be issued separately and will be immediately separable upon issuance.</w:t>
      </w:r>
    </w:p>
    <w:p>
      <w:pPr>
        <w:spacing w:after="0" w:line="159" w:lineRule="exact"/>
        <w:rPr>
          <w:sz w:val="24"/>
          <w:szCs w:val="24"/>
          <w:color w:val="auto"/>
        </w:rPr>
      </w:pPr>
    </w:p>
    <w:p>
      <w:pPr>
        <w:ind w:left="4" w:right="60"/>
        <w:spacing w:after="0" w:line="256" w:lineRule="auto"/>
        <w:rPr>
          <w:sz w:val="20"/>
          <w:szCs w:val="20"/>
          <w:color w:val="auto"/>
        </w:rPr>
      </w:pPr>
      <w:r>
        <w:rPr>
          <w:rFonts w:ascii="Arial" w:cs="Arial" w:eastAsia="Arial" w:hAnsi="Arial"/>
          <w:sz w:val="16"/>
          <w:szCs w:val="16"/>
          <w:color w:val="auto"/>
        </w:rPr>
        <w:t>We are also offering, to certain investors that so choose, in lieu of shares of our common stock, pre-funded warrants to purchase up to 3,577,240 shares of our common stock at a combined offering price of $5.379 per pre-funded warrant, accompanying Tranche 1 Warrant and accompanying Tranche 2 Warrant, which represents the per share combined offering price for the common stock, accompanying Tranche 1 Warrant and accompanying Tranche 2 Warrant, less the $0.001 per share exercise price for each pre-funded warrant. The pre-funded warrants, accompanying Tranche 1 Warrants and accompanying Tranche 2 Warrants can only be purchased together in this offering but will be issued separately and will be immediately separable upon issuance.</w:t>
      </w:r>
    </w:p>
    <w:p>
      <w:pPr>
        <w:spacing w:after="0" w:line="170" w:lineRule="exact"/>
        <w:rPr>
          <w:sz w:val="24"/>
          <w:szCs w:val="24"/>
          <w:color w:val="auto"/>
        </w:rPr>
      </w:pPr>
    </w:p>
    <w:p>
      <w:pPr>
        <w:ind w:left="4" w:right="140"/>
        <w:spacing w:after="0" w:line="276" w:lineRule="auto"/>
        <w:rPr>
          <w:sz w:val="20"/>
          <w:szCs w:val="20"/>
          <w:color w:val="auto"/>
        </w:rPr>
      </w:pPr>
      <w:r>
        <w:rPr>
          <w:rFonts w:ascii="Arial" w:cs="Arial" w:eastAsia="Arial" w:hAnsi="Arial"/>
          <w:sz w:val="16"/>
          <w:szCs w:val="16"/>
          <w:color w:val="auto"/>
        </w:rPr>
        <w:t>This prospectus supplement also relates to the offering of the shares of common stock issuable upon the exercise of such pre-funded warrants and the shares of common stock or pre-funded warrants issuable upon the exercise of the Tranche 1 Warrants and Tranche 2 Warrants.</w:t>
      </w:r>
    </w:p>
    <w:p>
      <w:pPr>
        <w:spacing w:after="0" w:line="152" w:lineRule="exact"/>
        <w:rPr>
          <w:sz w:val="24"/>
          <w:szCs w:val="24"/>
          <w:color w:val="auto"/>
        </w:rPr>
      </w:pPr>
    </w:p>
    <w:p>
      <w:pPr>
        <w:ind w:left="4" w:right="180"/>
        <w:spacing w:after="0" w:line="259" w:lineRule="auto"/>
        <w:rPr>
          <w:sz w:val="20"/>
          <w:szCs w:val="20"/>
          <w:color w:val="auto"/>
        </w:rPr>
      </w:pPr>
      <w:r>
        <w:rPr>
          <w:rFonts w:ascii="Arial" w:cs="Arial" w:eastAsia="Arial" w:hAnsi="Arial"/>
          <w:sz w:val="16"/>
          <w:szCs w:val="16"/>
          <w:color w:val="auto"/>
        </w:rPr>
        <w:t>Our common stock is listed on The Nasdaq Capital Market under the symbol “VTGN.” On September 29, 2023, the last reported sale price of our common stock on The Nasdaq Capital Market was $5.24 per share. There is no established public trading market for the pre-funded warrants, the Tranche 1 Warrants or the Tranche 2 Warrants and we do not expect a market to develop. We do not intend to list the pre-funded warrants, the Tranche 1 Warrants or the Tranche 2 Warrants on The Nasdaq Capital Market, on any other national securities exchange or any other nationally recognized trading system.</w:t>
      </w:r>
    </w:p>
    <w:p>
      <w:pPr>
        <w:spacing w:after="0" w:line="161" w:lineRule="exact"/>
        <w:rPr>
          <w:sz w:val="24"/>
          <w:szCs w:val="24"/>
          <w:color w:val="auto"/>
        </w:rPr>
      </w:pPr>
    </w:p>
    <w:p>
      <w:pPr>
        <w:ind w:left="4" w:right="40"/>
        <w:spacing w:after="0" w:line="282" w:lineRule="auto"/>
        <w:rPr>
          <w:sz w:val="20"/>
          <w:szCs w:val="20"/>
          <w:color w:val="auto"/>
        </w:rPr>
      </w:pPr>
      <w:r>
        <w:rPr>
          <w:rFonts w:ascii="Arial" w:cs="Arial" w:eastAsia="Arial" w:hAnsi="Arial"/>
          <w:sz w:val="16"/>
          <w:szCs w:val="16"/>
          <w:b w:val="1"/>
          <w:bCs w:val="1"/>
          <w:color w:val="auto"/>
        </w:rPr>
        <w:t xml:space="preserve">Investing in our common stock involves a high degree of risk. See </w:t>
      </w:r>
      <w:r>
        <w:rPr>
          <w:rFonts w:ascii="Arial" w:cs="Arial" w:eastAsia="Arial" w:hAnsi="Arial"/>
          <w:sz w:val="16"/>
          <w:szCs w:val="16"/>
          <w:color w:val="auto"/>
        </w:rPr>
        <w:t>“</w:t>
      </w:r>
      <w:r>
        <w:rPr>
          <w:rFonts w:ascii="Arial" w:cs="Arial" w:eastAsia="Arial" w:hAnsi="Arial"/>
          <w:sz w:val="16"/>
          <w:szCs w:val="16"/>
          <w:b w:val="1"/>
          <w:bCs w:val="1"/>
          <w:i w:val="1"/>
          <w:iCs w:val="1"/>
          <w:color w:val="auto"/>
        </w:rPr>
        <w:t>Risk Factors</w:t>
      </w:r>
      <w:r>
        <w:rPr>
          <w:rFonts w:ascii="Arial" w:cs="Arial" w:eastAsia="Arial" w:hAnsi="Arial"/>
          <w:sz w:val="16"/>
          <w:szCs w:val="16"/>
          <w:color w:val="auto"/>
        </w:rPr>
        <w:t>”</w:t>
      </w:r>
      <w:r>
        <w:rPr>
          <w:rFonts w:ascii="Arial" w:cs="Arial" w:eastAsia="Arial" w:hAnsi="Arial"/>
          <w:sz w:val="16"/>
          <w:szCs w:val="16"/>
          <w:b w:val="1"/>
          <w:bCs w:val="1"/>
          <w:color w:val="auto"/>
        </w:rPr>
        <w:t xml:space="preserve"> beginning on page </w:t>
      </w:r>
      <w:r>
        <w:rPr>
          <w:rFonts w:ascii="Arial" w:cs="Arial" w:eastAsia="Arial" w:hAnsi="Arial"/>
          <w:sz w:val="16"/>
          <w:szCs w:val="16"/>
          <w:b w:val="1"/>
          <w:bCs w:val="1"/>
          <w:u w:val="single" w:color="auto"/>
          <w:color w:val="0000EE"/>
        </w:rPr>
        <w:t>S-10</w:t>
      </w:r>
      <w:r>
        <w:rPr>
          <w:rFonts w:ascii="Arial" w:cs="Arial" w:eastAsia="Arial" w:hAnsi="Arial"/>
          <w:sz w:val="16"/>
          <w:szCs w:val="16"/>
          <w:b w:val="1"/>
          <w:bCs w:val="1"/>
          <w:color w:val="auto"/>
        </w:rPr>
        <w:t xml:space="preserve"> of this prospectus supplement and under similar headings in the documents incorporated by reference into this prospectus supplement.</w:t>
      </w:r>
    </w:p>
    <w:p>
      <w:pPr>
        <w:spacing w:after="0" w:line="143" w:lineRule="exact"/>
        <w:rPr>
          <w:sz w:val="24"/>
          <w:szCs w:val="24"/>
          <w:color w:val="auto"/>
        </w:rPr>
      </w:pPr>
    </w:p>
    <w:p>
      <w:pPr>
        <w:ind w:left="4" w:right="180"/>
        <w:spacing w:after="0" w:line="282" w:lineRule="auto"/>
        <w:rPr>
          <w:sz w:val="20"/>
          <w:szCs w:val="20"/>
          <w:color w:val="auto"/>
        </w:rPr>
      </w:pPr>
      <w:r>
        <w:rPr>
          <w:rFonts w:ascii="Arial" w:cs="Arial" w:eastAsia="Arial" w:hAnsi="Arial"/>
          <w:sz w:val="16"/>
          <w:szCs w:val="16"/>
          <w:b w:val="1"/>
          <w:bCs w:val="1"/>
          <w:color w:val="auto"/>
        </w:rPr>
        <w:t xml:space="preserve">Neither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b w:val="1"/>
          <w:bCs w:val="1"/>
          <w:color w:val="auto"/>
        </w:rPr>
        <w:t>) nor any state securities commission has approved or disapproved of these securities or passed upon the adequacy or accuracy of this prospectus supplement. Any representation to the contrary is a criminal offense.</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PER SHARE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PER PRE-</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FUNDED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WARRANT,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ACCOMPANYING</w:t>
            </w:r>
          </w:p>
        </w:tc>
        <w:tc>
          <w:tcPr>
            <w:tcW w:w="120" w:type="dxa"/>
            <w:vAlign w:val="bottom"/>
          </w:tcPr>
          <w:p>
            <w:pPr>
              <w:spacing w:after="0"/>
              <w:rPr>
                <w:sz w:val="16"/>
                <w:szCs w:val="16"/>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ACCOMPANYING</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TRANCHE 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TRANCHE 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WARRANT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WARRANT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ACCOMPANYING</w:t>
            </w:r>
          </w:p>
        </w:tc>
        <w:tc>
          <w:tcPr>
            <w:tcW w:w="120" w:type="dxa"/>
            <w:vAlign w:val="bottom"/>
          </w:tcPr>
          <w:p>
            <w:pPr>
              <w:spacing w:after="0"/>
              <w:rPr>
                <w:sz w:val="16"/>
                <w:szCs w:val="16"/>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ACCOMPANYING</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TRANCHE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TRANCHE 2</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4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9"/>
              </w:rPr>
              <w:t>WARRANT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9"/>
              </w:rPr>
              <w:t>WARRANT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r>
      <w:tr>
        <w:trPr>
          <w:trHeight w:val="184"/>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Combined offering price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5.379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100,000,131.76</w:t>
            </w:r>
          </w:p>
        </w:tc>
        <w:tc>
          <w:tcPr>
            <w:tcW w:w="120" w:type="dxa"/>
            <w:vAlign w:val="bottom"/>
            <w:shd w:val="clear" w:color="auto" w:fill="CCEEFF"/>
          </w:tcPr>
          <w:p>
            <w:pPr>
              <w:spacing w:after="0"/>
              <w:rPr>
                <w:sz w:val="15"/>
                <w:szCs w:val="15"/>
                <w:color w:val="auto"/>
              </w:rPr>
            </w:pPr>
          </w:p>
        </w:tc>
      </w:tr>
      <w:tr>
        <w:trPr>
          <w:trHeight w:val="192"/>
        </w:trPr>
        <w:tc>
          <w:tcPr>
            <w:tcW w:w="4960" w:type="dxa"/>
            <w:vAlign w:val="bottom"/>
          </w:tcPr>
          <w:p>
            <w:pPr>
              <w:spacing w:after="0" w:line="191" w:lineRule="exact"/>
              <w:rPr>
                <w:sz w:val="20"/>
                <w:szCs w:val="20"/>
                <w:color w:val="auto"/>
              </w:rPr>
            </w:pPr>
            <w:r>
              <w:rPr>
                <w:rFonts w:ascii="Arial" w:cs="Arial" w:eastAsia="Arial" w:hAnsi="Arial"/>
                <w:sz w:val="14"/>
                <w:szCs w:val="14"/>
                <w:color w:val="auto"/>
              </w:rPr>
              <w:t xml:space="preserve">Underwriting discounts and commissions </w:t>
            </w:r>
            <w:r>
              <w:rPr>
                <w:rFonts w:ascii="Arial" w:cs="Arial" w:eastAsia="Arial" w:hAnsi="Arial"/>
                <w:sz w:val="22"/>
                <w:szCs w:val="22"/>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0.3228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0.32274</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6,000,007.91</w:t>
            </w:r>
          </w:p>
        </w:tc>
        <w:tc>
          <w:tcPr>
            <w:tcW w:w="120" w:type="dxa"/>
            <w:vAlign w:val="bottom"/>
          </w:tcPr>
          <w:p>
            <w:pPr>
              <w:spacing w:after="0"/>
              <w:rPr>
                <w:sz w:val="16"/>
                <w:szCs w:val="16"/>
                <w:color w:val="auto"/>
              </w:rPr>
            </w:pPr>
          </w:p>
        </w:tc>
      </w:tr>
      <w:tr>
        <w:trPr>
          <w:trHeight w:val="192"/>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Proceeds to Vistagen Therapeutics, Inc. before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5.05626</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94,000,123.85</w:t>
            </w:r>
          </w:p>
        </w:tc>
      </w:tr>
    </w:tbl>
    <w:p>
      <w:pPr>
        <w:spacing w:after="0" w:line="142" w:lineRule="exact"/>
        <w:rPr>
          <w:sz w:val="24"/>
          <w:szCs w:val="24"/>
          <w:color w:val="auto"/>
        </w:rPr>
      </w:pPr>
    </w:p>
    <w:p>
      <w:pPr>
        <w:ind w:left="184" w:hanging="184"/>
        <w:spacing w:after="0"/>
        <w:tabs>
          <w:tab w:leader="none" w:pos="184" w:val="left"/>
        </w:tabs>
        <w:numPr>
          <w:ilvl w:val="0"/>
          <w:numId w:val="1"/>
        </w:numPr>
        <w:rPr>
          <w:rFonts w:ascii="Arial" w:cs="Arial" w:eastAsia="Arial" w:hAnsi="Arial"/>
          <w:sz w:val="21"/>
          <w:szCs w:val="21"/>
          <w:color w:val="auto"/>
          <w:vertAlign w:val="superscript"/>
        </w:rPr>
      </w:pPr>
      <w:r>
        <w:rPr>
          <w:rFonts w:ascii="Arial" w:cs="Arial" w:eastAsia="Arial" w:hAnsi="Arial"/>
          <w:sz w:val="13"/>
          <w:szCs w:val="13"/>
          <w:color w:val="auto"/>
        </w:rPr>
        <w:t>See “Underwriting” for a description of the compensation payable to the underwriters.</w:t>
      </w:r>
    </w:p>
    <w:p>
      <w:pPr>
        <w:spacing w:after="0" w:line="179" w:lineRule="exact"/>
        <w:rPr>
          <w:sz w:val="24"/>
          <w:szCs w:val="24"/>
          <w:color w:val="auto"/>
        </w:rPr>
      </w:pPr>
    </w:p>
    <w:p>
      <w:pPr>
        <w:ind w:left="4"/>
        <w:spacing w:after="0"/>
        <w:rPr>
          <w:sz w:val="20"/>
          <w:szCs w:val="20"/>
          <w:color w:val="auto"/>
        </w:rPr>
      </w:pPr>
      <w:r>
        <w:rPr>
          <w:rFonts w:ascii="Arial" w:cs="Arial" w:eastAsia="Arial" w:hAnsi="Arial"/>
          <w:sz w:val="14"/>
          <w:szCs w:val="14"/>
          <w:color w:val="auto"/>
        </w:rPr>
        <w:t>Delivery of the shares of common stock, the pre-funded warrants, the Tranche 1 Warrants and the Tranche 2 Warrants is expected to be made on or about October 4, 2023.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196" w:lineRule="exact"/>
        <w:rPr>
          <w:sz w:val="24"/>
          <w:szCs w:val="24"/>
          <w:color w:val="auto"/>
        </w:rPr>
      </w:pPr>
    </w:p>
    <w:p>
      <w:pPr>
        <w:ind w:left="4"/>
        <w:spacing w:after="0"/>
        <w:tabs>
          <w:tab w:leader="none" w:pos="5424" w:val="left"/>
          <w:tab w:leader="none" w:pos="10304" w:val="left"/>
        </w:tabs>
        <w:rPr>
          <w:sz w:val="20"/>
          <w:szCs w:val="20"/>
          <w:color w:val="auto"/>
        </w:rPr>
      </w:pPr>
      <w:r>
        <w:rPr>
          <w:rFonts w:ascii="Arial" w:cs="Arial" w:eastAsia="Arial" w:hAnsi="Arial"/>
          <w:sz w:val="16"/>
          <w:szCs w:val="16"/>
          <w:b w:val="1"/>
          <w:bCs w:val="1"/>
          <w:color w:val="auto"/>
        </w:rPr>
        <w:t>Jefferies</w:t>
      </w:r>
      <w:r>
        <w:rPr>
          <w:sz w:val="20"/>
          <w:szCs w:val="20"/>
          <w:color w:val="auto"/>
        </w:rPr>
        <w:tab/>
      </w:r>
      <w:r>
        <w:rPr>
          <w:rFonts w:ascii="Arial" w:cs="Arial" w:eastAsia="Arial" w:hAnsi="Arial"/>
          <w:sz w:val="16"/>
          <w:szCs w:val="16"/>
          <w:b w:val="1"/>
          <w:bCs w:val="1"/>
          <w:color w:val="auto"/>
        </w:rPr>
        <w:t>Stifel</w:t>
      </w:r>
      <w:r>
        <w:rPr>
          <w:sz w:val="20"/>
          <w:szCs w:val="20"/>
          <w:color w:val="auto"/>
        </w:rPr>
        <w:tab/>
      </w:r>
      <w:r>
        <w:rPr>
          <w:rFonts w:ascii="Arial" w:cs="Arial" w:eastAsia="Arial" w:hAnsi="Arial"/>
          <w:sz w:val="15"/>
          <w:szCs w:val="15"/>
          <w:b w:val="1"/>
          <w:bCs w:val="1"/>
          <w:color w:val="auto"/>
        </w:rPr>
        <w:t>William Blair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289560</wp:posOffset>
            </wp:positionV>
            <wp:extent cx="17887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Prospectus Supplement dated October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454660</wp:posOffset>
            </wp:positionV>
            <wp:extent cx="714756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41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480" w:type="dxa"/>
            <w:vAlign w:val="bottom"/>
          </w:tcPr>
          <w:p>
            <w:pPr>
              <w:ind w:left="4740"/>
              <w:spacing w:after="0"/>
              <w:rPr>
                <w:sz w:val="20"/>
                <w:szCs w:val="20"/>
                <w:color w:val="auto"/>
              </w:rPr>
            </w:pPr>
            <w:r>
              <w:rPr>
                <w:rFonts w:ascii="Arial" w:cs="Arial" w:eastAsia="Arial" w:hAnsi="Arial"/>
                <w:sz w:val="16"/>
                <w:szCs w:val="16"/>
                <w:b w:val="1"/>
                <w:bCs w:val="1"/>
                <w:color w:val="auto"/>
              </w:rPr>
              <w:t>TABLE OF CONTENTS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8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Prospectus Supplement</w:t>
            </w:r>
          </w:p>
        </w:tc>
        <w:tc>
          <w:tcPr>
            <w:tcW w:w="2760" w:type="dxa"/>
            <w:vAlign w:val="bottom"/>
            <w:gridSpan w:val="3"/>
          </w:tcPr>
          <w:p>
            <w:pPr>
              <w:jc w:val="center"/>
              <w:ind w:left="1560"/>
              <w:spacing w:after="0"/>
              <w:rPr>
                <w:sz w:val="20"/>
                <w:szCs w:val="20"/>
                <w:color w:val="auto"/>
              </w:rPr>
            </w:pPr>
            <w:r>
              <w:rPr>
                <w:rFonts w:ascii="Arial" w:cs="Arial" w:eastAsia="Arial" w:hAnsi="Arial"/>
                <w:sz w:val="16"/>
                <w:szCs w:val="16"/>
                <w:color w:val="auto"/>
                <w:w w:val="85"/>
              </w:rPr>
              <w:t>Page</w:t>
            </w:r>
          </w:p>
        </w:tc>
        <w:tc>
          <w:tcPr>
            <w:tcW w:w="0" w:type="dxa"/>
            <w:vAlign w:val="bottom"/>
          </w:tcPr>
          <w:p>
            <w:pPr>
              <w:spacing w:after="0"/>
              <w:rPr>
                <w:sz w:val="1"/>
                <w:szCs w:val="1"/>
                <w:color w:val="auto"/>
              </w:rPr>
            </w:pPr>
          </w:p>
        </w:tc>
      </w:tr>
      <w:tr>
        <w:trPr>
          <w:trHeight w:val="208"/>
        </w:trPr>
        <w:tc>
          <w:tcPr>
            <w:tcW w:w="850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About This Prospectus Supplement</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Cautionary Notes Regarding Forward-Looking Statements</w:t>
            </w:r>
          </w:p>
        </w:tc>
        <w:tc>
          <w:tcPr>
            <w:tcW w:w="204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S-2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Prospectus Supplement Summary</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The Offering</w:t>
            </w:r>
          </w:p>
        </w:tc>
        <w:tc>
          <w:tcPr>
            <w:tcW w:w="204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S-9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Risk Factors</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Use of Proceeds</w:t>
            </w:r>
          </w:p>
        </w:tc>
        <w:tc>
          <w:tcPr>
            <w:tcW w:w="204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S-12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Capitalization</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Dilution</w:t>
            </w:r>
          </w:p>
        </w:tc>
        <w:tc>
          <w:tcPr>
            <w:tcW w:w="204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S-14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Dividend Policy</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Description of Pre-Funded Warrants and Warrants</w:t>
            </w:r>
          </w:p>
        </w:tc>
        <w:tc>
          <w:tcPr>
            <w:tcW w:w="204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S-16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Underwriting</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Legal Matters</w:t>
            </w:r>
          </w:p>
        </w:tc>
        <w:tc>
          <w:tcPr>
            <w:tcW w:w="204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S-24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Experts</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04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6"/>
                <w:szCs w:val="16"/>
                <w:color w:val="auto"/>
                <w:w w:val="88"/>
              </w:rPr>
              <w:t>S-24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Incorporation of Certain Information by Reference</w:t>
            </w:r>
          </w:p>
        </w:tc>
        <w:tc>
          <w:tcPr>
            <w:tcW w:w="20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6"/>
                <w:szCs w:val="16"/>
                <w:color w:val="auto"/>
                <w:w w:val="88"/>
              </w:rPr>
              <w:t>S-25</w:t>
            </w:r>
          </w:p>
        </w:tc>
        <w:tc>
          <w:tcPr>
            <w:tcW w:w="0" w:type="dxa"/>
            <w:vAlign w:val="bottom"/>
          </w:tcPr>
          <w:p>
            <w:pPr>
              <w:spacing w:after="0"/>
              <w:rPr>
                <w:sz w:val="1"/>
                <w:szCs w:val="1"/>
                <w:color w:val="auto"/>
              </w:rPr>
            </w:pPr>
          </w:p>
        </w:tc>
      </w:tr>
      <w:tr>
        <w:trPr>
          <w:trHeight w:val="384"/>
        </w:trPr>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Prospectus</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About This Prospectus</w:t>
            </w:r>
          </w:p>
        </w:tc>
        <w:tc>
          <w:tcPr>
            <w:tcW w:w="2340" w:type="dxa"/>
            <w:vAlign w:val="bottom"/>
            <w:gridSpan w:val="2"/>
            <w:shd w:val="clear" w:color="auto" w:fill="CCEEFF"/>
          </w:tcPr>
          <w:p>
            <w:pPr>
              <w:jc w:val="center"/>
              <w:ind w:left="1980"/>
              <w:spacing w:after="0"/>
              <w:rPr>
                <w:sz w:val="20"/>
                <w:szCs w:val="20"/>
                <w:color w:val="auto"/>
              </w:rPr>
            </w:pPr>
            <w:r>
              <w:rPr>
                <w:rFonts w:ascii="Arial" w:cs="Arial" w:eastAsia="Arial" w:hAnsi="Arial"/>
                <w:sz w:val="16"/>
                <w:szCs w:val="16"/>
                <w:color w:val="auto"/>
                <w:w w:val="89"/>
              </w:rPr>
              <w:t>1</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Company Overview</w:t>
            </w:r>
          </w:p>
        </w:tc>
        <w:tc>
          <w:tcPr>
            <w:tcW w:w="2340" w:type="dxa"/>
            <w:vAlign w:val="bottom"/>
            <w:gridSpan w:val="2"/>
          </w:tcPr>
          <w:p>
            <w:pPr>
              <w:jc w:val="center"/>
              <w:ind w:left="1980"/>
              <w:spacing w:after="0"/>
              <w:rPr>
                <w:sz w:val="20"/>
                <w:szCs w:val="20"/>
                <w:color w:val="auto"/>
              </w:rPr>
            </w:pPr>
            <w:r>
              <w:rPr>
                <w:rFonts w:ascii="Arial" w:cs="Arial" w:eastAsia="Arial" w:hAnsi="Arial"/>
                <w:sz w:val="16"/>
                <w:szCs w:val="16"/>
                <w:color w:val="auto"/>
                <w:w w:val="89"/>
              </w:rPr>
              <w:t>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Risk Factors</w:t>
            </w:r>
          </w:p>
        </w:tc>
        <w:tc>
          <w:tcPr>
            <w:tcW w:w="2340" w:type="dxa"/>
            <w:vAlign w:val="bottom"/>
            <w:gridSpan w:val="2"/>
            <w:shd w:val="clear" w:color="auto" w:fill="CCEEFF"/>
          </w:tcPr>
          <w:p>
            <w:pPr>
              <w:jc w:val="center"/>
              <w:ind w:left="1980"/>
              <w:spacing w:after="0"/>
              <w:rPr>
                <w:sz w:val="20"/>
                <w:szCs w:val="20"/>
                <w:color w:val="auto"/>
              </w:rPr>
            </w:pPr>
            <w:r>
              <w:rPr>
                <w:rFonts w:ascii="Arial" w:cs="Arial" w:eastAsia="Arial" w:hAnsi="Arial"/>
                <w:sz w:val="16"/>
                <w:szCs w:val="16"/>
                <w:color w:val="auto"/>
                <w:w w:val="89"/>
              </w:rPr>
              <w:t>7</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Cautionary Notes Regarding Forward-Looking Statements</w:t>
            </w:r>
          </w:p>
        </w:tc>
        <w:tc>
          <w:tcPr>
            <w:tcW w:w="2340" w:type="dxa"/>
            <w:vAlign w:val="bottom"/>
            <w:gridSpan w:val="2"/>
          </w:tcPr>
          <w:p>
            <w:pPr>
              <w:jc w:val="center"/>
              <w:ind w:left="1980"/>
              <w:spacing w:after="0"/>
              <w:rPr>
                <w:sz w:val="20"/>
                <w:szCs w:val="20"/>
                <w:color w:val="auto"/>
              </w:rPr>
            </w:pPr>
            <w:r>
              <w:rPr>
                <w:rFonts w:ascii="Arial" w:cs="Arial" w:eastAsia="Arial" w:hAnsi="Arial"/>
                <w:sz w:val="16"/>
                <w:szCs w:val="16"/>
                <w:color w:val="auto"/>
                <w:w w:val="89"/>
              </w:rPr>
              <w:t>8</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2340" w:type="dxa"/>
            <w:vAlign w:val="bottom"/>
            <w:gridSpan w:val="2"/>
            <w:shd w:val="clear" w:color="auto" w:fill="CCEEFF"/>
          </w:tcPr>
          <w:p>
            <w:pPr>
              <w:jc w:val="center"/>
              <w:ind w:left="1980"/>
              <w:spacing w:after="0"/>
              <w:rPr>
                <w:sz w:val="20"/>
                <w:szCs w:val="20"/>
                <w:color w:val="auto"/>
              </w:rPr>
            </w:pPr>
            <w:r>
              <w:rPr>
                <w:rFonts w:ascii="Arial" w:cs="Arial" w:eastAsia="Arial" w:hAnsi="Arial"/>
                <w:sz w:val="16"/>
                <w:szCs w:val="16"/>
                <w:color w:val="auto"/>
                <w:w w:val="89"/>
              </w:rPr>
              <w:t>10</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Description of our Capital Stock</w:t>
            </w:r>
          </w:p>
        </w:tc>
        <w:tc>
          <w:tcPr>
            <w:tcW w:w="2340" w:type="dxa"/>
            <w:vAlign w:val="bottom"/>
            <w:gridSpan w:val="2"/>
          </w:tcPr>
          <w:p>
            <w:pPr>
              <w:jc w:val="center"/>
              <w:ind w:left="1980"/>
              <w:spacing w:after="0"/>
              <w:rPr>
                <w:sz w:val="20"/>
                <w:szCs w:val="20"/>
                <w:color w:val="auto"/>
              </w:rPr>
            </w:pPr>
            <w:r>
              <w:rPr>
                <w:rFonts w:ascii="Arial" w:cs="Arial" w:eastAsia="Arial" w:hAnsi="Arial"/>
                <w:sz w:val="16"/>
                <w:szCs w:val="16"/>
                <w:color w:val="auto"/>
                <w:w w:val="89"/>
              </w:rPr>
              <w:t>11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Warrants</w:t>
            </w:r>
          </w:p>
        </w:tc>
        <w:tc>
          <w:tcPr>
            <w:tcW w:w="2340" w:type="dxa"/>
            <w:vAlign w:val="bottom"/>
            <w:gridSpan w:val="2"/>
            <w:shd w:val="clear" w:color="auto" w:fill="CCEEFF"/>
          </w:tcPr>
          <w:p>
            <w:pPr>
              <w:jc w:val="center"/>
              <w:ind w:left="1980"/>
              <w:spacing w:after="0"/>
              <w:rPr>
                <w:sz w:val="20"/>
                <w:szCs w:val="20"/>
                <w:color w:val="auto"/>
              </w:rPr>
            </w:pPr>
            <w:r>
              <w:rPr>
                <w:rFonts w:ascii="Arial" w:cs="Arial" w:eastAsia="Arial" w:hAnsi="Arial"/>
                <w:sz w:val="16"/>
                <w:szCs w:val="16"/>
                <w:color w:val="auto"/>
                <w:w w:val="89"/>
              </w:rPr>
              <w:t>18</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Description of our Units</w:t>
            </w:r>
          </w:p>
        </w:tc>
        <w:tc>
          <w:tcPr>
            <w:tcW w:w="2340" w:type="dxa"/>
            <w:vAlign w:val="bottom"/>
            <w:gridSpan w:val="2"/>
          </w:tcPr>
          <w:p>
            <w:pPr>
              <w:jc w:val="center"/>
              <w:ind w:left="1980"/>
              <w:spacing w:after="0"/>
              <w:rPr>
                <w:sz w:val="20"/>
                <w:szCs w:val="20"/>
                <w:color w:val="auto"/>
              </w:rPr>
            </w:pPr>
            <w:r>
              <w:rPr>
                <w:rFonts w:ascii="Arial" w:cs="Arial" w:eastAsia="Arial" w:hAnsi="Arial"/>
                <w:sz w:val="16"/>
                <w:szCs w:val="16"/>
                <w:color w:val="auto"/>
                <w:w w:val="89"/>
              </w:rPr>
              <w:t>22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Certain Provisions of Nevada Law and our Articles of Incorporation and Bylaws</w:t>
            </w:r>
          </w:p>
        </w:tc>
        <w:tc>
          <w:tcPr>
            <w:tcW w:w="2340" w:type="dxa"/>
            <w:vAlign w:val="bottom"/>
            <w:gridSpan w:val="2"/>
            <w:shd w:val="clear" w:color="auto" w:fill="CCEEFF"/>
          </w:tcPr>
          <w:p>
            <w:pPr>
              <w:jc w:val="center"/>
              <w:ind w:left="1980"/>
              <w:spacing w:after="0"/>
              <w:rPr>
                <w:sz w:val="20"/>
                <w:szCs w:val="20"/>
                <w:color w:val="auto"/>
              </w:rPr>
            </w:pPr>
            <w:r>
              <w:rPr>
                <w:rFonts w:ascii="Arial" w:cs="Arial" w:eastAsia="Arial" w:hAnsi="Arial"/>
                <w:sz w:val="16"/>
                <w:szCs w:val="16"/>
                <w:color w:val="auto"/>
                <w:w w:val="89"/>
              </w:rPr>
              <w:t>23</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Plan of Distribution</w:t>
            </w:r>
          </w:p>
        </w:tc>
        <w:tc>
          <w:tcPr>
            <w:tcW w:w="2340" w:type="dxa"/>
            <w:vAlign w:val="bottom"/>
            <w:gridSpan w:val="2"/>
          </w:tcPr>
          <w:p>
            <w:pPr>
              <w:jc w:val="center"/>
              <w:ind w:left="1980"/>
              <w:spacing w:after="0"/>
              <w:rPr>
                <w:sz w:val="20"/>
                <w:szCs w:val="20"/>
                <w:color w:val="auto"/>
              </w:rPr>
            </w:pPr>
            <w:r>
              <w:rPr>
                <w:rFonts w:ascii="Arial" w:cs="Arial" w:eastAsia="Arial" w:hAnsi="Arial"/>
                <w:sz w:val="16"/>
                <w:szCs w:val="16"/>
                <w:color w:val="auto"/>
                <w:w w:val="89"/>
              </w:rPr>
              <w:t>26</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Legal Matters</w:t>
            </w:r>
          </w:p>
        </w:tc>
        <w:tc>
          <w:tcPr>
            <w:tcW w:w="2340" w:type="dxa"/>
            <w:vAlign w:val="bottom"/>
            <w:gridSpan w:val="2"/>
            <w:shd w:val="clear" w:color="auto" w:fill="CCEEFF"/>
          </w:tcPr>
          <w:p>
            <w:pPr>
              <w:jc w:val="center"/>
              <w:ind w:left="1980"/>
              <w:spacing w:after="0"/>
              <w:rPr>
                <w:sz w:val="20"/>
                <w:szCs w:val="20"/>
                <w:color w:val="auto"/>
              </w:rPr>
            </w:pPr>
            <w:r>
              <w:rPr>
                <w:rFonts w:ascii="Arial" w:cs="Arial" w:eastAsia="Arial" w:hAnsi="Arial"/>
                <w:sz w:val="16"/>
                <w:szCs w:val="16"/>
                <w:color w:val="auto"/>
                <w:w w:val="89"/>
              </w:rPr>
              <w:t>27</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Experts</w:t>
            </w:r>
          </w:p>
        </w:tc>
        <w:tc>
          <w:tcPr>
            <w:tcW w:w="2340" w:type="dxa"/>
            <w:vAlign w:val="bottom"/>
            <w:gridSpan w:val="2"/>
          </w:tcPr>
          <w:p>
            <w:pPr>
              <w:jc w:val="center"/>
              <w:ind w:left="1980"/>
              <w:spacing w:after="0"/>
              <w:rPr>
                <w:sz w:val="20"/>
                <w:szCs w:val="20"/>
                <w:color w:val="auto"/>
              </w:rPr>
            </w:pPr>
            <w:r>
              <w:rPr>
                <w:rFonts w:ascii="Arial" w:cs="Arial" w:eastAsia="Arial" w:hAnsi="Arial"/>
                <w:sz w:val="16"/>
                <w:szCs w:val="16"/>
                <w:color w:val="auto"/>
                <w:w w:val="89"/>
              </w:rPr>
              <w:t>27</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6"/>
                <w:szCs w:val="16"/>
                <w:color w:val="auto"/>
              </w:rPr>
              <w:t>Where You Can Find More Information</w:t>
            </w:r>
          </w:p>
        </w:tc>
        <w:tc>
          <w:tcPr>
            <w:tcW w:w="2340" w:type="dxa"/>
            <w:vAlign w:val="bottom"/>
            <w:gridSpan w:val="2"/>
            <w:shd w:val="clear" w:color="auto" w:fill="CCEEFF"/>
          </w:tcPr>
          <w:p>
            <w:pPr>
              <w:jc w:val="center"/>
              <w:ind w:left="1980"/>
              <w:spacing w:after="0"/>
              <w:rPr>
                <w:sz w:val="20"/>
                <w:szCs w:val="20"/>
                <w:color w:val="auto"/>
              </w:rPr>
            </w:pPr>
            <w:r>
              <w:rPr>
                <w:rFonts w:ascii="Arial" w:cs="Arial" w:eastAsia="Arial" w:hAnsi="Arial"/>
                <w:sz w:val="16"/>
                <w:szCs w:val="16"/>
                <w:color w:val="auto"/>
                <w:w w:val="89"/>
              </w:rPr>
              <w:t>27</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340" w:type="dxa"/>
            <w:vAlign w:val="bottom"/>
            <w:gridSpan w:val="2"/>
          </w:tcPr>
          <w:p>
            <w:pPr>
              <w:jc w:val="center"/>
              <w:ind w:left="1980"/>
              <w:spacing w:after="0"/>
              <w:rPr>
                <w:sz w:val="20"/>
                <w:szCs w:val="20"/>
                <w:color w:val="auto"/>
              </w:rPr>
            </w:pPr>
            <w:r>
              <w:rPr>
                <w:rFonts w:ascii="Arial" w:cs="Arial" w:eastAsia="Arial" w:hAnsi="Arial"/>
                <w:sz w:val="16"/>
                <w:szCs w:val="16"/>
                <w:color w:val="auto"/>
                <w:w w:val="89"/>
              </w:rPr>
              <w:t>28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3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ABOUT THIS PROSPECTUS SUPPLEMENT</w:t>
      </w:r>
    </w:p>
    <w:p>
      <w:pPr>
        <w:spacing w:after="0" w:line="204"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This document is in two parts. The first part is this prospectus supplement, which describes the specific terms of this offering and also adds to and updates information contained in the accompanying base prospectus and the documents incorporated by reference herein. The second part, the accompanying base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base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base prospectus—the statement in the document having the later date modifies or supersedes the earlier statement.</w:t>
      </w:r>
    </w:p>
    <w:p>
      <w:pPr>
        <w:spacing w:after="0" w:line="156"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We further note that 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You should rely only on the information contained in this prospectus or incorporated by reference herein. We have not authorized, and the underwriters have not authorized, anyone to provide you with information that is different. The information contained in this prospectus, or incorporated by reference herein, is accurate only as of the respective dates thereof, regardless of the time of delivery of this prospectus or of any sale of our securities. It is important for you to read and consider all information contained in this prospectus, including the documents incorporated by reference herein, in making your investment decision. You should also read and consider the information in the documents to which we have referred you in the sections titled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 in this prospectus.</w:t>
      </w:r>
    </w:p>
    <w:p>
      <w:pPr>
        <w:spacing w:after="0" w:line="138" w:lineRule="exact"/>
        <w:rPr>
          <w:sz w:val="20"/>
          <w:szCs w:val="20"/>
          <w:color w:val="auto"/>
        </w:rPr>
      </w:pPr>
    </w:p>
    <w:p>
      <w:pPr>
        <w:jc w:val="both"/>
        <w:ind w:right="140"/>
        <w:spacing w:after="0" w:line="292" w:lineRule="auto"/>
        <w:rPr>
          <w:sz w:val="20"/>
          <w:szCs w:val="20"/>
          <w:color w:val="auto"/>
        </w:rPr>
      </w:pPr>
      <w:r>
        <w:rPr>
          <w:rFonts w:ascii="Arial" w:cs="Arial" w:eastAsia="Arial" w:hAnsi="Arial"/>
          <w:sz w:val="14"/>
          <w:szCs w:val="14"/>
          <w:color w:val="auto"/>
        </w:rPr>
        <w:t>We are offering to sell, and seeking offers to buy, our securities only in jurisdictions where offers and sales are permitted. The distribution of this prospectus supplement and the offering of our securities in certain jurisdictions may be restricted by law. Persons outside the United States who come into possession of this prospectus supplement must inform themselves about, and observe any restrictions relating to, the offering of our securities and the distribution of this prospectus supplement outside the United States.</w:t>
      </w:r>
    </w:p>
    <w:p>
      <w:pPr>
        <w:ind w:right="460"/>
        <w:spacing w:after="0" w:line="293" w:lineRule="auto"/>
        <w:rPr>
          <w:sz w:val="20"/>
          <w:szCs w:val="20"/>
          <w:color w:val="auto"/>
        </w:rPr>
      </w:pPr>
      <w:r>
        <w:rPr>
          <w:rFonts w:ascii="Arial" w:cs="Arial" w:eastAsia="Arial" w:hAnsi="Arial"/>
          <w:sz w:val="15"/>
          <w:szCs w:val="15"/>
          <w:color w:val="auto"/>
        </w:rPr>
        <w:t>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42"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 xml:space="preserve">On June 6, 2023, we effected a reverse stock split of our issued and outstanding shares of common stock, at a ratio of 1-for-30 (the </w:t>
      </w:r>
      <w:r>
        <w:rPr>
          <w:rFonts w:ascii="Arial" w:cs="Arial" w:eastAsia="Arial" w:hAnsi="Arial"/>
          <w:sz w:val="16"/>
          <w:szCs w:val="16"/>
          <w:i w:val="1"/>
          <w:iCs w:val="1"/>
          <w:color w:val="auto"/>
        </w:rPr>
        <w:t>Reverse Split</w:t>
      </w:r>
      <w:r>
        <w:rPr>
          <w:rFonts w:ascii="Arial" w:cs="Arial" w:eastAsia="Arial" w:hAnsi="Arial"/>
          <w:sz w:val="16"/>
          <w:szCs w:val="16"/>
          <w:color w:val="auto"/>
        </w:rPr>
        <w:t>). All share and per share amounts in this prospectus supplement have been retroactively adjusted to account for the Reverse Split.</w:t>
      </w:r>
    </w:p>
    <w:p>
      <w:pPr>
        <w:spacing w:after="0" w:line="152" w:lineRule="exact"/>
        <w:rPr>
          <w:sz w:val="20"/>
          <w:szCs w:val="20"/>
          <w:color w:val="auto"/>
        </w:rPr>
      </w:pPr>
    </w:p>
    <w:p>
      <w:pPr>
        <w:ind w:right="480"/>
        <w:spacing w:after="0" w:line="276" w:lineRule="auto"/>
        <w:rPr>
          <w:sz w:val="20"/>
          <w:szCs w:val="20"/>
          <w:color w:val="auto"/>
        </w:rPr>
      </w:pPr>
      <w:r>
        <w:rPr>
          <w:rFonts w:ascii="Arial" w:cs="Arial" w:eastAsia="Arial" w:hAnsi="Arial"/>
          <w:sz w:val="16"/>
          <w:szCs w:val="16"/>
          <w:color w:val="auto"/>
        </w:rPr>
        <w:t>When we refer to “Vistagen,” “we,” “our,” “us” and the “Company” in this prospectus, we mean Vistagen Therapeutics, Inc., a Nevada corporation, and its consolidated subsidiaries, unless otherwise specified. When we refer to “you,” we mean the potential holders of the applicable series of securities.</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All service marks, trademarks and trade names appearing in this prospectus are the property of their respective owners. Solely for convenience, the trademarks and tradenames referred to in this prospectus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04"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This prospectus supplement, the accompanying base prospectus, the documents incorporated by reference herein and any free writing prospectus that we have authorized for use in connection with this offering contain forward-looking statements that involve substantial risks and uncertainties. All statements, other than statements of historical facts, contained in this prospectus supplement,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2" w:lineRule="exact"/>
        <w:rPr>
          <w:sz w:val="20"/>
          <w:szCs w:val="20"/>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w:t>
      </w:r>
    </w:p>
    <w:p>
      <w:pPr>
        <w:spacing w:after="0" w:line="199" w:lineRule="exact"/>
        <w:rPr>
          <w:rFonts w:ascii="Arial" w:cs="Arial" w:eastAsia="Arial" w:hAnsi="Arial"/>
          <w:sz w:val="16"/>
          <w:szCs w:val="16"/>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199" w:lineRule="exact"/>
        <w:rPr>
          <w:rFonts w:ascii="Arial" w:cs="Arial" w:eastAsia="Arial" w:hAnsi="Arial"/>
          <w:sz w:val="16"/>
          <w:szCs w:val="16"/>
          <w:color w:val="auto"/>
        </w:rPr>
      </w:pPr>
    </w:p>
    <w:p>
      <w:pPr>
        <w:ind w:left="780" w:right="160" w:hanging="389"/>
        <w:spacing w:after="0" w:line="307" w:lineRule="auto"/>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to develop and commercialize our product candidates, including, among other things, fasedienol (PH94B) as a potential acute treatment of anxiety for adults with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itruvone (PH10) as a potential treatment for adults with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and other depression-related disorders, PH80 for vasomotor symptoms (hot flashes) due to menopause, premenstrual dysphoric disorder (</w:t>
      </w:r>
      <w:r>
        <w:rPr>
          <w:rFonts w:ascii="Arial" w:cs="Arial" w:eastAsia="Arial" w:hAnsi="Arial"/>
          <w:sz w:val="14"/>
          <w:szCs w:val="14"/>
          <w:i w:val="1"/>
          <w:iCs w:val="1"/>
          <w:color w:val="auto"/>
        </w:rPr>
        <w:t>PMDD</w:t>
      </w:r>
      <w:r>
        <w:rPr>
          <w:rFonts w:ascii="Arial" w:cs="Arial" w:eastAsia="Arial" w:hAnsi="Arial"/>
          <w:sz w:val="14"/>
          <w:szCs w:val="14"/>
          <w:color w:val="auto"/>
        </w:rPr>
        <w:t>) or migraine, PH15 for cognition improvement, PH284 for appetite-related disorders or AV-101 as a potential treatment of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w:t>
      </w:r>
    </w:p>
    <w:p>
      <w:pPr>
        <w:spacing w:after="0" w:line="135" w:lineRule="exact"/>
        <w:rPr>
          <w:rFonts w:ascii="Arial" w:cs="Arial" w:eastAsia="Arial" w:hAnsi="Arial"/>
          <w:sz w:val="14"/>
          <w:szCs w:val="14"/>
          <w:color w:val="auto"/>
        </w:rPr>
      </w:pPr>
    </w:p>
    <w:p>
      <w:pPr>
        <w:ind w:left="780" w:right="100" w:hanging="389"/>
        <w:spacing w:after="0" w:line="27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studies in accordance with applicable regulatory requirements to advance the development of our product candidates and for those studies to generate positive results;</w:t>
      </w:r>
    </w:p>
    <w:p>
      <w:pPr>
        <w:spacing w:after="0" w:line="152" w:lineRule="exact"/>
        <w:rPr>
          <w:rFonts w:ascii="Arial" w:cs="Arial" w:eastAsia="Arial" w:hAnsi="Arial"/>
          <w:sz w:val="16"/>
          <w:szCs w:val="16"/>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regulatory and political developments in the United States and foreign countries;</w:t>
      </w:r>
    </w:p>
    <w:p>
      <w:pPr>
        <w:spacing w:after="0" w:line="199" w:lineRule="exact"/>
        <w:rPr>
          <w:rFonts w:ascii="Arial" w:cs="Arial" w:eastAsia="Arial" w:hAnsi="Arial"/>
          <w:sz w:val="16"/>
          <w:szCs w:val="16"/>
          <w:color w:val="auto"/>
        </w:rPr>
      </w:pPr>
    </w:p>
    <w:p>
      <w:pPr>
        <w:ind w:left="780" w:right="420" w:hanging="389"/>
        <w:spacing w:after="0" w:line="350" w:lineRule="auto"/>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05" w:lineRule="exact"/>
        <w:rPr>
          <w:rFonts w:ascii="Arial" w:cs="Arial" w:eastAsia="Arial" w:hAnsi="Arial"/>
          <w:sz w:val="14"/>
          <w:szCs w:val="14"/>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core assets, including product candidates;</w:t>
      </w:r>
    </w:p>
    <w:p>
      <w:pPr>
        <w:spacing w:after="0" w:line="199" w:lineRule="exact"/>
        <w:rPr>
          <w:rFonts w:ascii="Arial" w:cs="Arial" w:eastAsia="Arial" w:hAnsi="Arial"/>
          <w:sz w:val="16"/>
          <w:szCs w:val="16"/>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serve those markets;</w:t>
      </w:r>
    </w:p>
    <w:p>
      <w:pPr>
        <w:spacing w:after="0" w:line="199" w:lineRule="exact"/>
        <w:rPr>
          <w:rFonts w:ascii="Arial" w:cs="Arial" w:eastAsia="Arial" w:hAnsi="Arial"/>
          <w:sz w:val="16"/>
          <w:szCs w:val="16"/>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199" w:lineRule="exact"/>
        <w:rPr>
          <w:rFonts w:ascii="Arial" w:cs="Arial" w:eastAsia="Arial" w:hAnsi="Arial"/>
          <w:sz w:val="16"/>
          <w:szCs w:val="16"/>
          <w:color w:val="auto"/>
        </w:rPr>
      </w:pPr>
    </w:p>
    <w:p>
      <w:pPr>
        <w:ind w:left="780" w:right="300" w:hanging="389"/>
        <w:spacing w:after="0" w:line="27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52" w:lineRule="exact"/>
        <w:rPr>
          <w:rFonts w:ascii="Arial" w:cs="Arial" w:eastAsia="Arial" w:hAnsi="Arial"/>
          <w:sz w:val="16"/>
          <w:szCs w:val="16"/>
          <w:color w:val="auto"/>
        </w:rPr>
      </w:pPr>
    </w:p>
    <w:p>
      <w:pPr>
        <w:ind w:left="780" w:right="260" w:hanging="389"/>
        <w:spacing w:after="0" w:line="27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loss of key scientific, clinical and nonclinical development, regulatory, commercial, and/or management personnel, internally or from one of our third-party collaborators; contract manufacturing organizations, contract research organizations or other service providers</w:t>
      </w:r>
    </w:p>
    <w:p>
      <w:pPr>
        <w:spacing w:after="0" w:line="152" w:lineRule="exact"/>
        <w:rPr>
          <w:rFonts w:ascii="Arial" w:cs="Arial" w:eastAsia="Arial" w:hAnsi="Arial"/>
          <w:sz w:val="16"/>
          <w:szCs w:val="16"/>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continue as a going concern;</w:t>
      </w:r>
    </w:p>
    <w:p>
      <w:pPr>
        <w:spacing w:after="0" w:line="199" w:lineRule="exact"/>
        <w:rPr>
          <w:rFonts w:ascii="Arial" w:cs="Arial" w:eastAsia="Arial" w:hAnsi="Arial"/>
          <w:sz w:val="16"/>
          <w:szCs w:val="16"/>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99" w:lineRule="exact"/>
        <w:rPr>
          <w:rFonts w:ascii="Arial" w:cs="Arial" w:eastAsia="Arial" w:hAnsi="Arial"/>
          <w:sz w:val="16"/>
          <w:szCs w:val="16"/>
          <w:color w:val="auto"/>
        </w:rPr>
      </w:pPr>
    </w:p>
    <w:p>
      <w:pPr>
        <w:ind w:left="780" w:hanging="38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use of our existing cash and cash equivalents and the net proceeds from this offering, including the use thereof;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 w:name="page5"/>
    <w:bookmarkEnd w:id="4"/>
    <w:p>
      <w:pPr>
        <w:ind w:left="780" w:hanging="389"/>
        <w:spacing w:after="0" w:line="263"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2023, and those described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Quarterly Report on Form 10-Q for the quarter ended June 30, 2023, which risk factors are incorporated herein by reference.</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particularly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sections in this prospectus supplement that we believe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supplement to conform these statements to actual results or to changes in our expectations, except as required by law.</w:t>
      </w:r>
    </w:p>
    <w:p>
      <w:pPr>
        <w:spacing w:after="0" w:line="165" w:lineRule="exact"/>
        <w:rPr>
          <w:sz w:val="20"/>
          <w:szCs w:val="20"/>
          <w:color w:val="auto"/>
        </w:rPr>
      </w:pPr>
    </w:p>
    <w:p>
      <w:pPr>
        <w:ind w:right="140"/>
        <w:spacing w:after="0" w:line="281" w:lineRule="auto"/>
        <w:rPr>
          <w:sz w:val="20"/>
          <w:szCs w:val="20"/>
          <w:color w:val="auto"/>
        </w:rPr>
      </w:pPr>
      <w:r>
        <w:rPr>
          <w:rFonts w:ascii="Arial" w:cs="Arial" w:eastAsia="Arial" w:hAnsi="Arial"/>
          <w:sz w:val="15"/>
          <w:szCs w:val="15"/>
          <w:color w:val="auto"/>
        </w:rPr>
        <w:t>You should read this prospectus supplement and the documents that we have filed as exhibits to the registration statement of which this prospectus supplement is a part completely and with the understanding that our actual future results may be materially different from what we expect. We qualify all of the forward-looking statements in this prospectus supplement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198120</wp:posOffset>
            </wp:positionH>
            <wp:positionV relativeFrom="page">
              <wp:posOffset>223520</wp:posOffset>
            </wp:positionV>
            <wp:extent cx="7190740" cy="5789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0740" cy="5789930"/>
                    </a:xfrm>
                    <a:prstGeom prst="rect">
                      <a:avLst/>
                    </a:prstGeom>
                    <a:noFill/>
                  </pic:spPr>
                </pic:pic>
              </a:graphicData>
            </a:graphic>
          </wp:anchor>
        </w:drawing>
        <w:t>PROSPECTUS SUPPLEMENT SUMMARY</w:t>
      </w:r>
    </w:p>
    <w:p>
      <w:pPr>
        <w:spacing w:after="0" w:line="204" w:lineRule="exact"/>
        <w:rPr>
          <w:sz w:val="20"/>
          <w:szCs w:val="20"/>
          <w:color w:val="auto"/>
        </w:rPr>
      </w:pPr>
    </w:p>
    <w:p>
      <w:pPr>
        <w:jc w:val="both"/>
        <w:spacing w:after="0" w:line="307" w:lineRule="auto"/>
        <w:rPr>
          <w:sz w:val="20"/>
          <w:szCs w:val="20"/>
          <w:color w:val="auto"/>
        </w:rPr>
      </w:pPr>
      <w:r>
        <w:rPr>
          <w:rFonts w:ascii="Arial" w:cs="Arial" w:eastAsia="Arial" w:hAnsi="Arial"/>
          <w:sz w:val="14"/>
          <w:szCs w:val="14"/>
          <w:i w:val="1"/>
          <w:iCs w:val="1"/>
          <w:color w:val="auto"/>
        </w:rPr>
        <w:t>This summary highlights selected information about our company, this offering and information appearing elsewhere in this prospectus supplement that we have authorized for use in connection with this offering. This summary is not complete and does not contain all the information that you should consider before investing in our securities. You should read this entire prospectus supplement and the financial statements and the notes thereto incorporated by reference in this prospectus supplement and the other information that we incorporated by reference herein, including our Annual Report on Form 10-K and Quarterly Reports on Form 10-Q we file from time to time.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are a clinical-stage biopharmaceutical company aiming to transform the treatment landscape for individuals living with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We are advancing therapeutics with the potential to be faster-acting and with fewer side effects and safety concerns than those currently available. Our pipeline includes six clinical-stage product candidates, including five investigational agents belonging to a new class of drugs known as pherines, in addition to AV-101, an oral prodrug of an antagonist of the glycine site of the N-methyl-D-aspartate receptor (</w:t>
      </w:r>
      <w:r>
        <w:rPr>
          <w:rFonts w:ascii="Arial" w:cs="Arial" w:eastAsia="Arial" w:hAnsi="Arial"/>
          <w:sz w:val="16"/>
          <w:szCs w:val="16"/>
          <w:i w:val="1"/>
          <w:iCs w:val="1"/>
          <w:color w:val="auto"/>
        </w:rPr>
        <w:t>NMDAR</w:t>
      </w:r>
      <w:r>
        <w:rPr>
          <w:rFonts w:ascii="Arial" w:cs="Arial" w:eastAsia="Arial" w:hAnsi="Arial"/>
          <w:sz w:val="16"/>
          <w:szCs w:val="16"/>
          <w:color w:val="auto"/>
        </w:rPr>
        <w:t>). Pherines are neuroactive nasal sprays with an innovative mechanism of action (</w:t>
      </w:r>
      <w:r>
        <w:rPr>
          <w:rFonts w:ascii="Arial" w:cs="Arial" w:eastAsia="Arial" w:hAnsi="Arial"/>
          <w:sz w:val="16"/>
          <w:szCs w:val="16"/>
          <w:i w:val="1"/>
          <w:iCs w:val="1"/>
          <w:color w:val="auto"/>
        </w:rPr>
        <w:t>MOA</w:t>
      </w:r>
      <w:r>
        <w:rPr>
          <w:rFonts w:ascii="Arial" w:cs="Arial" w:eastAsia="Arial" w:hAnsi="Arial"/>
          <w:sz w:val="16"/>
          <w:szCs w:val="16"/>
          <w:color w:val="auto"/>
        </w:rPr>
        <w:t>). They activate chemosensory neurons in the nasal cavity which selectively modulate key neural circuits in the brain without requiring systemic absorption or direct activity on neurons in the brain. AV-101 inhibits the activity of the ion channel of the NMDAR but does not block it, unlike approved NMDAR antagonists having significant side effects.</w:t>
      </w:r>
    </w:p>
    <w:p>
      <w:pPr>
        <w:spacing w:after="0" w:line="171" w:lineRule="exact"/>
        <w:rPr>
          <w:sz w:val="20"/>
          <w:szCs w:val="20"/>
          <w:color w:val="auto"/>
        </w:rPr>
      </w:pPr>
    </w:p>
    <w:p>
      <w:pPr>
        <w:ind w:right="980"/>
        <w:spacing w:after="0" w:line="350" w:lineRule="auto"/>
        <w:rPr>
          <w:sz w:val="20"/>
          <w:szCs w:val="20"/>
          <w:color w:val="auto"/>
        </w:rPr>
      </w:pPr>
      <w:r>
        <w:rPr>
          <w:rFonts w:ascii="Arial" w:cs="Arial" w:eastAsia="Arial" w:hAnsi="Arial"/>
          <w:sz w:val="14"/>
          <w:szCs w:val="14"/>
          <w:color w:val="auto"/>
        </w:rPr>
        <w:t>Our goal is to develop and commercialize, on our own or with strategic partners, a broad range of innovative therapies for neuropsychiatric, neurological and neuroendocrine disorders where current treatment options are inadequate to meet the medical needs of millions of patients in the U.S. and worldwide.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Pherine Product Candidates</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Five of our product candidates – fasedienol (PH94B), itruvone (PH10), PH15, PH80 and PH284 – belong to a new class of drug candidates referred to as pherines. Pherines are odorless and tasteless neuroactive nasal sprays with innovative proposed mechanisms of action that are differentiated from current standard of care. When administered in low microgram level doses to selectively engage chemosensory neurons in the nasal cavity, pherines induce rapid-onset pharmacological and behavioral benefits without requiring systemic absorption or direct activity on neurons in the brain. Specifically, each of our pherine product candidates is a distinct chemical entity that selectively modulate, directly or indirectly, particular areas of the brain, such as the limbic amygdala, hypothalamus, hippocampus, locus ceruleus, and/or prefrontal cortex, which we believe are involved with the pathophysiology of multiple different CNS disorders. We believe each of our pherine product candidates has the potential to be a differentiated therapy for one or more CNS disorders, including social anxiety disorder (fasedienol), major depressive disorder (itruvone), cognitive impairment caused by mental fatigue (PH15), vasomotor syndrome (hot flashes) due to menopause, premenstrual dysphoric disorder and migraine headaches (PH80) and wasting syndrome and appetite stimulation (cachexia) (PH284), all without requiring apparent systemic absorption, binding to classic abuse liability receptors or other neurons in the brain or steroidal hormone receptors.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Fasedienol Nasal Spray for Social Anxiety Disorder (SAD)</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Fasedienol (PH94B) is a synthetic investigational pherine nasal spray from the androstane family in Phase 3 clinical development for the acute treatment of anxiety for adults with SAD. When administered intranasally in microgram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absorption or direct activity on neurons in the brain to achieve its rapid-onset and short duration of anxiolytic effects. We believe fasedienol has the potential to achieve these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73660</wp:posOffset>
            </wp:positionV>
            <wp:extent cx="71475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020"/>
          </w:cols>
          <w:pgMar w:left="460" w:top="674" w:right="41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198120</wp:posOffset>
            </wp:positionH>
            <wp:positionV relativeFrom="page">
              <wp:posOffset>223520</wp:posOffset>
            </wp:positionV>
            <wp:extent cx="7190740" cy="4815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740" cy="4815840"/>
                    </a:xfrm>
                    <a:prstGeom prst="rect">
                      <a:avLst/>
                    </a:prstGeom>
                    <a:noFill/>
                  </pic:spPr>
                </pic:pic>
              </a:graphicData>
            </a:graphic>
          </wp:anchor>
        </w:drawing>
        <w:t xml:space="preserve">The U.S. Food and Drug Administration (the </w:t>
      </w:r>
      <w:r>
        <w:rPr>
          <w:rFonts w:ascii="Arial" w:cs="Arial" w:eastAsia="Arial" w:hAnsi="Arial"/>
          <w:sz w:val="16"/>
          <w:szCs w:val="16"/>
          <w:i w:val="1"/>
          <w:iCs w:val="1"/>
          <w:color w:val="auto"/>
        </w:rPr>
        <w:t>FDA</w:t>
      </w:r>
      <w:r>
        <w:rPr>
          <w:rFonts w:ascii="Arial" w:cs="Arial" w:eastAsia="Arial" w:hAnsi="Arial"/>
          <w:sz w:val="16"/>
          <w:szCs w:val="16"/>
          <w:color w:val="auto"/>
        </w:rPr>
        <w:t>) has granted Fast Track designation for the development of fasedienol as a potential treatment for SAD.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Fasedienol PALISADE Phase 3 Program</w:t>
      </w:r>
    </w:p>
    <w:p>
      <w:pPr>
        <w:spacing w:after="0" w:line="204"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i w:val="1"/>
          <w:iCs w:val="1"/>
          <w:color w:val="auto"/>
        </w:rPr>
        <w:t xml:space="preserve">PALISADE-1. </w:t>
      </w:r>
      <w:r>
        <w:rPr>
          <w:rFonts w:ascii="Arial" w:cs="Arial" w:eastAsia="Arial" w:hAnsi="Arial"/>
          <w:sz w:val="14"/>
          <w:szCs w:val="14"/>
          <w:color w:val="auto"/>
        </w:rPr>
        <w:t>In May 2021, during the acute phase of the COVID-19 pandemic, we initiated PALISADE-1, a U.S. multi-center, randomized, double-blind, placebo-controlled, Phase 3 clinical study (</w:t>
      </w:r>
      <w:r>
        <w:rPr>
          <w:rFonts w:ascii="Arial" w:cs="Arial" w:eastAsia="Arial" w:hAnsi="Arial"/>
          <w:sz w:val="14"/>
          <w:szCs w:val="14"/>
          <w:i w:val="1"/>
          <w:iCs w:val="1"/>
          <w:color w:val="auto"/>
        </w:rPr>
        <w:t>PALISADE-1</w:t>
      </w:r>
      <w:r>
        <w:rPr>
          <w:rFonts w:ascii="Arial" w:cs="Arial" w:eastAsia="Arial" w:hAnsi="Arial"/>
          <w:sz w:val="14"/>
          <w:szCs w:val="14"/>
          <w:color w:val="auto"/>
        </w:rPr>
        <w:t>) designed to evaluate the efficacy, safety, and tolerability of the acute administration of fasedienol to relieve anxiety symptoms in adult patients with SAD during a simulated anxiety-provoking public speaking challenge, as measured using the patient-reported Subjective Units of Distress Scale (</w:t>
      </w:r>
      <w:r>
        <w:rPr>
          <w:rFonts w:ascii="Arial" w:cs="Arial" w:eastAsia="Arial" w:hAnsi="Arial"/>
          <w:sz w:val="14"/>
          <w:szCs w:val="14"/>
          <w:i w:val="1"/>
          <w:iCs w:val="1"/>
          <w:color w:val="auto"/>
        </w:rPr>
        <w:t>SUDS</w:t>
      </w:r>
      <w:r>
        <w:rPr>
          <w:rFonts w:ascii="Arial" w:cs="Arial" w:eastAsia="Arial" w:hAnsi="Arial"/>
          <w:sz w:val="14"/>
          <w:szCs w:val="14"/>
          <w:color w:val="auto"/>
        </w:rPr>
        <w:t>). Enrolled patients had a diagnosis of SAD and demonstrated marked social anxiety at enrollment, as evidenced by a baseline score on the Liebowitz Social Anxiety Scale (</w:t>
      </w:r>
      <w:r>
        <w:rPr>
          <w:rFonts w:ascii="Arial" w:cs="Arial" w:eastAsia="Arial" w:hAnsi="Arial"/>
          <w:sz w:val="14"/>
          <w:szCs w:val="14"/>
          <w:i w:val="1"/>
          <w:iCs w:val="1"/>
          <w:color w:val="auto"/>
        </w:rPr>
        <w:t>LSAS</w:t>
      </w:r>
      <w:r>
        <w:rPr>
          <w:rFonts w:ascii="Arial" w:cs="Arial" w:eastAsia="Arial" w:hAnsi="Arial"/>
          <w:sz w:val="14"/>
          <w:szCs w:val="14"/>
          <w:color w:val="auto"/>
        </w:rPr>
        <w:t>) of at least 70. We announced top line results from PALISADE-1 in July 2022. Although the safety and tolerability of fasedienol during PALISADE-1 was favorable and consistent with results from previously reported clinical trials, PALISADE-1 did not achieve its primary efficacy endpoint, as measured by change from baseline using the SUDS as compared to placebo. We believe the unexpected outcome in PALISADE-1, which was inconsistent with positive placebo-controlled Phase 2 studies and the statistically significant results of our PALISADE-2 Phase 3 clinical trial, may have been due to the extraordinary multifaceted impact of the acute phase of the COVID-19 pandemic, which introduced into the typical study dynamic significant and unprecedented logistical challenges and systemic variability.</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5"/>
          <w:szCs w:val="15"/>
          <w:i w:val="1"/>
          <w:iCs w:val="1"/>
          <w:color w:val="auto"/>
        </w:rPr>
        <w:t xml:space="preserve">PALISADE Open Label Study. </w:t>
      </w:r>
      <w:r>
        <w:rPr>
          <w:rFonts w:ascii="Arial" w:cs="Arial" w:eastAsia="Arial" w:hAnsi="Arial"/>
          <w:sz w:val="15"/>
          <w:szCs w:val="15"/>
          <w:color w:val="auto"/>
        </w:rPr>
        <w:t>The PALISADE Open Label Study (</w:t>
      </w:r>
      <w:r>
        <w:rPr>
          <w:rFonts w:ascii="Arial" w:cs="Arial" w:eastAsia="Arial" w:hAnsi="Arial"/>
          <w:sz w:val="15"/>
          <w:szCs w:val="15"/>
          <w:i w:val="1"/>
          <w:iCs w:val="1"/>
          <w:color w:val="auto"/>
        </w:rPr>
        <w:t>PALISADE OLS</w:t>
      </w:r>
      <w:r>
        <w:rPr>
          <w:rFonts w:ascii="Arial" w:cs="Arial" w:eastAsia="Arial" w:hAnsi="Arial"/>
          <w:sz w:val="15"/>
          <w:szCs w:val="15"/>
          <w:color w:val="auto"/>
        </w:rPr>
        <w:t>) was a large Phase 3, open-label safety trial conducted in a real world setting and</w:t>
      </w:r>
      <w:r>
        <w:rPr>
          <w:rFonts w:ascii="Arial" w:cs="Arial" w:eastAsia="Arial" w:hAnsi="Arial"/>
          <w:sz w:val="15"/>
          <w:szCs w:val="15"/>
          <w:i w:val="1"/>
          <w:iCs w:val="1"/>
          <w:color w:val="auto"/>
        </w:rPr>
        <w:t xml:space="preserve"> </w:t>
      </w:r>
      <w:r>
        <w:rPr>
          <w:rFonts w:ascii="Arial" w:cs="Arial" w:eastAsia="Arial" w:hAnsi="Arial"/>
          <w:sz w:val="15"/>
          <w:szCs w:val="15"/>
          <w:color w:val="auto"/>
        </w:rPr>
        <w:t>designed to evaluate the long-term safety and tolerability of multiple, patient-tailored, of fasedienol in adults with SAD when they experienced social and performance stressors in their daily lives. Long-term administration of 3.2 µg of fasedienol, as-needed, up to four times per day, was generally safe and well-tolerated, with no new safety findings or trends identified, regardless of the number of doses administered by each subject (safety population: n=481). Headache was the most common treatment-emergent adverse event (</w:t>
      </w:r>
      <w:r>
        <w:rPr>
          <w:rFonts w:ascii="Arial" w:cs="Arial" w:eastAsia="Arial" w:hAnsi="Arial"/>
          <w:sz w:val="15"/>
          <w:szCs w:val="15"/>
          <w:i w:val="1"/>
          <w:iCs w:val="1"/>
          <w:color w:val="auto"/>
        </w:rPr>
        <w:t>TEAE</w:t>
      </w:r>
      <w:r>
        <w:rPr>
          <w:rFonts w:ascii="Arial" w:cs="Arial" w:eastAsia="Arial" w:hAnsi="Arial"/>
          <w:sz w:val="15"/>
          <w:szCs w:val="15"/>
          <w:color w:val="auto"/>
        </w:rPr>
        <w:t>) (17.0%); no other TEAE occurred in more than 5.0% of subjects, except for COVID-19 TEAEs (11.4%), which were not considered related to fasedienol. Over 30,000 doses of fasedienol were administered by patients during this study.</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5"/>
          <w:szCs w:val="15"/>
          <w:i w:val="1"/>
          <w:iCs w:val="1"/>
          <w:color w:val="auto"/>
        </w:rPr>
        <w:t xml:space="preserve">PALISADE-2. </w:t>
      </w:r>
      <w:r>
        <w:rPr>
          <w:rFonts w:ascii="Arial" w:cs="Arial" w:eastAsia="Arial" w:hAnsi="Arial"/>
          <w:sz w:val="15"/>
          <w:szCs w:val="15"/>
          <w:color w:val="auto"/>
        </w:rPr>
        <w:t>In October 2021, near the end of the acute phase of the COVID-19 pandemic, we initiated our PALISADE-2 Phase 3 clinical trial (</w:t>
      </w:r>
      <w:r>
        <w:rPr>
          <w:rFonts w:ascii="Arial" w:cs="Arial" w:eastAsia="Arial" w:hAnsi="Arial"/>
          <w:sz w:val="15"/>
          <w:szCs w:val="15"/>
          <w:i w:val="1"/>
          <w:iCs w:val="1"/>
          <w:color w:val="auto"/>
        </w:rPr>
        <w:t>PALISADE-2</w:t>
      </w:r>
      <w:r>
        <w:rPr>
          <w:rFonts w:ascii="Arial" w:cs="Arial" w:eastAsia="Arial" w:hAnsi="Arial"/>
          <w:sz w:val="15"/>
          <w:szCs w:val="15"/>
          <w:color w:val="auto"/>
        </w:rPr>
        <w:t>). Like</w:t>
      </w:r>
      <w:r>
        <w:rPr>
          <w:rFonts w:ascii="Arial" w:cs="Arial" w:eastAsia="Arial" w:hAnsi="Arial"/>
          <w:sz w:val="15"/>
          <w:szCs w:val="15"/>
          <w:i w:val="1"/>
          <w:iCs w:val="1"/>
          <w:color w:val="auto"/>
        </w:rPr>
        <w:t xml:space="preserve"> </w:t>
      </w:r>
      <w:r>
        <w:rPr>
          <w:rFonts w:ascii="Arial" w:cs="Arial" w:eastAsia="Arial" w:hAnsi="Arial"/>
          <w:sz w:val="15"/>
          <w:szCs w:val="15"/>
          <w:color w:val="auto"/>
        </w:rPr>
        <w:t>PALISADE-1, PALISADE-2 was a U.S. multi-center, randomized, double-blind, placebo-controlled, Phase 3 clinical study (</w:t>
      </w:r>
      <w:r>
        <w:rPr>
          <w:rFonts w:ascii="Arial" w:cs="Arial" w:eastAsia="Arial" w:hAnsi="Arial"/>
          <w:sz w:val="15"/>
          <w:szCs w:val="15"/>
          <w:i w:val="1"/>
          <w:iCs w:val="1"/>
          <w:color w:val="auto"/>
        </w:rPr>
        <w:t>PALISADE-1</w:t>
      </w:r>
      <w:r>
        <w:rPr>
          <w:rFonts w:ascii="Arial" w:cs="Arial" w:eastAsia="Arial" w:hAnsi="Arial"/>
          <w:sz w:val="15"/>
          <w:szCs w:val="15"/>
          <w:color w:val="auto"/>
        </w:rPr>
        <w:t>) designed to evaluate the efficacy, safety, and tolerability of the acute administration of fasedienol to relieve anxiety symptoms in adult patients with SAD during a simulated anxiety-provoking public speaking challenge, as measured using the patient-reported SUDS. Enrolled patients had a diagnosis of SAD and demonstrated marked social anxiety at enrollment, as evidenced by a baseline score on the LSAS of at least 70. After receiving top-line results from PALISADE-1 in July 2022, we paused ongoing recruitment and enrollment in PALISADE-2 to enable independent third-party biostatisticians to conduct an interim analysis of available data from the 141 subjects who were randomized up to the date it was paused. In September 2022, the independent third-party biostatisticians who conducted the interim analysis recommended that we continue PALISADE-2 as originally planned, without revealing to us any of the underlying data they had reviewed. However, for business reasons, we elected to extend our pause of PALISADE-2 pending our assessment of the then impending top-line results of the PALISADE OLS, the results of two SAD public speaking challenge studies, each with SUDS as the primary efficacy endpoint, being conducted by two peer companies, discussions with the FDA regarding the continuing acceptability of the LSAS as a primary efficacy endpoint in Phase 3 studies for the treatment of SAD, as well as a comprehensive assessment of the expense, time, statistical and regulatory implications and logistical challenges associated with resuming PALISADE-2. Following positive results from our PALISADE OLS, after learning that the two SAD public speaking challenge studies conducted by peer companies did not meet their primary efficacy endpoint as measured by the SUDS, and after positive discussions with the FDA in early 2023 regarding the continuing validity and reliability of the LSAS as a primary efficacy endpoint, for business reasons, we closed PALISADE-2 with 141 completed subjects rather than resume the study.</w:t>
      </w: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73660</wp:posOffset>
            </wp:positionV>
            <wp:extent cx="71475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020"/>
          </w:cols>
          <w:pgMar w:left="460" w:top="678" w:right="419" w:bottom="1440" w:gutter="0" w:footer="0" w:header="0"/>
        </w:sectPr>
      </w:pPr>
    </w:p>
    <w:bookmarkStart w:id="7" w:name="page8"/>
    <w:bookmarkEnd w:id="7"/>
    <w:p>
      <w:pPr>
        <w:spacing w:after="0" w:line="29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198120</wp:posOffset>
            </wp:positionH>
            <wp:positionV relativeFrom="page">
              <wp:posOffset>223520</wp:posOffset>
            </wp:positionV>
            <wp:extent cx="7190740" cy="4937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740" cy="4937760"/>
                    </a:xfrm>
                    <a:prstGeom prst="rect">
                      <a:avLst/>
                    </a:prstGeom>
                    <a:noFill/>
                  </pic:spPr>
                </pic:pic>
              </a:graphicData>
            </a:graphic>
          </wp:anchor>
        </w:drawing>
        <w:t>In early August 2023, we received and reported positive topline results from PALISADE-2 based on the 141 subjects who completed the trial. Our PALISADE-2 Phase 3 trial met its primary efficacy endpoint, the difference in mean SUDS scores during the public speaking challenge at baseline (Visit 2) and treatment (Visit 3) for subjects treated with fasedienol versus placebo at Visit 3. Fasedienol-treated patients demonstrated a greater mean change from baseline (least-squares (</w:t>
      </w:r>
      <w:r>
        <w:rPr>
          <w:rFonts w:ascii="Arial" w:cs="Arial" w:eastAsia="Arial" w:hAnsi="Arial"/>
          <w:sz w:val="14"/>
          <w:szCs w:val="14"/>
          <w:i w:val="1"/>
          <w:iCs w:val="1"/>
          <w:color w:val="auto"/>
        </w:rPr>
        <w:t>LS</w:t>
      </w:r>
      <w:r>
        <w:rPr>
          <w:rFonts w:ascii="Arial" w:cs="Arial" w:eastAsia="Arial" w:hAnsi="Arial"/>
          <w:sz w:val="14"/>
          <w:szCs w:val="14"/>
          <w:color w:val="auto"/>
        </w:rPr>
        <w:t>)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CGI-I. Responders were identified as those who were rated ‘very much less anxious’ or ‘much less anxious’ and 37.7% of fasedienol-treated patients were rated as responders, as compared to 21.4% of those treated with placebo (p=0.033). The trial also met the important exploratory endpoint of the difference in the proportion of patient-assessed responders between fasedienol and placebo as measured by the PGI-C. Responders were identified as those who self-rated ‘very much less anxious’ or ‘much less anxious’ and 40.6% of fasedienol-treated patients were rated as responders, as compared to 18.6% of those treated with placebo (p=0.003). In addition, our PALISADE-2 trial also met the exploratory endpoint of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and the adverse event (</w:t>
      </w:r>
      <w:r>
        <w:rPr>
          <w:rFonts w:ascii="Arial" w:cs="Arial" w:eastAsia="Arial" w:hAnsi="Arial"/>
          <w:sz w:val="14"/>
          <w:szCs w:val="14"/>
          <w:i w:val="1"/>
          <w:iCs w:val="1"/>
          <w:color w:val="auto"/>
        </w:rPr>
        <w:t>AE</w:t>
      </w:r>
      <w:r>
        <w:rPr>
          <w:rFonts w:ascii="Arial" w:cs="Arial" w:eastAsia="Arial" w:hAnsi="Arial"/>
          <w:sz w:val="14"/>
          <w:szCs w:val="14"/>
          <w:color w:val="auto"/>
        </w:rPr>
        <w:t>) profiles were comparable between fasedienol and placebo. Overall, no TEAEs, except for pyrexia in the placebo group (2.49%), was more prevalent than 2.0%.</w:t>
      </w:r>
    </w:p>
    <w:p>
      <w:pPr>
        <w:spacing w:after="0" w:line="148"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i w:val="1"/>
          <w:iCs w:val="1"/>
          <w:color w:val="auto"/>
        </w:rPr>
        <w:t xml:space="preserve">Planned Fasedienol NDA-Enabling Development Program. </w:t>
      </w:r>
      <w:r>
        <w:rPr>
          <w:rFonts w:ascii="Arial" w:cs="Arial" w:eastAsia="Arial" w:hAnsi="Arial"/>
          <w:sz w:val="16"/>
          <w:szCs w:val="16"/>
          <w:color w:val="auto"/>
        </w:rPr>
        <w:t>We believe utilizing a public speaking challenge study design similar to PALISADE-2 provides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 path forward to advance the clinical development of fasedienol as a potential acute treatment of anxiety for adult patients with SAD. Our PALISADE Phase 3 clinical development program is therefore intended to build on the positive top line results observed from our PALISADE-2 Phase 3 trial in SAD to enable a potential submission of a fasedienol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w:t>
      </w:r>
    </w:p>
    <w:p>
      <w:pPr>
        <w:spacing w:after="0" w:line="165"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To complement the positive topline results from PALISADE-2, we plan to launch two similar Phase 3 clinical trials in 2024, PALISADE-3 in the first half of 2024 and PALISADE-4 in the second half of 2024. Like PALISADE-2, both PALISADE-3 and PALISADE-4 will be multi-center, randomized, double-blind, placebo-controlled, Phase 3 clinical trials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 Also, like PALISADE-2, both PALISADE-3 and PALISADE-4 will have an open-label extension for a period of up to 12-months. If successful, we believe either PALISADE-3 or PALISADE-4, together with PALISADE-2, may establish substantial evidence of effectiveness of fasedienol in support of a potential fasedienol NDA submission for the acute treatment of anxiety in adults with SAD with the FDA in the first half of 2026.</w:t>
      </w:r>
    </w:p>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6"/>
          <w:szCs w:val="16"/>
          <w:color w:val="auto"/>
        </w:rPr>
        <w:t>We are also planning to initiate a PALISADE Phase 2 re-dosing clinical trial (</w:t>
      </w:r>
      <w:r>
        <w:rPr>
          <w:rFonts w:ascii="Arial" w:cs="Arial" w:eastAsia="Arial" w:hAnsi="Arial"/>
          <w:sz w:val="16"/>
          <w:szCs w:val="16"/>
          <w:i w:val="1"/>
          <w:iCs w:val="1"/>
          <w:color w:val="auto"/>
        </w:rPr>
        <w:t>PALISADE Re-Dosing Trial</w:t>
      </w:r>
      <w:r>
        <w:rPr>
          <w:rFonts w:ascii="Arial" w:cs="Arial" w:eastAsia="Arial" w:hAnsi="Arial"/>
          <w:sz w:val="16"/>
          <w:szCs w:val="16"/>
          <w:color w:val="auto"/>
        </w:rPr>
        <w:t>) in the second half of 2024. The PALISADE Re-Dosing Trial will be a multi-center, randomized, double-blind, placebo-controlled, clinical trial designed to evaluate repeated dosing of fasedienol in adult patients with SAD during a single simulated, anxiety-provoking public speaking challenge in a clinical setting. The PALISADE Re-Dosing Trial will consist of three different dosing arms, with an open-label extension for a period of up to 12-months.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color w:val="auto"/>
        </w:rPr>
        <w:t>As a potential future expansion of our PALISADE Phase 3 program for fasedienol in SAD, we may conduct additional clinical trials of fasedienol in adult and/or pediatric populations in a real-world setting over a multiple week period, with the LSAS for adult subjects or the LSAS-CA, which is the version of the LSAS we believe is suitable for use with subjects who are children or adolescents, as the primary efficacy endpoint. If conducted, these studies will be part of our potential FEARLESS program for fasedienol and will be designed to build on results from a previous randomized, double-blind, placebo-controlled, Phase 2 real-world crossover study of fasedienol in SAD and exploratory efficacy observations measured by the LSAS in a large cohort of subjects in our PALISADE OLS.</w:t>
      </w: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73660</wp:posOffset>
            </wp:positionV>
            <wp:extent cx="71475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020"/>
          </w:cols>
          <w:pgMar w:left="460" w:top="678" w:right="41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198120</wp:posOffset>
            </wp:positionH>
            <wp:positionV relativeFrom="page">
              <wp:posOffset>223520</wp:posOffset>
            </wp:positionV>
            <wp:extent cx="7190740" cy="7616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740" cy="7616825"/>
                    </a:xfrm>
                    <a:prstGeom prst="rect">
                      <a:avLst/>
                    </a:prstGeom>
                    <a:noFill/>
                  </pic:spPr>
                </pic:pic>
              </a:graphicData>
            </a:graphic>
          </wp:anchor>
        </w:drawing>
        <w:t>Initiation of all planned clinical trials of fasedienol remains subject to FDA feedback of our proposed study designs.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Itruvone Nasal Spray for Major Depressive Disorder</w:t>
      </w:r>
    </w:p>
    <w:p>
      <w:pPr>
        <w:spacing w:after="0" w:line="200"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Unlike all currently approved oral antidepressants (</w:t>
      </w:r>
      <w:r>
        <w:rPr>
          <w:rFonts w:ascii="Arial" w:cs="Arial" w:eastAsia="Arial" w:hAnsi="Arial"/>
          <w:sz w:val="14"/>
          <w:szCs w:val="14"/>
          <w:i w:val="1"/>
          <w:iCs w:val="1"/>
          <w:color w:val="auto"/>
        </w:rPr>
        <w:t>ADs</w:t>
      </w:r>
      <w:r>
        <w:rPr>
          <w:rFonts w:ascii="Arial" w:cs="Arial" w:eastAsia="Arial" w:hAnsi="Arial"/>
          <w:sz w:val="14"/>
          <w:szCs w:val="14"/>
          <w:color w:val="auto"/>
        </w:rPr>
        <w:t>) and rapid-onset ketamine-based therapy, we believe itruvone does not require systemic absorption or direct activity on neurons in the brain to produce antidepressant effects without the side effects and safety concerns that may be associated with current antidepressants therapies.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June 2023, we completed a small U.S. single-center, randomized, double-blinded, placebo-controlled Phase 1 clinical trial to investigate the safety and tolerability of itruvone in healthy adult subjects. The trial was designed to confirm the favorable safety profile of itruvone established in three previous clinical trials conducted in Mexico, including a positive randomized, double-blind, placebo-controlled Phase 2A study of itruvone in MDD, and facilitate our plan for Phase 2B clinical development of itruvone in the U.S. as a fast-acting monotherapy treatment for MDD. Positive data from this Phase 1 trial demonstrated that there were no reported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or discontinuations due to adverse events in the trial. Overall, itruvone was well-tolerated and continued to demonstrate a favorable safety profile.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FDA has granted Fast Track designation for the development of itruvone as a potential treatment for MDD.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PH80 Nasal Spray for Women</w:t>
      </w:r>
      <w:r>
        <w:rPr>
          <w:rFonts w:ascii="Arial" w:cs="Arial" w:eastAsia="Arial" w:hAnsi="Arial"/>
          <w:sz w:val="16"/>
          <w:szCs w:val="16"/>
          <w:color w:val="auto"/>
        </w:rPr>
        <w:t>’</w:t>
      </w:r>
      <w:r>
        <w:rPr>
          <w:rFonts w:ascii="Arial" w:cs="Arial" w:eastAsia="Arial" w:hAnsi="Arial"/>
          <w:sz w:val="16"/>
          <w:szCs w:val="16"/>
          <w:b w:val="1"/>
          <w:bCs w:val="1"/>
          <w:i w:val="1"/>
          <w:iCs w:val="1"/>
          <w:color w:val="auto"/>
        </w:rPr>
        <w:t>s Health Disorders and Migraine</w:t>
      </w:r>
    </w:p>
    <w:p>
      <w:pPr>
        <w:spacing w:after="0" w:line="20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PH80 is an odorless, tasteless synthetic investigational pherine nasal spray with a novel, rapid-onset potential MOA that is fundamentally differentiated from the MOA of all currently approved treatments for vasomotor symptoms (hot flashes) due to menopause, premenstrual dysphoric disorder (</w:t>
      </w:r>
      <w:r>
        <w:rPr>
          <w:rFonts w:ascii="Arial" w:cs="Arial" w:eastAsia="Arial" w:hAnsi="Arial"/>
          <w:sz w:val="15"/>
          <w:szCs w:val="15"/>
          <w:i w:val="1"/>
          <w:iCs w:val="1"/>
          <w:color w:val="auto"/>
        </w:rPr>
        <w:t>PMDD</w:t>
      </w:r>
      <w:r>
        <w:rPr>
          <w:rFonts w:ascii="Arial" w:cs="Arial" w:eastAsia="Arial" w:hAnsi="Arial"/>
          <w:sz w:val="15"/>
          <w:szCs w:val="15"/>
          <w:color w:val="auto"/>
        </w:rPr>
        <w:t>), and other women’s health disorders and migraine headaches. PH80 activates chemosensory neurons in the nasal cavity connected to neural circuits that modulate the basal forebrain associated with the control of body temperature. Positive results from a previously unpublished exploratory randomized, double-blind, placebo-controlled Phase 2A study of PH80 for the acute treatment of vasomotor symptoms (hot flashes) due to menopause. The Phase 2A study demonstrated a statistically significant reduction in the daily number of menopausal hot flashes compared to placebo at the end of the first week of treatment (p&lt;.001), and the improvement was maintained through each treatment week until the end of the four-week treatment period. We are preparing to conduct studies necessary to submit a U.S. IND for Phase 2B clinical development of PH80 in the U.S. for the treatment of patients with moderate to severe vasomotor symptoms (hot flashes) due to menopause.</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We recently reported positive results from a previously unreported randomized, double-blind, placebo-controlled Phase 2A clinical study of PH80 in an exploratory Phase 2A study for acute management of the symptoms of PMDD, including negative mood and physical and behavioral symptoms, in subjects with a regular menstrual cycle and at least a one-year history of PMDD. This Phase 2A study demonstrated a statistically significant improvement versus placebo in acute management of the symptoms of PMDD, including negative mood and physical and behavioral symptoms. The initial study visit occurred after the onset of symptoms. All subjects were administered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Arial" w:cs="Arial" w:eastAsia="Arial" w:hAnsi="Arial"/>
          <w:sz w:val="15"/>
          <w:szCs w:val="15"/>
          <w:i w:val="1"/>
          <w:iCs w:val="1"/>
          <w:color w:val="auto"/>
        </w:rPr>
        <w:t>DSR</w:t>
      </w:r>
      <w:r>
        <w:rPr>
          <w:rFonts w:ascii="Arial" w:cs="Arial" w:eastAsia="Arial" w:hAnsi="Arial"/>
          <w:sz w:val="15"/>
          <w:szCs w:val="15"/>
          <w:color w:val="auto"/>
        </w:rPr>
        <w:t>) as early as Day 4 and continuing to Day 6. PH80 was well-tolerated with no SAEs. The most common SAE was headache, reported by 17% in the placebo group and 7% in the PH80 group. No other treatment-emergent SAE occurred more than once per subject.</w:t>
      </w:r>
    </w:p>
    <w:p>
      <w:pPr>
        <w:spacing w:after="0" w:line="15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In addition, PH80 initiates neural impulses in the olfactory bulb transmitted by pathways that affect the function of multiple structures in the brain, including the amygdala and hypothalamus, that have been linked to the pathology of migraine.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PH15 Nasal Spray for Cognitive and Psychomotor Performance and Improvement</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PH15 is an odorless, tasteless synthetic investigational pherine nasal spray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path forward for PH15, including planning for studies we believe will be necessary to submit a U.S. IND for further Phase 2 clinical development of PH15 in the U.S., on our own or with collaborators, including the appropriate indication for demonstrating improvement of cognitive function.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PH284 Nasal Spray for Cachexia</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PH284 is an odorless, tasteless synthetic investigational pherine nasal spray with a novel, rapid-onset potential MOA that is fundamentally differentiated from the MOA of all currently approved treatments for the loss of appetite associated with chronic disorders such as cancer.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path forward for PH284, including planning for studies we believe will be necessary to submit a U.S. IND for further Phase 2 clinical development of PH15 for the treatment of cachexia, on our own or with collaborators, including the appropriate patient populations for demonstrating an increase in appetite and weight gain.</w:t>
      </w: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73660</wp:posOffset>
            </wp:positionV>
            <wp:extent cx="71475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020"/>
          </w:cols>
          <w:pgMar w:left="460" w:top="678" w:right="4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198120</wp:posOffset>
            </wp:positionH>
            <wp:positionV relativeFrom="page">
              <wp:posOffset>223520</wp:posOffset>
            </wp:positionV>
            <wp:extent cx="7190740" cy="5424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740" cy="5424805"/>
                    </a:xfrm>
                    <a:prstGeom prst="rect">
                      <a:avLst/>
                    </a:prstGeom>
                    <a:noFill/>
                  </pic:spPr>
                </pic:pic>
              </a:graphicData>
            </a:graphic>
          </wp:anchor>
        </w:drawing>
        <w:t>AV-101 for Neurological Disorders</w:t>
      </w:r>
    </w:p>
    <w:p>
      <w:pPr>
        <w:spacing w:after="0" w:line="200"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AV-101 (4-Cl-KYN) is a novel, oral prodrug that targets the NMDAR (N-methyl-D-aspartate receptor), an ionotropic glutamate receptor in the brain. Abnormal NMDAR function is associated with numerous CNS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w:t>
      </w:r>
      <w:r>
        <w:rPr>
          <w:rFonts w:ascii="Arial" w:cs="Arial" w:eastAsia="Arial" w:hAnsi="Arial"/>
          <w:sz w:val="15"/>
          <w:szCs w:val="15"/>
          <w:i w:val="1"/>
          <w:iCs w:val="1"/>
          <w:color w:val="auto"/>
        </w:rPr>
        <w:t>PK</w:t>
      </w:r>
      <w:r>
        <w:rPr>
          <w:rFonts w:ascii="Arial" w:cs="Arial" w:eastAsia="Arial" w:hAnsi="Arial"/>
          <w:sz w:val="15"/>
          <w:szCs w:val="15"/>
          <w:color w:val="auto"/>
        </w:rPr>
        <w:t>)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serious adverse events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5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Based on observations and findings from preclinical studies, we believe AV-101 has the potential to become a new oral treatment alternative for one or more CNS disorders, including levodopa-induced dyskinesia, neuropathic pain, seizures, MDD, and suicidal ideation. We are currently assessing a potential path forward for Phase 2A clinical development of AV-101, on our own or with collaborators, as a treatment for levodopa-induced dyskinesia associated with Parkinson’s disease therapy and possibly one or more additional neurological disorders involving the NMDAR receptor.</w:t>
      </w:r>
    </w:p>
    <w:p>
      <w:pPr>
        <w:spacing w:after="0" w:line="165"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The FDA has granted Fast Track designation for the development of AV-101 as a potential adjunctive treatment for MDD and as a non-opioid treatment for neuropathic pain.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Reverse Stock Split</w:t>
      </w:r>
    </w:p>
    <w:p>
      <w:pPr>
        <w:spacing w:after="0" w:line="20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 xml:space="preserve">On June 6, 2023, we effected a reverse stock split of our issued and outstanding shares of Common Stock, at a ratio of 1-for-30 (the </w:t>
      </w:r>
      <w:r>
        <w:rPr>
          <w:rFonts w:ascii="Arial" w:cs="Arial" w:eastAsia="Arial" w:hAnsi="Arial"/>
          <w:sz w:val="16"/>
          <w:szCs w:val="16"/>
          <w:i w:val="1"/>
          <w:iCs w:val="1"/>
          <w:color w:val="auto"/>
        </w:rPr>
        <w:t>Reverse Split</w:t>
      </w:r>
      <w:r>
        <w:rPr>
          <w:rFonts w:ascii="Arial" w:cs="Arial" w:eastAsia="Arial" w:hAnsi="Arial"/>
          <w:sz w:val="16"/>
          <w:szCs w:val="16"/>
          <w:color w:val="auto"/>
        </w:rPr>
        <w:t>). All share and per share amounts in this prospectus supplement have been retroactively adjusted to account for the Reverse Split.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ATM Sales</w:t>
      </w:r>
    </w:p>
    <w:p>
      <w:pPr>
        <w:spacing w:after="0" w:line="204" w:lineRule="exact"/>
        <w:rPr>
          <w:sz w:val="20"/>
          <w:szCs w:val="20"/>
          <w:color w:val="auto"/>
        </w:rPr>
      </w:pPr>
    </w:p>
    <w:p>
      <w:pPr>
        <w:ind w:right="160"/>
        <w:spacing w:after="0" w:line="211" w:lineRule="auto"/>
        <w:rPr>
          <w:sz w:val="20"/>
          <w:szCs w:val="20"/>
          <w:color w:val="auto"/>
        </w:rPr>
      </w:pPr>
      <w:r>
        <w:rPr>
          <w:rFonts w:ascii="Arial" w:cs="Arial" w:eastAsia="Arial" w:hAnsi="Arial"/>
          <w:sz w:val="16"/>
          <w:szCs w:val="16"/>
          <w:color w:val="auto"/>
        </w:rPr>
        <w:t xml:space="preserve">Between June 30, 2023 and September 14, 2023, we have sold an aggregate of 4,137,077 shares of our common stock under our Open Market Sale Agreement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for our at-the-market offering (</w:t>
      </w:r>
      <w:r>
        <w:rPr>
          <w:rFonts w:ascii="Arial" w:cs="Arial" w:eastAsia="Arial" w:hAnsi="Arial"/>
          <w:sz w:val="16"/>
          <w:szCs w:val="16"/>
          <w:i w:val="1"/>
          <w:iCs w:val="1"/>
          <w:color w:val="auto"/>
        </w:rPr>
        <w:t>ATM</w:t>
      </w:r>
      <w:r>
        <w:rPr>
          <w:rFonts w:ascii="Arial" w:cs="Arial" w:eastAsia="Arial" w:hAnsi="Arial"/>
          <w:sz w:val="16"/>
          <w:szCs w:val="16"/>
          <w:color w:val="auto"/>
        </w:rPr>
        <w:t>) program with Jefferies LLC (</w:t>
      </w:r>
      <w:r>
        <w:rPr>
          <w:rFonts w:ascii="Arial" w:cs="Arial" w:eastAsia="Arial" w:hAnsi="Arial"/>
          <w:sz w:val="16"/>
          <w:szCs w:val="16"/>
          <w:i w:val="1"/>
          <w:iCs w:val="1"/>
          <w:color w:val="auto"/>
        </w:rPr>
        <w:t>Jefferies</w:t>
      </w:r>
      <w:r>
        <w:rPr>
          <w:rFonts w:ascii="Arial" w:cs="Arial" w:eastAsia="Arial" w:hAnsi="Arial"/>
          <w:sz w:val="16"/>
          <w:szCs w:val="16"/>
          <w:color w:val="auto"/>
        </w:rPr>
        <w:t>) for aggregate gross proceeds of approximately $36.2 million. We may sell additional shares of our common stock from time to time under our ATM program.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 xml:space="preserve">Vistagen Therapeutics, Inc., a Nevada corporation, is the parent of Pherin Pharmaceuticals, Inc., a Delaware corporation, and Vistastem, Inc., a wholly owned California corporation.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 xml:space="preserve">Our website address is </w:t>
      </w:r>
      <w:r>
        <w:rPr>
          <w:rFonts w:ascii="Arial" w:cs="Arial" w:eastAsia="Arial" w:hAnsi="Arial"/>
          <w:sz w:val="15"/>
          <w:szCs w:val="15"/>
          <w:i w:val="1"/>
          <w:iCs w:val="1"/>
          <w:color w:val="auto"/>
        </w:rPr>
        <w:t>www.vistagen.com</w:t>
      </w:r>
      <w:r>
        <w:rPr>
          <w:rFonts w:ascii="Arial" w:cs="Arial" w:eastAsia="Arial" w:hAnsi="Arial"/>
          <w:sz w:val="15"/>
          <w:szCs w:val="15"/>
          <w:color w:val="auto"/>
        </w:rPr>
        <w:t>. The information contained in, or accessible through, our website does not constitute part of this prospectus supplement. We make available free of charge on our website our annual, quarterly and current reports, including amendments to such reports, as soon as reasonably practicable after we electronically file such material with, or furnish such material to, the SEC. Information contained on our website is not incorporated by reference into this prospectus supplement, and you should not consider information contained on our website as a part of this prospectus supplement.</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73660</wp:posOffset>
            </wp:positionV>
            <wp:extent cx="71475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020"/>
          </w:cols>
          <w:pgMar w:left="460" w:top="678" w:right="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8"/>
        </w:trPr>
        <w:tc>
          <w:tcPr>
            <w:tcW w:w="4240" w:type="dxa"/>
            <w:vAlign w:val="bottom"/>
          </w:tcPr>
          <w:p>
            <w:pPr>
              <w:spacing w:after="0"/>
              <w:rPr>
                <w:sz w:val="18"/>
                <w:szCs w:val="18"/>
                <w:color w:val="auto"/>
              </w:rPr>
            </w:pPr>
          </w:p>
        </w:tc>
        <w:tc>
          <w:tcPr>
            <w:tcW w:w="6780" w:type="dxa"/>
            <w:vAlign w:val="bottom"/>
            <w:gridSpan w:val="5"/>
          </w:tcPr>
          <w:p>
            <w:pPr>
              <w:ind w:left="660"/>
              <w:spacing w:after="0"/>
              <w:rPr>
                <w:sz w:val="20"/>
                <w:szCs w:val="20"/>
                <w:color w:val="auto"/>
              </w:rPr>
            </w:pPr>
            <w:r>
              <w:rPr>
                <w:rFonts w:ascii="Arial" w:cs="Arial" w:eastAsia="Arial" w:hAnsi="Arial"/>
                <w:sz w:val="16"/>
                <w:szCs w:val="16"/>
                <w:b w:val="1"/>
                <w:bCs w:val="1"/>
                <w:color w:val="auto"/>
              </w:rPr>
              <w:t>THE OFFERING</w:t>
            </w:r>
          </w:p>
        </w:tc>
      </w:tr>
      <w:tr>
        <w:trPr>
          <w:trHeight w:val="384"/>
        </w:trPr>
        <w:tc>
          <w:tcPr>
            <w:tcW w:w="4240" w:type="dxa"/>
            <w:vAlign w:val="bottom"/>
          </w:tcPr>
          <w:p>
            <w:pPr>
              <w:spacing w:after="0"/>
              <w:rPr>
                <w:sz w:val="20"/>
                <w:szCs w:val="20"/>
                <w:color w:val="auto"/>
              </w:rPr>
            </w:pPr>
            <w:r>
              <w:rPr>
                <w:rFonts w:ascii="Arial" w:cs="Arial" w:eastAsia="Arial" w:hAnsi="Arial"/>
                <w:sz w:val="16"/>
                <w:szCs w:val="16"/>
                <w:color w:val="auto"/>
              </w:rPr>
              <w:t>Common stock offered by us</w:t>
            </w: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rPr>
              <w:t>15,010,810 shares.</w:t>
            </w:r>
          </w:p>
        </w:tc>
      </w:tr>
      <w:tr>
        <w:trPr>
          <w:trHeight w:val="371"/>
        </w:trPr>
        <w:tc>
          <w:tcPr>
            <w:tcW w:w="4240" w:type="dxa"/>
            <w:vAlign w:val="bottom"/>
          </w:tcPr>
          <w:p>
            <w:pPr>
              <w:spacing w:after="0"/>
              <w:rPr>
                <w:sz w:val="20"/>
                <w:szCs w:val="20"/>
                <w:color w:val="auto"/>
              </w:rPr>
            </w:pPr>
            <w:r>
              <w:rPr>
                <w:rFonts w:ascii="Arial" w:cs="Arial" w:eastAsia="Arial" w:hAnsi="Arial"/>
                <w:sz w:val="16"/>
                <w:szCs w:val="16"/>
                <w:color w:val="auto"/>
              </w:rPr>
              <w:t>Pre-funded warrants offered by us</w:t>
            </w: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We are also offering, in lieu of shares of our common stock to certain investors, pre-funded warrants to</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0"/>
              </w:rPr>
              <w:t>purchase up to 3,577,240 shares of our common stock. The purchase price of each pre-funded warrant</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0"/>
              </w:rPr>
              <w:t>is equal to the price per share of our common stock at which the shares of our common stock are being</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5"/>
              </w:rPr>
              <w:t>sold in this offering, minus $0.001, the exercise price of each pre-funded warrant. Each pre-funded</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6"/>
              </w:rPr>
              <w:t>warrant will be exercisable from the date of issuance until fully exercised, subject to an ownership</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7"/>
              </w:rPr>
              <w:t>limitation. See “</w:t>
            </w:r>
            <w:r>
              <w:rPr>
                <w:rFonts w:ascii="Arial" w:cs="Arial" w:eastAsia="Arial" w:hAnsi="Arial"/>
                <w:sz w:val="16"/>
                <w:szCs w:val="16"/>
                <w:i w:val="1"/>
                <w:iCs w:val="1"/>
                <w:color w:val="auto"/>
                <w:w w:val="97"/>
              </w:rPr>
              <w:t>Description of Pre-Funded Warrants and Warrants</w:t>
            </w:r>
            <w:r>
              <w:rPr>
                <w:rFonts w:ascii="Arial" w:cs="Arial" w:eastAsia="Arial" w:hAnsi="Arial"/>
                <w:sz w:val="16"/>
                <w:szCs w:val="16"/>
                <w:color w:val="auto"/>
                <w:w w:val="97"/>
              </w:rPr>
              <w:t>—</w:t>
            </w:r>
            <w:r>
              <w:rPr>
                <w:rFonts w:ascii="Arial" w:cs="Arial" w:eastAsia="Arial" w:hAnsi="Arial"/>
                <w:sz w:val="16"/>
                <w:szCs w:val="16"/>
                <w:i w:val="1"/>
                <w:iCs w:val="1"/>
                <w:color w:val="auto"/>
                <w:w w:val="97"/>
              </w:rPr>
              <w:t>Pre-Funded Warrants</w:t>
            </w:r>
            <w:r>
              <w:rPr>
                <w:rFonts w:ascii="Arial" w:cs="Arial" w:eastAsia="Arial" w:hAnsi="Arial"/>
                <w:sz w:val="16"/>
                <w:szCs w:val="16"/>
                <w:color w:val="auto"/>
                <w:w w:val="97"/>
              </w:rPr>
              <w:t>.” This</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0"/>
              </w:rPr>
              <w:t>prospectus supplement also relates to the offering of the shares of our common stock issuable upon the</w:t>
            </w:r>
          </w:p>
        </w:tc>
      </w:tr>
      <w:tr>
        <w:trPr>
          <w:trHeight w:val="204"/>
        </w:trPr>
        <w:tc>
          <w:tcPr>
            <w:tcW w:w="4240" w:type="dxa"/>
            <w:vAlign w:val="bottom"/>
          </w:tcPr>
          <w:p>
            <w:pPr>
              <w:spacing w:after="0"/>
              <w:rPr>
                <w:sz w:val="17"/>
                <w:szCs w:val="17"/>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rPr>
              <w:t>exercise of such pre-funded warrants.</w:t>
            </w:r>
          </w:p>
        </w:tc>
      </w:tr>
      <w:tr>
        <w:trPr>
          <w:trHeight w:val="371"/>
        </w:trPr>
        <w:tc>
          <w:tcPr>
            <w:tcW w:w="4240" w:type="dxa"/>
            <w:vAlign w:val="bottom"/>
          </w:tcPr>
          <w:p>
            <w:pPr>
              <w:spacing w:after="0"/>
              <w:rPr>
                <w:sz w:val="20"/>
                <w:szCs w:val="20"/>
                <w:color w:val="auto"/>
              </w:rPr>
            </w:pPr>
            <w:r>
              <w:rPr>
                <w:rFonts w:ascii="Arial" w:cs="Arial" w:eastAsia="Arial" w:hAnsi="Arial"/>
                <w:sz w:val="16"/>
                <w:szCs w:val="16"/>
                <w:color w:val="auto"/>
              </w:rPr>
              <w:t>Warrants offered by us</w:t>
            </w: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We are also offering Tranche 1 Warrants to purchase up to 9,294,022 shares of our common stock (or</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6"/>
              </w:rPr>
              <w:t>pre-funded warrants to purchase up to 9,294,022 shares of our common stock in lieu thereof) and</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0"/>
              </w:rPr>
              <w:t>Tranche 2 Warrants to purchase up to 11,265,086 shares of our common stock (or pre-funded warrants</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2"/>
              </w:rPr>
              <w:t>to purchase up to 11,265,086 shares of our common stock in lieu thereof). The shares of our common</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89"/>
              </w:rPr>
              <w:t>stock and the pre-funded warrants are each being sold together with Tranche 1 Warrants and Tranche 2</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Warrants. The Tranche 1 Warrants have an exercise price of $5.38 per share of common stock or pre-</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2"/>
              </w:rPr>
              <w:t>funded warrant, are exercisable immediately and will expire subject to the terms under the Tranche 1</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Warrant. The Tranche 2 Warrants have an exercise price of $8.877 per share of common stock or pre-</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2"/>
              </w:rPr>
              <w:t>funded warrant, are exercisable immediately and will expire five years from the date of issuance. See</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i w:val="1"/>
                <w:iCs w:val="1"/>
                <w:color w:val="auto"/>
                <w:w w:val="93"/>
              </w:rPr>
              <w:t>Description of Pre-Funded Warrants and Warrants</w:t>
            </w:r>
            <w:r>
              <w:rPr>
                <w:rFonts w:ascii="Arial" w:cs="Arial" w:eastAsia="Arial" w:hAnsi="Arial"/>
                <w:sz w:val="16"/>
                <w:szCs w:val="16"/>
                <w:color w:val="auto"/>
                <w:w w:val="93"/>
              </w:rPr>
              <w:t>.” This prospectus supplement also relates to the</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2"/>
              </w:rPr>
              <w:t>offering of the shares of our common stock or pre-funded warrants issuable upon the exercise of such</w:t>
            </w:r>
          </w:p>
        </w:tc>
      </w:tr>
      <w:tr>
        <w:trPr>
          <w:trHeight w:val="204"/>
        </w:trPr>
        <w:tc>
          <w:tcPr>
            <w:tcW w:w="4240" w:type="dxa"/>
            <w:vAlign w:val="bottom"/>
          </w:tcPr>
          <w:p>
            <w:pPr>
              <w:spacing w:after="0"/>
              <w:rPr>
                <w:sz w:val="17"/>
                <w:szCs w:val="17"/>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rPr>
              <w:t>Tranche 1 Warrants and Tranche 2 Warrants.</w:t>
            </w:r>
          </w:p>
        </w:tc>
      </w:tr>
      <w:tr>
        <w:trPr>
          <w:trHeight w:val="371"/>
        </w:trPr>
        <w:tc>
          <w:tcPr>
            <w:tcW w:w="4240" w:type="dxa"/>
            <w:vAlign w:val="bottom"/>
          </w:tcPr>
          <w:p>
            <w:pPr>
              <w:spacing w:after="0"/>
              <w:rPr>
                <w:sz w:val="20"/>
                <w:szCs w:val="20"/>
                <w:color w:val="auto"/>
              </w:rPr>
            </w:pPr>
            <w:r>
              <w:rPr>
                <w:rFonts w:ascii="Arial" w:cs="Arial" w:eastAsia="Arial" w:hAnsi="Arial"/>
                <w:sz w:val="16"/>
                <w:szCs w:val="16"/>
                <w:color w:val="auto"/>
                <w:w w:val="94"/>
              </w:rPr>
              <w:t>Common stock to be outstanding immediately after this offering</w:t>
            </w: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22,885,961 shares. The number of shares of common stock outstanding after this offering assumes no</w:t>
            </w:r>
          </w:p>
        </w:tc>
      </w:tr>
      <w:tr>
        <w:trPr>
          <w:trHeight w:val="204"/>
        </w:trPr>
        <w:tc>
          <w:tcPr>
            <w:tcW w:w="4240" w:type="dxa"/>
            <w:vAlign w:val="bottom"/>
          </w:tcPr>
          <w:p>
            <w:pPr>
              <w:spacing w:after="0"/>
              <w:rPr>
                <w:sz w:val="17"/>
                <w:szCs w:val="17"/>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7"/>
              </w:rPr>
              <w:t>exercise of the pre-funded warrants, Tranche 1 Warrants or Tranche 2 Warrants offered hereby.</w:t>
            </w:r>
          </w:p>
        </w:tc>
      </w:tr>
      <w:tr>
        <w:trPr>
          <w:trHeight w:val="371"/>
        </w:trPr>
        <w:tc>
          <w:tcPr>
            <w:tcW w:w="4240" w:type="dxa"/>
            <w:vAlign w:val="bottom"/>
          </w:tcPr>
          <w:p>
            <w:pPr>
              <w:spacing w:after="0"/>
              <w:rPr>
                <w:sz w:val="20"/>
                <w:szCs w:val="20"/>
                <w:color w:val="auto"/>
              </w:rPr>
            </w:pPr>
            <w:r>
              <w:rPr>
                <w:rFonts w:ascii="Arial" w:cs="Arial" w:eastAsia="Arial" w:hAnsi="Arial"/>
                <w:sz w:val="16"/>
                <w:szCs w:val="16"/>
                <w:color w:val="auto"/>
              </w:rPr>
              <w:t>Use of proceeds</w:t>
            </w: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We currently intend to use the net proceeds from the offering, together with our existing cash and cash</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7"/>
              </w:rPr>
              <w:t>equivalents, for research, development, manufacturing and regulatory expenses associated with</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5"/>
              </w:rPr>
              <w:t>development of our product candidates, including, primarily, our PALISADE Phase 3 development</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5"/>
              </w:rPr>
              <w:t>program for fasedienol for the acute treatment of anxiety in adults with SAD, and for other working</w:t>
            </w:r>
          </w:p>
        </w:tc>
      </w:tr>
      <w:tr>
        <w:trPr>
          <w:trHeight w:val="168"/>
        </w:trPr>
        <w:tc>
          <w:tcPr>
            <w:tcW w:w="4240" w:type="dxa"/>
            <w:vAlign w:val="bottom"/>
          </w:tcPr>
          <w:p>
            <w:pPr>
              <w:spacing w:after="0"/>
              <w:rPr>
                <w:sz w:val="14"/>
                <w:szCs w:val="14"/>
                <w:color w:val="auto"/>
              </w:rPr>
            </w:pPr>
          </w:p>
        </w:tc>
        <w:tc>
          <w:tcPr>
            <w:tcW w:w="6780" w:type="dxa"/>
            <w:vAlign w:val="bottom"/>
            <w:gridSpan w:val="5"/>
          </w:tcPr>
          <w:p>
            <w:pPr>
              <w:ind w:left="140"/>
              <w:spacing w:after="0" w:line="168" w:lineRule="exact"/>
              <w:rPr>
                <w:sz w:val="20"/>
                <w:szCs w:val="20"/>
                <w:color w:val="auto"/>
              </w:rPr>
            </w:pPr>
            <w:r>
              <w:rPr>
                <w:rFonts w:ascii="Arial" w:cs="Arial" w:eastAsia="Arial" w:hAnsi="Arial"/>
                <w:sz w:val="16"/>
                <w:szCs w:val="16"/>
                <w:color w:val="auto"/>
              </w:rPr>
              <w:t>capital and general corporate purposes. See “</w:t>
            </w:r>
            <w:r>
              <w:rPr>
                <w:rFonts w:ascii="Arial" w:cs="Arial" w:eastAsia="Arial" w:hAnsi="Arial"/>
                <w:sz w:val="16"/>
                <w:szCs w:val="16"/>
                <w:i w:val="1"/>
                <w:iCs w:val="1"/>
                <w:color w:val="auto"/>
              </w:rPr>
              <w:t>Use of Proceeds</w:t>
            </w:r>
            <w:r>
              <w:rPr>
                <w:rFonts w:ascii="Arial" w:cs="Arial" w:eastAsia="Arial" w:hAnsi="Arial"/>
                <w:sz w:val="16"/>
                <w:szCs w:val="16"/>
                <w:color w:val="auto"/>
              </w:rPr>
              <w:t xml:space="preserve">” on page </w:t>
            </w:r>
            <w:r>
              <w:rPr>
                <w:rFonts w:ascii="Arial" w:cs="Arial" w:eastAsia="Arial" w:hAnsi="Arial"/>
                <w:sz w:val="16"/>
                <w:szCs w:val="16"/>
                <w:color w:val="0000EE"/>
              </w:rPr>
              <w:t>S-12</w:t>
            </w: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7"/>
        </w:trPr>
        <w:tc>
          <w:tcPr>
            <w:tcW w:w="4240" w:type="dxa"/>
            <w:vAlign w:val="bottom"/>
          </w:tcPr>
          <w:p>
            <w:pPr>
              <w:spacing w:after="0"/>
              <w:rPr>
                <w:sz w:val="20"/>
                <w:szCs w:val="20"/>
                <w:color w:val="auto"/>
              </w:rPr>
            </w:pPr>
            <w:r>
              <w:rPr>
                <w:rFonts w:ascii="Arial" w:cs="Arial" w:eastAsia="Arial" w:hAnsi="Arial"/>
                <w:sz w:val="16"/>
                <w:szCs w:val="16"/>
                <w:color w:val="auto"/>
              </w:rPr>
              <w:t>Market for the common stock</w:t>
            </w: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6"/>
              </w:rPr>
              <w:t>Our common stock is listed on The Nasdaq Capital Market under the symbol “VTGN.” There is no</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public trading market for the pre-funded warrants, the Tranche 1 Warrants or Tranche 2 Warrants, and</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7"/>
              </w:rPr>
              <w:t>we do not expect a market to develop. In addition, we do not intend to apply for listing of the pre-</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89"/>
              </w:rPr>
              <w:t>funded warrants, the Tranche 1 Warrants or the Tranche 2 Warrants on any securities exchange or other</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7"/>
              </w:rPr>
              <w:t>trading system. Without a trading market, the liquidity of the pre-funded warrants, the Tranche 1</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7"/>
              </w:rPr>
              <w:t>Warrants and the Tranche 2 Warrants will be extremely limited. See “Description of Pre-Funded</w:t>
            </w:r>
          </w:p>
        </w:tc>
      </w:tr>
      <w:tr>
        <w:trPr>
          <w:trHeight w:val="204"/>
        </w:trPr>
        <w:tc>
          <w:tcPr>
            <w:tcW w:w="4240" w:type="dxa"/>
            <w:vAlign w:val="bottom"/>
          </w:tcPr>
          <w:p>
            <w:pPr>
              <w:spacing w:after="0"/>
              <w:rPr>
                <w:sz w:val="17"/>
                <w:szCs w:val="17"/>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rPr>
              <w:t>Warrants and Warrants” for additional information.</w:t>
            </w:r>
          </w:p>
        </w:tc>
      </w:tr>
      <w:tr>
        <w:trPr>
          <w:trHeight w:val="348"/>
        </w:trPr>
        <w:tc>
          <w:tcPr>
            <w:tcW w:w="4240" w:type="dxa"/>
            <w:vAlign w:val="bottom"/>
          </w:tcPr>
          <w:p>
            <w:pPr>
              <w:spacing w:after="0"/>
              <w:rPr>
                <w:sz w:val="20"/>
                <w:szCs w:val="20"/>
                <w:color w:val="auto"/>
              </w:rPr>
            </w:pPr>
            <w:r>
              <w:rPr>
                <w:rFonts w:ascii="Arial" w:cs="Arial" w:eastAsia="Arial" w:hAnsi="Arial"/>
                <w:sz w:val="16"/>
                <w:szCs w:val="16"/>
                <w:color w:val="auto"/>
              </w:rPr>
              <w:t>Risk factors</w:t>
            </w: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89"/>
              </w:rPr>
              <w:t>You should read the “</w:t>
            </w:r>
            <w:r>
              <w:rPr>
                <w:rFonts w:ascii="Arial" w:cs="Arial" w:eastAsia="Arial" w:hAnsi="Arial"/>
                <w:sz w:val="16"/>
                <w:szCs w:val="16"/>
                <w:i w:val="1"/>
                <w:iCs w:val="1"/>
                <w:color w:val="auto"/>
                <w:w w:val="89"/>
              </w:rPr>
              <w:t>Risk Factors</w:t>
            </w:r>
            <w:r>
              <w:rPr>
                <w:rFonts w:ascii="Arial" w:cs="Arial" w:eastAsia="Arial" w:hAnsi="Arial"/>
                <w:sz w:val="16"/>
                <w:szCs w:val="16"/>
                <w:color w:val="auto"/>
                <w:w w:val="89"/>
              </w:rPr>
              <w:t xml:space="preserve">” section of this prospectus supplement beginning on page </w:t>
            </w:r>
            <w:r>
              <w:rPr>
                <w:rFonts w:ascii="Arial" w:cs="Arial" w:eastAsia="Arial" w:hAnsi="Arial"/>
                <w:sz w:val="16"/>
                <w:szCs w:val="16"/>
                <w:color w:val="0000EE"/>
                <w:w w:val="89"/>
              </w:rPr>
              <w:t>S-10</w:t>
            </w:r>
            <w:r>
              <w:rPr>
                <w:rFonts w:ascii="Arial" w:cs="Arial" w:eastAsia="Arial" w:hAnsi="Arial"/>
                <w:sz w:val="16"/>
                <w:szCs w:val="16"/>
                <w:color w:val="auto"/>
                <w:w w:val="89"/>
              </w:rPr>
              <w:t>, page</w:t>
            </w:r>
          </w:p>
        </w:tc>
      </w:tr>
      <w:tr>
        <w:trPr>
          <w:trHeight w:val="20"/>
        </w:trPr>
        <w:tc>
          <w:tcPr>
            <w:tcW w:w="424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5"/>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2"/>
              </w:rPr>
              <w:t>7 of the accompanying prospectus and the “</w:t>
            </w:r>
            <w:r>
              <w:rPr>
                <w:rFonts w:ascii="Arial" w:cs="Arial" w:eastAsia="Arial" w:hAnsi="Arial"/>
                <w:sz w:val="16"/>
                <w:szCs w:val="16"/>
                <w:i w:val="1"/>
                <w:iCs w:val="1"/>
                <w:color w:val="auto"/>
                <w:w w:val="92"/>
              </w:rPr>
              <w:t>Risk Factors</w:t>
            </w:r>
            <w:r>
              <w:rPr>
                <w:rFonts w:ascii="Arial" w:cs="Arial" w:eastAsia="Arial" w:hAnsi="Arial"/>
                <w:sz w:val="16"/>
                <w:szCs w:val="16"/>
                <w:color w:val="auto"/>
                <w:w w:val="92"/>
              </w:rPr>
              <w:t>” section in our Annual Report on Form 10-K</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1"/>
              </w:rPr>
              <w:t>for the year ended March 31, 2023 and Quarterly Report on Form 10-Q for the quarter ended June 30,</w:t>
            </w:r>
          </w:p>
        </w:tc>
      </w:tr>
      <w:tr>
        <w:trPr>
          <w:trHeight w:val="192"/>
        </w:trPr>
        <w:tc>
          <w:tcPr>
            <w:tcW w:w="4240" w:type="dxa"/>
            <w:vAlign w:val="bottom"/>
          </w:tcPr>
          <w:p>
            <w:pPr>
              <w:spacing w:after="0"/>
              <w:rPr>
                <w:sz w:val="16"/>
                <w:szCs w:val="16"/>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w w:val="96"/>
              </w:rPr>
              <w:t>2023, which are incorporated by reference, for a discussion of factors to consider carefully before</w:t>
            </w:r>
          </w:p>
        </w:tc>
      </w:tr>
      <w:tr>
        <w:trPr>
          <w:trHeight w:val="204"/>
        </w:trPr>
        <w:tc>
          <w:tcPr>
            <w:tcW w:w="4240" w:type="dxa"/>
            <w:vAlign w:val="bottom"/>
          </w:tcPr>
          <w:p>
            <w:pPr>
              <w:spacing w:after="0"/>
              <w:rPr>
                <w:sz w:val="17"/>
                <w:szCs w:val="17"/>
                <w:color w:val="auto"/>
              </w:rPr>
            </w:pPr>
          </w:p>
        </w:tc>
        <w:tc>
          <w:tcPr>
            <w:tcW w:w="6780" w:type="dxa"/>
            <w:vAlign w:val="bottom"/>
            <w:gridSpan w:val="5"/>
          </w:tcPr>
          <w:p>
            <w:pPr>
              <w:ind w:left="140"/>
              <w:spacing w:after="0"/>
              <w:rPr>
                <w:sz w:val="20"/>
                <w:szCs w:val="20"/>
                <w:color w:val="auto"/>
              </w:rPr>
            </w:pPr>
            <w:r>
              <w:rPr>
                <w:rFonts w:ascii="Arial" w:cs="Arial" w:eastAsia="Arial" w:hAnsi="Arial"/>
                <w:sz w:val="16"/>
                <w:szCs w:val="16"/>
                <w:color w:val="auto"/>
              </w:rPr>
              <w:t>deciding to invest in shares of our common stock.</w:t>
            </w:r>
          </w:p>
        </w:tc>
      </w:tr>
    </w:tbl>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223520</wp:posOffset>
            </wp:positionV>
            <wp:extent cx="7190740" cy="8834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740" cy="8834755"/>
                    </a:xfrm>
                    <a:prstGeom prst="rect">
                      <a:avLst/>
                    </a:prstGeom>
                    <a:noFill/>
                  </pic:spPr>
                </pic:pic>
              </a:graphicData>
            </a:graphic>
          </wp:anchor>
        </w:drawing>
      </w:r>
    </w:p>
    <w:p>
      <w:pPr>
        <w:ind w:right="140"/>
        <w:spacing w:after="0" w:line="276" w:lineRule="auto"/>
        <w:rPr>
          <w:sz w:val="20"/>
          <w:szCs w:val="20"/>
          <w:color w:val="auto"/>
        </w:rPr>
      </w:pPr>
      <w:r>
        <w:rPr>
          <w:rFonts w:ascii="Arial" w:cs="Arial" w:eastAsia="Arial" w:hAnsi="Arial"/>
          <w:sz w:val="16"/>
          <w:szCs w:val="16"/>
          <w:color w:val="auto"/>
        </w:rPr>
        <w:t>The number of shares of our common stock to be outstanding immediately following this offering as shown above is based on 7,875,151 shares outstanding as of June 30, 2023, and, unless otherwise indicated, excludes the following securities:</w:t>
      </w:r>
    </w:p>
    <w:p>
      <w:pPr>
        <w:spacing w:after="0" w:line="152" w:lineRule="exact"/>
        <w:rPr>
          <w:sz w:val="20"/>
          <w:szCs w:val="20"/>
          <w:color w:val="auto"/>
        </w:rPr>
      </w:pPr>
    </w:p>
    <w:p>
      <w:pPr>
        <w:ind w:left="800" w:right="640" w:hanging="403"/>
        <w:spacing w:after="0" w:line="276"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45,686 shares of common stock that have been reserved for issuance upon exercise of outstanding warrants, with a weighted average exercise price of $16.87 per share;</w:t>
      </w:r>
    </w:p>
    <w:p>
      <w:pPr>
        <w:spacing w:after="0" w:line="152" w:lineRule="exact"/>
        <w:rPr>
          <w:rFonts w:ascii="Arial" w:cs="Arial" w:eastAsia="Arial" w:hAnsi="Arial"/>
          <w:sz w:val="16"/>
          <w:szCs w:val="16"/>
          <w:color w:val="auto"/>
        </w:rPr>
      </w:pPr>
    </w:p>
    <w:p>
      <w:pPr>
        <w:ind w:left="800" w:right="160" w:hanging="403"/>
        <w:spacing w:after="0" w:line="350"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712,555 registered shares of common stock reserved for issuance upon exercise of outstanding stock options under our Amended and Restated 2016 Stock Incentive Plan and our Amended and Restated 2019 Omnibus Equity Incentive Plan (</w:t>
      </w:r>
      <w:r>
        <w:rPr>
          <w:rFonts w:ascii="Arial" w:cs="Arial" w:eastAsia="Arial" w:hAnsi="Arial"/>
          <w:sz w:val="14"/>
          <w:szCs w:val="14"/>
          <w:i w:val="1"/>
          <w:iCs w:val="1"/>
          <w:color w:val="auto"/>
        </w:rPr>
        <w:t>2019 Plan</w:t>
      </w:r>
      <w:r>
        <w:rPr>
          <w:rFonts w:ascii="Arial" w:cs="Arial" w:eastAsia="Arial" w:hAnsi="Arial"/>
          <w:sz w:val="14"/>
          <w:szCs w:val="14"/>
          <w:color w:val="auto"/>
        </w:rPr>
        <w:t>), with a weighted average exercise price of $37.23 per share;</w:t>
      </w:r>
    </w:p>
    <w:p>
      <w:pPr>
        <w:spacing w:after="0" w:line="105" w:lineRule="exact"/>
        <w:rPr>
          <w:rFonts w:ascii="Arial" w:cs="Arial" w:eastAsia="Arial" w:hAnsi="Arial"/>
          <w:sz w:val="14"/>
          <w:szCs w:val="14"/>
          <w:color w:val="auto"/>
        </w:rPr>
      </w:pPr>
    </w:p>
    <w:p>
      <w:pPr>
        <w:ind w:left="800" w:hanging="403"/>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169,240 registered shares of common stock reserved for future issuance in connection with future grants under our 2019 Plan;</w:t>
      </w:r>
    </w:p>
    <w:p>
      <w:pPr>
        <w:spacing w:after="0" w:line="199" w:lineRule="exact"/>
        <w:rPr>
          <w:rFonts w:ascii="Arial" w:cs="Arial" w:eastAsia="Arial" w:hAnsi="Arial"/>
          <w:sz w:val="16"/>
          <w:szCs w:val="16"/>
          <w:color w:val="auto"/>
        </w:rPr>
      </w:pPr>
    </w:p>
    <w:p>
      <w:pPr>
        <w:ind w:left="800" w:hanging="403"/>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21,651 shares of common stock reserved for future issuance in connection with future sales under our 2019 Employee Stock Purchase Plan;</w:t>
      </w:r>
    </w:p>
    <w:p>
      <w:pPr>
        <w:spacing w:after="0" w:line="199" w:lineRule="exact"/>
        <w:rPr>
          <w:rFonts w:ascii="Arial" w:cs="Arial" w:eastAsia="Arial" w:hAnsi="Arial"/>
          <w:sz w:val="16"/>
          <w:szCs w:val="16"/>
          <w:color w:val="auto"/>
        </w:rPr>
      </w:pPr>
    </w:p>
    <w:p>
      <w:pPr>
        <w:ind w:left="800" w:hanging="405"/>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4,137,077 shares of common stock sold under our ATM program since June 30, 2023; and</w:t>
      </w:r>
    </w:p>
    <w:p>
      <w:pPr>
        <w:spacing w:after="0" w:line="199" w:lineRule="exact"/>
        <w:rPr>
          <w:rFonts w:ascii="Arial" w:cs="Arial" w:eastAsia="Arial" w:hAnsi="Arial"/>
          <w:sz w:val="16"/>
          <w:szCs w:val="16"/>
          <w:color w:val="auto"/>
        </w:rPr>
      </w:pPr>
    </w:p>
    <w:p>
      <w:pPr>
        <w:ind w:left="800" w:hanging="405"/>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24,136,348 shares of common stock issuable upon exercise of the pre-funded warrants, Tranche 1 Warrants and Tranche 2 Warrants issued in this offering.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all information in this prospectus supplement assumes no exercise of the outstanding warrants and/or options described above.</w:t>
      </w: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73660</wp:posOffset>
            </wp:positionV>
            <wp:extent cx="71475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020"/>
          </w:cols>
          <w:pgMar w:left="460" w:top="674" w:right="4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RISK FACTORS</w:t>
      </w:r>
    </w:p>
    <w:p>
      <w:pPr>
        <w:spacing w:after="0" w:line="204" w:lineRule="exact"/>
        <w:rPr>
          <w:sz w:val="20"/>
          <w:szCs w:val="20"/>
          <w:color w:val="auto"/>
        </w:rPr>
      </w:pPr>
    </w:p>
    <w:p>
      <w:pPr>
        <w:spacing w:after="0" w:line="275" w:lineRule="auto"/>
        <w:rPr>
          <w:sz w:val="20"/>
          <w:szCs w:val="20"/>
          <w:color w:val="auto"/>
        </w:rPr>
      </w:pPr>
      <w:r>
        <w:rPr>
          <w:rFonts w:ascii="Arial" w:cs="Arial" w:eastAsia="Arial" w:hAnsi="Arial"/>
          <w:sz w:val="15"/>
          <w:szCs w:val="15"/>
          <w:i w:val="1"/>
          <w:iCs w:val="1"/>
          <w:color w:val="auto"/>
        </w:rPr>
        <w:t xml:space="preserve">Investing in our securities involves a high degree of risk. Before deciding whether to purchase any of our securities, you should carefully consider the risks and uncertainties described under </w:t>
      </w:r>
      <w:r>
        <w:rPr>
          <w:rFonts w:ascii="Arial" w:cs="Arial" w:eastAsia="Arial" w:hAnsi="Arial"/>
          <w:sz w:val="15"/>
          <w:szCs w:val="15"/>
          <w:color w:val="auto"/>
        </w:rPr>
        <w:t>“</w:t>
      </w:r>
      <w:r>
        <w:rPr>
          <w:rFonts w:ascii="Arial" w:cs="Arial" w:eastAsia="Arial" w:hAnsi="Arial"/>
          <w:sz w:val="15"/>
          <w:szCs w:val="15"/>
          <w:i w:val="1"/>
          <w:iCs w:val="1"/>
          <w:color w:val="auto"/>
        </w:rPr>
        <w:t>Risk Factors</w:t>
      </w:r>
      <w:r>
        <w:rPr>
          <w:rFonts w:ascii="Arial" w:cs="Arial" w:eastAsia="Arial" w:hAnsi="Arial"/>
          <w:sz w:val="15"/>
          <w:szCs w:val="15"/>
          <w:color w:val="auto"/>
        </w:rPr>
        <w:t>”</w:t>
      </w:r>
      <w:r>
        <w:rPr>
          <w:rFonts w:ascii="Arial" w:cs="Arial" w:eastAsia="Arial" w:hAnsi="Arial"/>
          <w:sz w:val="15"/>
          <w:szCs w:val="15"/>
          <w:i w:val="1"/>
          <w:iCs w:val="1"/>
          <w:color w:val="auto"/>
        </w:rPr>
        <w:t xml:space="preserve"> in our Annual Report on Form 10-K for the fiscal year ended March 31, 2023, our Quarterly Report on Form 10-Q for the period ended June 30, 2023,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this Offering</w:t>
      </w:r>
    </w:p>
    <w:p>
      <w:pPr>
        <w:spacing w:after="0" w:line="204"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b w:val="1"/>
          <w:bCs w:val="1"/>
          <w:i w:val="1"/>
          <w:iCs w:val="1"/>
          <w:color w:val="auto"/>
        </w:rPr>
        <w:t>Raising additional capital, including as a result of this offering, may cause dilution to our stockholders, restrict our operations or require us to relinquish rights to our product candidates.</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color w:val="auto"/>
        </w:rPr>
        <w:t>Until such time, if ever, as we can generate substantial revenue, we expect to finance our cash needs through a combination of equity offerings (including under our ATM program), debt financings and license and collaboration agreements. To the extent that we raise additional capital through the sale of equity securities, including from this offering,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5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be required to relinquish valuable rights to our technologies, intellectual property, potential future revenue streams,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candidate development or future commercialization efforts or grant rights to third parties to develop and market product candidates that we would otherwise prefer to develop and market ourselves.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common stock, pre-funded warrants or warrants in this offering, you will suffer immediate dilution of your investment.</w:t>
      </w:r>
    </w:p>
    <w:p>
      <w:pPr>
        <w:spacing w:after="0" w:line="200"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The price of our common stock in this offering is substantially higher than the net tangible book value per share of our common stock. Therefore, if you purchase shares of our common stock or pre-funded warrants in this offering, and the accompanying Tranche 1 Warrants and the accompanying Tranche 2 Warrants in each case, you will pay a price per share that substantially exceeds our net tangible book value per share after this offering. To the extent outstanding options are exercised or shares of common stock are issued upon the vesting or other settlement of outstanding restricted stock units, you will incur further dilution. Based on an offering price of $5.38 per share of common stock and the accompanying Tranche 1 Warrants and accompanying Tranche 2 Warrants, you will experience immediate dilution of $0.95 per share, representing the difference between our as adjusted net tangible book value per share after giving effect to this offering and the offering price. See the section titled “</w:t>
      </w:r>
      <w:r>
        <w:rPr>
          <w:rFonts w:ascii="Arial" w:cs="Arial" w:eastAsia="Arial" w:hAnsi="Arial"/>
          <w:sz w:val="15"/>
          <w:szCs w:val="15"/>
          <w:i w:val="1"/>
          <w:iCs w:val="1"/>
          <w:color w:val="auto"/>
        </w:rPr>
        <w:t>Dilution</w:t>
      </w:r>
      <w:r>
        <w:rPr>
          <w:rFonts w:ascii="Arial" w:cs="Arial" w:eastAsia="Arial" w:hAnsi="Arial"/>
          <w:sz w:val="15"/>
          <w:szCs w:val="15"/>
          <w:color w:val="auto"/>
        </w:rPr>
        <w:t>” below for a more detailed illustration of the dilution you would incur if you purchase shares of common stock or pre-funded warrants, and the accompanying Tranche 1 Warrants and accompanying Tranche 2 Warrants in each case, in this offering.</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broad discretion over the use of our cash and cash equivalents, including the net proceeds we receive in this offering, and may not use them effectively.</w:t>
      </w:r>
    </w:p>
    <w:p>
      <w:pPr>
        <w:spacing w:after="0" w:line="223"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and cash equivalents in a manner that does not produce income or that loses value.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20"/>
          </w:cols>
          <w:pgMar w:left="320" w:top="531"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There is no public market for the pre-funded warrants, the Tranche 1 Warrants or the Tranche 2 Warrants being offered in this offering.</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There is no public trading market for the pre-funded warrants, the Tranche 1 Warrants or the Tranche 2 Warrants being offered in this offering, and we do not expect a market to develop. In addition, we do not intend to list the pre-funded warrants, the Tranche 1 Warrants or the Tranche 2 Warrants on The Nasdaq Capital Market or any other national securities exchange or nationally recognized trading system. Without an active trading market, the liquidity of the pre-funded warrants, the Tranche 1 Warrants and the Tranche 2 Warrants will be limited. See “</w:t>
      </w:r>
      <w:r>
        <w:rPr>
          <w:rFonts w:ascii="Arial" w:cs="Arial" w:eastAsia="Arial" w:hAnsi="Arial"/>
          <w:sz w:val="16"/>
          <w:szCs w:val="16"/>
          <w:i w:val="1"/>
          <w:iCs w:val="1"/>
          <w:color w:val="auto"/>
        </w:rPr>
        <w:t>Description of Pre-Funded Warrants and Warrants</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pre-funded warrants, Tranche 1 Warrants and Tranche 2 Warrants are speculative in nature.</w:t>
      </w:r>
    </w:p>
    <w:p>
      <w:pPr>
        <w:spacing w:after="0" w:line="200"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pre-funded warrants, Tranche 1 Warrants and Tranche 2 Warrants do not confer any rights of common stock ownership on their holders, such as voting rights or the right to receive dividends, but rather merely represent the right to acquire shares of common stock at a fixed price. Specifically, commencing on the date of issuance, holders of the pre-funded warrants may exercise their right to acquire the common stock and pay an exercise price per share equal to $0.001, subject to certain adjustments, and holders of the Tranche 1 Warrants and Tranche 2 Warrants may exercise their right to acquire the common stock (or pre-funded warrants in lieu thereof) and pay an exercise price equal to $5.38 and $8.877, respectively, subject to certain adjustments, without expiration in the case of the pre-funded warrants and subject to the terms under the Tranche 1 Warrant and Tranche 2 Warrant, after which date any unexercised Tranche 1 Warrants or Tranche 2 Warrants will expire and have no further value. See “</w:t>
      </w:r>
      <w:r>
        <w:rPr>
          <w:rFonts w:ascii="Arial" w:cs="Arial" w:eastAsia="Arial" w:hAnsi="Arial"/>
          <w:sz w:val="14"/>
          <w:szCs w:val="14"/>
          <w:i w:val="1"/>
          <w:iCs w:val="1"/>
          <w:color w:val="auto"/>
        </w:rPr>
        <w:t>Description of Pre-Funded</w:t>
      </w:r>
      <w:r>
        <w:rPr>
          <w:rFonts w:ascii="Arial" w:cs="Arial" w:eastAsia="Arial" w:hAnsi="Arial"/>
          <w:sz w:val="14"/>
          <w:szCs w:val="14"/>
          <w:color w:val="auto"/>
        </w:rPr>
        <w:t xml:space="preserve"> </w:t>
      </w:r>
      <w:r>
        <w:rPr>
          <w:rFonts w:ascii="Arial" w:cs="Arial" w:eastAsia="Arial" w:hAnsi="Arial"/>
          <w:sz w:val="14"/>
          <w:szCs w:val="14"/>
          <w:i w:val="1"/>
          <w:iCs w:val="1"/>
          <w:color w:val="auto"/>
        </w:rPr>
        <w:t>Warrants and Warrants</w:t>
      </w:r>
      <w:r>
        <w:rPr>
          <w:rFonts w:ascii="Arial" w:cs="Arial" w:eastAsia="Arial" w:hAnsi="Arial"/>
          <w:sz w:val="14"/>
          <w:szCs w:val="14"/>
          <w:color w:val="auto"/>
        </w:rPr>
        <w:t>.” Moreover, following this offering, the market value of the pre-funded warrants, the Tranche 1 Warrants and the Tranche 2 Warrants if any, is</w:t>
      </w:r>
      <w:r>
        <w:rPr>
          <w:rFonts w:ascii="Arial" w:cs="Arial" w:eastAsia="Arial" w:hAnsi="Arial"/>
          <w:sz w:val="14"/>
          <w:szCs w:val="14"/>
          <w:i w:val="1"/>
          <w:iCs w:val="1"/>
          <w:color w:val="auto"/>
        </w:rPr>
        <w:t xml:space="preserve"> </w:t>
      </w:r>
      <w:r>
        <w:rPr>
          <w:rFonts w:ascii="Arial" w:cs="Arial" w:eastAsia="Arial" w:hAnsi="Arial"/>
          <w:sz w:val="14"/>
          <w:szCs w:val="14"/>
          <w:color w:val="auto"/>
        </w:rPr>
        <w:t>uncertain and there can be no assurance that the market value of the pre-funded warrants, the Tranche 1 Warrants and the Tranche 2 Warrants will equal or exceed their imputed offering price. The pre-funded warrants, the Tranche 1 Warrants and the Tranche 2 Warrants will not be listed or quoted for trading on any market or exchange. There can be no assurance that the market price of our common stock will ever equal or exceed the respective exercise prices of the Tranche 1 Warrants and the Tranche 2 Warrants, and, consequently, it may not ever be profitable for holders of the Tranche 1 Warrants and the Tranche 2 Warrants to exercise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Tranche 1 Warrants and the Tranche 2 Warrants being offered may not have value.</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Tranche 1 Warrants being offered by us in this offering have an exercise price of $5.38 per share of common stock or pre-funded warrant, subject to certain adjustments, and expire subject to the terms under the Tranche 1 Warrant, after which date any unexercised Tranche 1 Warrants will expire and have no further value. In addition, the Tranche 2 Warrants being offered by us in this offering have an exercise price of $8.877 per share of common stock or pre-funded warrant, subject to certain adjustments, and expire five years from the date of issuance, after which date any unexercised Tranche 2 Warrants will expire and have no further value. In the event that the market price of our common stock does not exceed the exercise price of the Tranche 1 Warrants and/or Tranche 2 Warrants during the period when they are exercisable, the Tranche 1 Warrants and/or Tranche 2 Warrants may not have any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not receive any meaningful amount of additional funds upon the exercise of the pre-funded warrants.</w:t>
      </w:r>
    </w:p>
    <w:p>
      <w:pPr>
        <w:spacing w:after="0" w:line="200"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auto"/>
        </w:rPr>
        <w:t>Each pre-funded warrant will be exercisable until it is fully exercised and by means of payment of the nominal cash purchase price upon exercise. Accordingly, we will not receive any meaningful additional funds upon the exercise of the pre-funded warrants.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receive any additional funds upon the exercise of the Tranche 2 Warrants.</w:t>
      </w:r>
    </w:p>
    <w:p>
      <w:pPr>
        <w:spacing w:after="0" w:line="20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Tranche 2 Warrants may be exercised by way of a cashless exercise, meaning that the holder may not pay a cash purchase price upon exercise, but instead would receive upon such exercise the net number of shares of our common stock determined according to the formula set forth in the applicable Tranche 2 Warrants. Accordingly, we may not receive any additional funds upon the exercise of the Tranche 2 Warrants.</w:t>
      </w:r>
    </w:p>
    <w:p>
      <w:pPr>
        <w:spacing w:after="0" w:line="16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Holders of the pre-funded warrants, Tranche 1 Warrants and Tranche 2 Warrants will have no rights as common stockholders until such holders exercise their pre-funded warrants, Tranche 1 Warrants or Tranche 2 Warrants and acquire shares of our common stock.</w:t>
      </w:r>
    </w:p>
    <w:p>
      <w:pPr>
        <w:spacing w:after="0" w:line="152" w:lineRule="exact"/>
        <w:rPr>
          <w:sz w:val="20"/>
          <w:szCs w:val="20"/>
          <w:color w:val="auto"/>
        </w:rPr>
      </w:pPr>
    </w:p>
    <w:p>
      <w:pPr>
        <w:ind w:right="260"/>
        <w:spacing w:after="0" w:line="281" w:lineRule="auto"/>
        <w:rPr>
          <w:sz w:val="20"/>
          <w:szCs w:val="20"/>
          <w:color w:val="auto"/>
        </w:rPr>
      </w:pPr>
      <w:r>
        <w:rPr>
          <w:rFonts w:ascii="Arial" w:cs="Arial" w:eastAsia="Arial" w:hAnsi="Arial"/>
          <w:sz w:val="15"/>
          <w:szCs w:val="15"/>
          <w:color w:val="auto"/>
        </w:rPr>
        <w:t>Until holders of the pre-funded warrants, Tranche 1 Warrants or Tranche 2 Warrants acquire shares of our common stock upon exercise of such warrants into shares of our common stock, such holders will have no rights with respect to the shares of our common stock underlying such pre-funded warrants, Tranche 1 Warrants or Tranche 2 Warrants. Upon exercise of the Tranche 1 Warrants, Tranche 2 Warrants or pre-funded warrants into shares of our common stock, the holders will be entitled to exercise the rights of a common stockholder only as to matters for which the record date occurs after the exercise date.</w:t>
      </w:r>
    </w:p>
    <w:p>
      <w:pPr>
        <w:spacing w:after="0" w:line="15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b w:val="1"/>
          <w:bCs w:val="1"/>
          <w:i w:val="1"/>
          <w:iCs w:val="1"/>
          <w:color w:val="auto"/>
        </w:rPr>
        <w:t>Significant holders or beneficial holders of shares of our common stock may not be permitted to exercise the pre-funded warrants, Tranche 1 Warrants and/or Tranche 2 Warrants that they hold.</w:t>
      </w:r>
    </w:p>
    <w:p>
      <w:pPr>
        <w:spacing w:after="0" w:line="152"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A holder of the pre-funded warrants, Tranche 1 Warrants and/or Tranche 2 Warrants will not be entitled to exercise any portion of any pre-funded warrant, Tranche 1 Warrant and/or Tranche 2 Warrant that, upon giving effect to such exercise, would cause the aggregate number of shares of our common stock beneficially owned by such holder (together with its affiliates) to exceed 9.99% of the number of shares of our common stock immediately after giving effect to the exercise. As a result, you may not be able to exercise your pre-funded warrants, Tranche 1 Warrants and/or Tranche 2 Warrants for shares of our common stock at a time when it would be financially beneficial for you to do so. In such a circumstance, you could seek to sell your pre-funded warrants, Tranche 1 Warrants and/or Tranche 2 Warrants to realize value (or in the case of the Tranche 1 Warrants and Tranche 2 Warrants, exercise such warrants into pre-funded warrants), but you may be unable to do so in the absence of an established trading market and due to applicable transfer restrictions. See “</w:t>
      </w:r>
      <w:r>
        <w:rPr>
          <w:rFonts w:ascii="Arial" w:cs="Arial" w:eastAsia="Arial" w:hAnsi="Arial"/>
          <w:sz w:val="15"/>
          <w:szCs w:val="15"/>
          <w:i w:val="1"/>
          <w:iCs w:val="1"/>
          <w:color w:val="auto"/>
        </w:rPr>
        <w:t>Description of Pre-Funded Warrants and Warrants</w:t>
      </w:r>
      <w:r>
        <w:rPr>
          <w:rFonts w:ascii="Arial" w:cs="Arial" w:eastAsia="Arial" w:hAnsi="Arial"/>
          <w:sz w:val="15"/>
          <w:szCs w:val="15"/>
          <w:color w:val="auto"/>
        </w:rPr>
        <w:t>.”</w:t>
      </w:r>
    </w:p>
    <w:p>
      <w:pPr>
        <w:spacing w:after="0" w:line="156"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b w:val="1"/>
          <w:bCs w:val="1"/>
          <w:i w:val="1"/>
          <w:iCs w:val="1"/>
          <w:color w:val="auto"/>
        </w:rPr>
        <w:t>We may be subject to securities litigation, class action and derivative lawsuits, which could result in substantial costs and could divert management attention away from other business concerns.</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w:t>
      </w:r>
    </w:p>
    <w:p>
      <w:pPr>
        <w:spacing w:after="0" w:line="165"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5" w:right="339" w:bottom="403" w:gutter="0" w:footer="0" w:header="0"/>
        </w:sectPr>
      </w:pPr>
    </w:p>
    <w:bookmarkStart w:id="13" w:name="page14"/>
    <w:bookmarkEnd w:id="13"/>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We estimate that the net proceeds from this offering will be approximately $93.5 million, based on the offering price of $5.38 per share of common stock, accompanying Tranche 1 Warrant and accompanying Tranche 2 Warrant, and $5.379 per pre-funded warrant, accompanying Tranche 1 Warrant and accompanying Tranche 2 Warrant (which equals the offering price of the common stock, accompanying Tranche 1 Warrants and accompanying Tranche 2 Warrants less the $0.001 per share exercise price of each such pre-funded warrant), after deducting the estimated underwriting discounts and commissions and estimated offering expenses payable by us and excluding the proceeds, if any, from the exercise of the pre-funded warrants, the Tranche 1 Warrants and the Tranche 2 Warrants issued pursuant to this offering.</w:t>
      </w:r>
    </w:p>
    <w:p>
      <w:pPr>
        <w:spacing w:after="0" w:line="15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We currently intend to use the net proceeds from the offering, together with our existing cash and cash equivalents, for research, development, manufacturing and regulatory expenses associated with development of our product candidates, including, primarily, our PALISADE Phase 3 development program for fasedienol for the acute treatment of anxiety in adults with SAD, and for other working capital and general corporate purposes.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depend on numerous factors. As a result, our management will have broad discretion in applying the net proceeds from this offering. Pending other uses, we intend to invest our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180"/>
          </w:cols>
          <w:pgMar w:left="320" w:top="531" w:right="399" w:bottom="1440" w:gutter="0" w:footer="0" w:header="0"/>
        </w:sectPr>
      </w:pPr>
    </w:p>
    <w:bookmarkStart w:id="14" w:name="page15"/>
    <w:bookmarkEnd w:id="14"/>
    <w:p>
      <w:pPr>
        <w:ind w:left="4944"/>
        <w:spacing w:after="0"/>
        <w:rPr>
          <w:sz w:val="20"/>
          <w:szCs w:val="20"/>
          <w:color w:val="auto"/>
        </w:rPr>
      </w:pPr>
      <w:r>
        <w:rPr>
          <w:rFonts w:ascii="Arial" w:cs="Arial" w:eastAsia="Arial" w:hAnsi="Arial"/>
          <w:sz w:val="16"/>
          <w:szCs w:val="16"/>
          <w:b w:val="1"/>
          <w:bCs w:val="1"/>
          <w:color w:val="auto"/>
        </w:rPr>
        <w:t>CAPITALIZATION</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our cash and cash equivalents and capitalization as of June 30, 2023:</w:t>
      </w:r>
    </w:p>
    <w:p>
      <w:pPr>
        <w:spacing w:after="0" w:line="200" w:lineRule="exact"/>
        <w:rPr>
          <w:sz w:val="20"/>
          <w:szCs w:val="20"/>
          <w:color w:val="auto"/>
        </w:rPr>
      </w:pPr>
    </w:p>
    <w:p>
      <w:pPr>
        <w:ind w:left="584" w:hanging="296"/>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20" w:lineRule="exact"/>
        <w:rPr>
          <w:rFonts w:ascii="Arial" w:cs="Arial" w:eastAsia="Arial" w:hAnsi="Arial"/>
          <w:sz w:val="16"/>
          <w:szCs w:val="16"/>
          <w:color w:val="auto"/>
        </w:rPr>
      </w:pPr>
    </w:p>
    <w:p>
      <w:pPr>
        <w:ind w:left="584" w:right="180" w:hanging="296"/>
        <w:spacing w:after="0" w:line="250" w:lineRule="auto"/>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pro forma basis giving effect to the sale and issuance of 4,137,077 shares of common stock under ATM program with Jefferies subsequent to June 30, 2023, for aggregate gross proceeds of approximately $36.2 million; and</w:t>
      </w:r>
    </w:p>
    <w:p>
      <w:pPr>
        <w:ind w:left="584" w:right="60" w:hanging="296"/>
        <w:spacing w:after="0" w:line="291" w:lineRule="auto"/>
        <w:tabs>
          <w:tab w:leader="none" w:pos="584"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a pro forma as adjusted basis to reflect: (i) the pro forma adjustments set forth above, (ii) the sale and issuance of 15,010,810 shares of common stock, accompanying Tranche 1 Warrants to purchase up to 9,294,022 shares of common stock (or pre-funded warrants in lieu thereof) and accompanying Tranche 2 Warrants to purchase up to 11,265,086 shares of common stock (or pre-funded warrants in lieu thereof) in this offering at a combined offering price of $5.38 per share of common stock, accompanying Tranche 1 Warrant and accompanying Tranche 2 Warrant and (iii) the sale and issuance of pre-funded warrants to purchase up to 3,577,240 shares of common stock, accompanying Tranche 1 Warrants to purchase up to 9,294,022 shares of common stock (or pre-funded warrants in lieu thereof) and accompanying Tranche 2 Warrants to purchase up to 11,265,086 shares of common stock (or pre-funded warrants in lieu thereof) in this offering at a combined offering price of $5.379 per pre-funded warrant, accompanying Tranche 1 Warrant and accompanying Tranche 2 Warrant (which equals the price per share at which the shares of common stock, accompanying Tranche 1 Warrants and accompanying Tranche 2 Warrants are being sold in this offering, minus the $0.001 per share exercise price of each such pre-funded warrant), and after deducting the underwriting discounts and commissions and estimated offering expenses payable by us.</w:t>
      </w:r>
    </w:p>
    <w:p>
      <w:pPr>
        <w:spacing w:after="0" w:line="145"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w w:val="90"/>
              </w:rPr>
              <w:t>As of June 30, 2023</w:t>
            </w: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260"/>
              <w:spacing w:after="0" w:line="168" w:lineRule="exact"/>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(amounts in dollars and in thousands, except share and per share amounts)</w:t>
            </w:r>
          </w:p>
        </w:tc>
        <w:tc>
          <w:tcPr>
            <w:tcW w:w="2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Actual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Pro Forma (1)</w:t>
            </w: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As Adjusted (1)(2)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9,622</w:t>
            </w: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44,748</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00" w:type="dxa"/>
            <w:vAlign w:val="bottom"/>
          </w:tcPr>
          <w:p>
            <w:pPr>
              <w:spacing w:after="0" w:line="179" w:lineRule="exact"/>
              <w:rPr>
                <w:sz w:val="20"/>
                <w:szCs w:val="20"/>
                <w:color w:val="auto"/>
              </w:rPr>
            </w:pPr>
            <w:r>
              <w:rPr>
                <w:rFonts w:ascii="Arial" w:cs="Arial" w:eastAsia="Arial" w:hAnsi="Arial"/>
                <w:sz w:val="16"/>
                <w:szCs w:val="16"/>
                <w:color w:val="auto"/>
                <w:w w:val="92"/>
              </w:rPr>
              <w:t>Preferred stock, $0.001 par value, 10,000,000 shares authorized; no shares outstanding, actual,</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320" w:type="dxa"/>
            <w:vAlign w:val="bottom"/>
            <w:gridSpan w:val="2"/>
          </w:tcPr>
          <w:p>
            <w:pPr>
              <w:spacing w:after="0"/>
              <w:rPr>
                <w:sz w:val="20"/>
                <w:szCs w:val="20"/>
                <w:color w:val="auto"/>
              </w:rPr>
            </w:pPr>
            <w:r>
              <w:rPr>
                <w:rFonts w:ascii="Arial" w:cs="Arial" w:eastAsia="Arial" w:hAnsi="Arial"/>
                <w:sz w:val="16"/>
                <w:szCs w:val="16"/>
                <w:color w:val="auto"/>
              </w:rPr>
              <w:t>pro forma and pro forma, as adjusted</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6"/>
              </w:rPr>
              <w:t>Common stock, $0.001 par value, 325,000,000 shares authorized; 7,879,673 shares issued,</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w w:val="94"/>
              </w:rPr>
              <w:t>actual; 12,016,750 shares issued, pro forma; 30,604,800 shares issued, pro forma as adjusted</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344,564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379,686</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473,167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4,522 shares, actual, pro forma and pro forma as adjusted</w:t>
            </w: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(3,968)</w:t>
            </w:r>
          </w:p>
        </w:tc>
        <w:tc>
          <w:tcPr>
            <w:tcW w:w="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(333,755)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(333,755)</w:t>
            </w:r>
          </w:p>
        </w:tc>
        <w:tc>
          <w:tcPr>
            <w:tcW w:w="8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(333,755)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6,849</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41,975</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135,475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00" w:type="dxa"/>
            <w:vAlign w:val="bottom"/>
          </w:tcPr>
          <w:p>
            <w:pPr>
              <w:ind w:left="120"/>
              <w:spacing w:after="0" w:line="168" w:lineRule="exact"/>
              <w:rPr>
                <w:sz w:val="20"/>
                <w:szCs w:val="20"/>
                <w:color w:val="auto"/>
              </w:rPr>
            </w:pPr>
            <w:r>
              <w:rPr>
                <w:rFonts w:ascii="Arial" w:cs="Arial" w:eastAsia="Arial" w:hAnsi="Arial"/>
                <w:sz w:val="16"/>
                <w:szCs w:val="16"/>
                <w:color w:val="auto"/>
              </w:rPr>
              <w:t>Total capitalization</w:t>
            </w:r>
          </w:p>
        </w:tc>
        <w:tc>
          <w:tcPr>
            <w:tcW w:w="280" w:type="dxa"/>
            <w:vAlign w:val="bottom"/>
          </w:tcPr>
          <w:p>
            <w:pPr>
              <w:jc w:val="right"/>
              <w:ind w:right="126"/>
              <w:spacing w:after="0" w:line="168"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68" w:lineRule="exact"/>
              <w:rPr>
                <w:sz w:val="20"/>
                <w:szCs w:val="20"/>
                <w:color w:val="auto"/>
              </w:rPr>
            </w:pPr>
            <w:r>
              <w:rPr>
                <w:rFonts w:ascii="Arial" w:cs="Arial" w:eastAsia="Arial" w:hAnsi="Arial"/>
                <w:sz w:val="16"/>
                <w:szCs w:val="16"/>
                <w:color w:val="auto"/>
              </w:rPr>
              <w:t>6,849</w:t>
            </w:r>
          </w:p>
        </w:tc>
        <w:tc>
          <w:tcPr>
            <w:tcW w:w="160" w:type="dxa"/>
            <w:vAlign w:val="bottom"/>
          </w:tcPr>
          <w:p>
            <w:pPr>
              <w:spacing w:after="0"/>
              <w:rPr>
                <w:sz w:val="14"/>
                <w:szCs w:val="14"/>
                <w:color w:val="auto"/>
              </w:rPr>
            </w:pPr>
          </w:p>
        </w:tc>
        <w:tc>
          <w:tcPr>
            <w:tcW w:w="240" w:type="dxa"/>
            <w:vAlign w:val="bottom"/>
            <w:gridSpan w:val="2"/>
          </w:tcPr>
          <w:p>
            <w:pPr>
              <w:jc w:val="right"/>
              <w:ind w:right="3"/>
              <w:spacing w:after="0" w:line="168" w:lineRule="exact"/>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line="168" w:lineRule="exact"/>
              <w:rPr>
                <w:sz w:val="20"/>
                <w:szCs w:val="20"/>
                <w:color w:val="auto"/>
              </w:rPr>
            </w:pPr>
            <w:r>
              <w:rPr>
                <w:rFonts w:ascii="Arial" w:cs="Arial" w:eastAsia="Arial" w:hAnsi="Arial"/>
                <w:sz w:val="16"/>
                <w:szCs w:val="16"/>
                <w:color w:val="auto"/>
              </w:rPr>
              <w:t>41,975</w:t>
            </w:r>
          </w:p>
        </w:tc>
        <w:tc>
          <w:tcPr>
            <w:tcW w:w="8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68" w:lineRule="exact"/>
              <w:rPr>
                <w:sz w:val="20"/>
                <w:szCs w:val="20"/>
                <w:color w:val="auto"/>
              </w:rPr>
            </w:pPr>
            <w:r>
              <w:rPr>
                <w:rFonts w:ascii="Arial" w:cs="Arial" w:eastAsia="Arial" w:hAnsi="Arial"/>
                <w:sz w:val="16"/>
                <w:szCs w:val="16"/>
                <w:color w:val="auto"/>
              </w:rPr>
              <w:t>135,475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84" w:hanging="284"/>
        <w:spacing w:after="0"/>
        <w:tabs>
          <w:tab w:leader="none" w:pos="284"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Assumes 4,137,077 shares of common stock sold under our ATM program since June 30, 2023.</w:t>
      </w:r>
    </w:p>
    <w:p>
      <w:pPr>
        <w:spacing w:after="0" w:line="199" w:lineRule="exact"/>
        <w:rPr>
          <w:rFonts w:ascii="Arial" w:cs="Arial" w:eastAsia="Arial" w:hAnsi="Arial"/>
          <w:sz w:val="16"/>
          <w:szCs w:val="16"/>
          <w:color w:val="auto"/>
        </w:rPr>
      </w:pPr>
    </w:p>
    <w:p>
      <w:pPr>
        <w:ind w:left="284" w:hanging="284"/>
        <w:spacing w:after="0"/>
        <w:tabs>
          <w:tab w:leader="none" w:pos="284"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Assumes all originally issued pre-funded warrants in this offering have been exercised into common stock.</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5"/>
          <w:szCs w:val="15"/>
          <w:color w:val="auto"/>
        </w:rPr>
        <w:t>Except as disclosed herein, the foregoing tables and calculations are based on 7,875,151 shares of our common stock outstanding as of June 30, 2023, and excludes:</w:t>
      </w:r>
    </w:p>
    <w:p>
      <w:pPr>
        <w:spacing w:after="0" w:line="211" w:lineRule="exact"/>
        <w:rPr>
          <w:sz w:val="20"/>
          <w:szCs w:val="20"/>
          <w:color w:val="auto"/>
        </w:rPr>
      </w:pPr>
    </w:p>
    <w:p>
      <w:pPr>
        <w:ind w:left="584" w:hanging="296"/>
        <w:spacing w:after="0"/>
        <w:tabs>
          <w:tab w:leader="none" w:pos="584" w:val="left"/>
        </w:tabs>
        <w:numPr>
          <w:ilvl w:val="0"/>
          <w:numId w:val="7"/>
        </w:numPr>
        <w:rPr>
          <w:rFonts w:ascii="Arial" w:cs="Arial" w:eastAsia="Arial" w:hAnsi="Arial"/>
          <w:sz w:val="15"/>
          <w:szCs w:val="15"/>
          <w:color w:val="auto"/>
        </w:rPr>
      </w:pPr>
      <w:r>
        <w:rPr>
          <w:rFonts w:ascii="Arial" w:cs="Arial" w:eastAsia="Arial" w:hAnsi="Arial"/>
          <w:sz w:val="15"/>
          <w:szCs w:val="15"/>
          <w:color w:val="auto"/>
        </w:rPr>
        <w:t>45,686 shares of common stock reserved for issuance upon exercise of outstanding warrants, with a weighted average exercise price of $16.87 per share;</w:t>
      </w:r>
    </w:p>
    <w:p>
      <w:pPr>
        <w:spacing w:after="0" w:line="235" w:lineRule="exact"/>
        <w:rPr>
          <w:rFonts w:ascii="Arial" w:cs="Arial" w:eastAsia="Arial" w:hAnsi="Arial"/>
          <w:sz w:val="15"/>
          <w:szCs w:val="15"/>
          <w:color w:val="auto"/>
        </w:rPr>
      </w:pPr>
    </w:p>
    <w:p>
      <w:pPr>
        <w:ind w:left="584" w:right="180" w:hanging="296"/>
        <w:spacing w:after="0" w:line="276" w:lineRule="auto"/>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712,555 registered shares of common stock reserved for issuance upon exercise of outstanding stock options under our Amended and Restated 2016 Stock Incentive Plan and our 2019 Plan, with a weighted average exercise price of $37.23 per share;</w:t>
      </w:r>
    </w:p>
    <w:p>
      <w:pPr>
        <w:spacing w:after="0" w:line="152" w:lineRule="exact"/>
        <w:rPr>
          <w:rFonts w:ascii="Arial" w:cs="Arial" w:eastAsia="Arial" w:hAnsi="Arial"/>
          <w:sz w:val="16"/>
          <w:szCs w:val="16"/>
          <w:color w:val="auto"/>
        </w:rPr>
      </w:pPr>
    </w:p>
    <w:p>
      <w:pPr>
        <w:ind w:left="584" w:hanging="296"/>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169,240 registered shares of common stock reserved for future issuance in connection with future grants under our 2019 Plan;</w:t>
      </w:r>
    </w:p>
    <w:p>
      <w:pPr>
        <w:spacing w:after="0" w:line="223" w:lineRule="exact"/>
        <w:rPr>
          <w:rFonts w:ascii="Arial" w:cs="Arial" w:eastAsia="Arial" w:hAnsi="Arial"/>
          <w:sz w:val="16"/>
          <w:szCs w:val="16"/>
          <w:color w:val="auto"/>
        </w:rPr>
      </w:pPr>
    </w:p>
    <w:p>
      <w:pPr>
        <w:ind w:left="584" w:hanging="296"/>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21,651 shares of common stock reserved for future issuance in connection with future sales under our 2019 Employee Stock Purchase Plan;</w:t>
      </w:r>
    </w:p>
    <w:p>
      <w:pPr>
        <w:spacing w:after="0" w:line="223" w:lineRule="exact"/>
        <w:rPr>
          <w:rFonts w:ascii="Arial" w:cs="Arial" w:eastAsia="Arial" w:hAnsi="Arial"/>
          <w:sz w:val="16"/>
          <w:szCs w:val="16"/>
          <w:color w:val="auto"/>
        </w:rPr>
      </w:pPr>
    </w:p>
    <w:p>
      <w:pPr>
        <w:ind w:left="584" w:hanging="296"/>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4,137,077 shares of common stock sold under our ATM program since June 30, 2023; and</w:t>
      </w:r>
    </w:p>
    <w:p>
      <w:pPr>
        <w:spacing w:after="0" w:line="199" w:lineRule="exact"/>
        <w:rPr>
          <w:rFonts w:ascii="Arial" w:cs="Arial" w:eastAsia="Arial" w:hAnsi="Arial"/>
          <w:sz w:val="16"/>
          <w:szCs w:val="16"/>
          <w:color w:val="auto"/>
        </w:rPr>
      </w:pPr>
    </w:p>
    <w:p>
      <w:pPr>
        <w:ind w:left="584" w:hanging="296"/>
        <w:spacing w:after="0"/>
        <w:tabs>
          <w:tab w:leader="none" w:pos="584" w:val="left"/>
        </w:tabs>
        <w:numPr>
          <w:ilvl w:val="0"/>
          <w:numId w:val="7"/>
        </w:numPr>
        <w:rPr>
          <w:rFonts w:ascii="Arial" w:cs="Arial" w:eastAsia="Arial" w:hAnsi="Arial"/>
          <w:sz w:val="15"/>
          <w:szCs w:val="15"/>
          <w:color w:val="auto"/>
        </w:rPr>
      </w:pPr>
      <w:r>
        <w:rPr>
          <w:rFonts w:ascii="Arial" w:cs="Arial" w:eastAsia="Arial" w:hAnsi="Arial"/>
          <w:sz w:val="15"/>
          <w:szCs w:val="15"/>
          <w:color w:val="auto"/>
        </w:rPr>
        <w:t>24,136,348 shares of common stock issuable upon exercise of the pre-funded warrants, Tranche 1 Warrants and Tranche 2 Warrants issued in this offering.</w:t>
      </w:r>
    </w:p>
    <w:p>
      <w:pPr>
        <w:spacing w:after="0" w:line="211" w:lineRule="exact"/>
        <w:rPr>
          <w:sz w:val="20"/>
          <w:szCs w:val="20"/>
          <w:color w:val="auto"/>
        </w:rPr>
      </w:pPr>
    </w:p>
    <w:p>
      <w:pPr>
        <w:ind w:left="5484" w:right="1300" w:hanging="5476"/>
        <w:spacing w:after="0" w:line="526" w:lineRule="auto"/>
        <w:rPr>
          <w:sz w:val="20"/>
          <w:szCs w:val="20"/>
          <w:color w:val="auto"/>
        </w:rPr>
      </w:pPr>
      <w:r>
        <w:rPr>
          <w:rFonts w:ascii="Arial" w:cs="Arial" w:eastAsia="Arial" w:hAnsi="Arial"/>
          <w:sz w:val="16"/>
          <w:szCs w:val="16"/>
          <w:color w:val="auto"/>
        </w:rPr>
        <w:t>The number of shares of common stock outstanding after this offering also assumes no exercise of the outstanding warrants and/or options described above. 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75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531"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DILUTION</w:t>
      </w:r>
    </w:p>
    <w:p>
      <w:pPr>
        <w:spacing w:after="0" w:line="39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If you purchase shares of common stock in this offering, you will experience dilution to the extent of the difference between the effective offering price per share of common stock included in the shares of common stock and the net tangible book value per share of our common stock immediately after this offering. Our net tangible book value as of June 30, 2023 was approximately $6.85 million, or $0.87 per share. Our net tangible book value represents our total assets, excluding intangible assets, less our total liabilities, divided by the number of shares of common stock outstanding on June 30, 2023.</w:t>
      </w:r>
    </w:p>
    <w:p>
      <w:pPr>
        <w:spacing w:after="0" w:line="165" w:lineRule="exact"/>
        <w:rPr>
          <w:sz w:val="20"/>
          <w:szCs w:val="20"/>
          <w:color w:val="auto"/>
        </w:rPr>
      </w:pPr>
    </w:p>
    <w:p>
      <w:pPr>
        <w:jc w:val="both"/>
        <w:ind w:right="320"/>
        <w:spacing w:after="0" w:line="263" w:lineRule="auto"/>
        <w:rPr>
          <w:sz w:val="20"/>
          <w:szCs w:val="20"/>
          <w:color w:val="auto"/>
        </w:rPr>
      </w:pPr>
      <w:r>
        <w:rPr>
          <w:rFonts w:ascii="Arial" w:cs="Arial" w:eastAsia="Arial" w:hAnsi="Arial"/>
          <w:sz w:val="16"/>
          <w:szCs w:val="16"/>
          <w:color w:val="auto"/>
        </w:rPr>
        <w:t>Pro forma net tangible book value per share represents our total tangible assets less our total liabilities, divided by the number of shares of common stock outstanding as of June 30, 2023, after giving effect to the sale and issuance of 4,137,077 shares of common stock under our ATM program subsequent to June 30, 2023, for aggregate gross proceeds of approximately $36.2 million.</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After further giving effect to (i) the pro forma adjustment described above, (ii) the sale and issuance of 15,010,810 shares of common stock, accompanying Tranche 1 Warrants to purchase up to 9,294,022 shares of common stock (or pre-funded warrants in lieu thereof) and accompanying Tranche 2 Warrants to purchase up to 11,265,086 shares of common stock (or pre-funded warrants in lieu thereof) in this offering at a combined offering price of $5.38 per share of common stock, accompanying Tranche 1 Warrant and accompanying Tranche 2 Warrant, and (iii) the sale and issuance of pre-funded warrants to purchase up to 3,577,240 shares of common stock, accompanying Tranche 1 Warrants to purchase up to 9,294,022 shares of common stock (or pre-funded warrants in lieu thereof) and accompanying Tranche 2 Warrants to purchase up to 11,265,086 shares of common stock (or pre-funded warrants in lieu thereof) in this offering at a combined offering price of $5.379 per pre-funded warrant, accompanying Tranche 1 Warrant and accompanying Tranche 2 Warrant (which equals the price per share at which the shares of common stock, accompanying Tranche 1 Warrants and accompanying Tranche 2 Warrants are being sold in this offering, minus the $0.001 per share exercise price of each such pre-funded warrant), and after deducting the underwriting discounts and commissions and estimated offering expenses payable by us, our pro forma, as adjusted net tangible book value as of June 30, 2023 would have been approximately $135.5 million, or $4.43 per share. This represents an immediate increase in net tangible book value of $0.93 per share to existing stockholders and immediate dilution of $0.95 per share to investors purchasing shares of common stock or pre-funded warrants and the accompanying Tranche 1 Warrants and Tranche 2 Warrants, in each case, in this offering at the offering price. For the purposes of the foregoing paragraph, you should assume that all originally issued pre-funded warrants in this offering have been exercised into common stock.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gridSpan w:val="2"/>
          </w:tcPr>
          <w:p>
            <w:pPr>
              <w:spacing w:after="0"/>
              <w:rPr>
                <w:sz w:val="20"/>
                <w:szCs w:val="20"/>
                <w:color w:val="auto"/>
              </w:rPr>
            </w:pPr>
            <w:r>
              <w:rPr>
                <w:rFonts w:ascii="Arial" w:cs="Arial" w:eastAsia="Arial" w:hAnsi="Arial"/>
                <w:sz w:val="16"/>
                <w:szCs w:val="16"/>
                <w:color w:val="auto"/>
              </w:rPr>
              <w:t>The following table illustrates the dilution in net tangible book value per share to new investors:</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w w:val="96"/>
              </w:rPr>
              <w:t>Offering price per share of common stock, accompanying Tranche 1 Warrant and accompanying Tranche 2 Warrant:</w:t>
            </w:r>
          </w:p>
        </w:tc>
        <w:tc>
          <w:tcPr>
            <w:tcW w:w="64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Net tangible book value per share as of June 30, 2023</w:t>
            </w: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0.87</w:t>
            </w: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980" w:type="dxa"/>
            <w:vAlign w:val="bottom"/>
            <w:shd w:val="clear" w:color="auto" w:fill="CCEEFF"/>
          </w:tcPr>
          <w:p>
            <w:pPr>
              <w:ind w:left="120"/>
              <w:spacing w:after="0" w:line="179" w:lineRule="exact"/>
              <w:rPr>
                <w:sz w:val="20"/>
                <w:szCs w:val="20"/>
                <w:color w:val="auto"/>
              </w:rPr>
            </w:pPr>
            <w:r>
              <w:rPr>
                <w:rFonts w:ascii="Arial" w:cs="Arial" w:eastAsia="Arial" w:hAnsi="Arial"/>
                <w:sz w:val="16"/>
                <w:szCs w:val="16"/>
                <w:color w:val="auto"/>
                <w:w w:val="92"/>
              </w:rPr>
              <w:t>Pro forma increase in net tangible book value per share attributable to the sale and issuance of shares of common stock</w:t>
            </w:r>
          </w:p>
        </w:tc>
        <w:tc>
          <w:tcPr>
            <w:tcW w:w="640" w:type="dxa"/>
            <w:vAlign w:val="bottom"/>
            <w:vMerge w:val="restart"/>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20" w:type="dxa"/>
            <w:vAlign w:val="bottom"/>
            <w:vMerge w:val="restart"/>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pursuant to ATM program sales subsequent to June 30, 2023 (1)</w:t>
            </w: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Pro forma net tangible book value per share as of June 30, 2023 (1)</w:t>
            </w: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3.49</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Increase in pro forma as adjusted net tangible book value per share after this offering (1)(2)</w:t>
            </w:r>
          </w:p>
        </w:tc>
        <w:tc>
          <w:tcPr>
            <w:tcW w:w="640" w:type="dxa"/>
            <w:vAlign w:val="bottom"/>
            <w:tcBorders>
              <w:bottom w:val="single" w:sz="8" w:color="auto"/>
            </w:tcBorders>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this offering (1)(2)</w:t>
            </w:r>
          </w:p>
        </w:tc>
        <w:tc>
          <w:tcPr>
            <w:tcW w:w="640" w:type="dxa"/>
            <w:vAlign w:val="bottom"/>
          </w:tcPr>
          <w:p>
            <w:pPr>
              <w:spacing w:after="0"/>
              <w:rPr>
                <w:sz w:val="15"/>
                <w:szCs w:val="15"/>
                <w:color w:val="auto"/>
              </w:rPr>
            </w:pPr>
          </w:p>
        </w:tc>
        <w:tc>
          <w:tcPr>
            <w:tcW w:w="168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Dilution in pro forma as adjusted net tangible book value per share to new investors in this offering (1)(2)</w:t>
            </w:r>
          </w:p>
        </w:tc>
        <w:tc>
          <w:tcPr>
            <w:tcW w:w="64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Assumes 4,137,077 shares of common stock sold under our ATM program since June 30, 2023.</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(2) Assumes all originally issued pre-funded warrants in this offering have been exercised into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Except as disclosed herein, the foregoing tables and calculations are based on 7,875,151 shares of our common stock outstanding as of June 30, 2023, and excludes:</w:t>
      </w:r>
    </w:p>
    <w:p>
      <w:pPr>
        <w:spacing w:after="0" w:line="211" w:lineRule="exact"/>
        <w:rPr>
          <w:sz w:val="20"/>
          <w:szCs w:val="20"/>
          <w:color w:val="auto"/>
        </w:rPr>
      </w:pPr>
    </w:p>
    <w:p>
      <w:pPr>
        <w:ind w:left="580" w:hanging="296"/>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45,686 shares of common stock reserved for issuance upon exercise of outstanding warrants, with a weighted average exercise price of $16.87 per share;</w:t>
      </w:r>
    </w:p>
    <w:p>
      <w:pPr>
        <w:spacing w:after="0" w:line="235" w:lineRule="exact"/>
        <w:rPr>
          <w:rFonts w:ascii="Arial" w:cs="Arial" w:eastAsia="Arial" w:hAnsi="Arial"/>
          <w:sz w:val="15"/>
          <w:szCs w:val="15"/>
          <w:color w:val="auto"/>
        </w:rPr>
      </w:pPr>
    </w:p>
    <w:p>
      <w:pPr>
        <w:ind w:left="580" w:right="180" w:hanging="296"/>
        <w:spacing w:after="0" w:line="276"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712,555 registered shares of common stock reserved for issuance upon exercise of outstanding stock options under our Amended and Restated 2016 Stock Incentive Plan and our 2019 Plan, with a weighted average exercise price of $37.23 per share;</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169,240 registered shares of common stock reserved for future issuance in connection with future grants under our 2019 Plan;</w:t>
      </w:r>
    </w:p>
    <w:p>
      <w:pPr>
        <w:spacing w:after="0" w:line="223" w:lineRule="exact"/>
        <w:rPr>
          <w:rFonts w:ascii="Arial" w:cs="Arial" w:eastAsia="Arial" w:hAnsi="Arial"/>
          <w:sz w:val="16"/>
          <w:szCs w:val="16"/>
          <w:color w:val="auto"/>
        </w:rPr>
      </w:pPr>
    </w:p>
    <w:p>
      <w:pPr>
        <w:ind w:left="580" w:hanging="296"/>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21,651 shares of common stock reserved for future issuance in connection with future sales under our 2019 Employee Stock Purchase Plan;</w:t>
      </w:r>
    </w:p>
    <w:p>
      <w:pPr>
        <w:spacing w:after="0" w:line="223" w:lineRule="exact"/>
        <w:rPr>
          <w:rFonts w:ascii="Arial" w:cs="Arial" w:eastAsia="Arial" w:hAnsi="Arial"/>
          <w:sz w:val="16"/>
          <w:szCs w:val="16"/>
          <w:color w:val="auto"/>
        </w:rPr>
      </w:pPr>
    </w:p>
    <w:p>
      <w:pPr>
        <w:ind w:left="580" w:hanging="296"/>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4,137,077 shares of common stock sold under our ATM program since June 30, 2023; and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24,136,348 shares of common stock issuable upon exercise of the pre-funded warrants, Tranche 1 Warrants and Tranche 2 Warrants issued in this offering.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outstanding after this offering also assumes no exercise of the outstanding warrants and/or options described above.</w:t>
      </w:r>
    </w:p>
    <w:p>
      <w:pPr>
        <w:spacing w:after="0" w:line="20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To the extent that outstanding options or warrants have been or are exercised or other shares are issued, including pursuant to our ATM program with Jefferies, existing stockholders could experience further dilution. We intend to raise additional capital through the issuance of additional equity in public or private offerings, or non-dilutive strategic partners, or any combination of the above. We may also choose to raise capital due to market conditions or strategic considerations, even if we believe we have sufficient funds for our operating plans in the future. To the extent that we raise additional capital through the sale of equity or convertible debt securities, the issuance of these securities would result in further dilution to our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6"/>
          <w:szCs w:val="16"/>
          <w:b w:val="1"/>
          <w:bCs w:val="1"/>
          <w:color w:val="auto"/>
        </w:rPr>
        <w:t>DIVIDEND POLICY</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never declared or paid any cash dividends on our capital stock. We currently expect to retain all available funds and future earnings, if any, to finance the growth and development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any future financing instruments, provisions of applicable law and other factors our Board of Directors deems relevant.</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120"/>
          </w:cols>
          <w:pgMar w:left="320" w:top="531" w:right="45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DESCRIPTION OF PRE-FUNDED WARRANTS AND WARRANTS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Pre-Funded Warrants</w:t>
      </w:r>
    </w:p>
    <w:p>
      <w:pPr>
        <w:spacing w:after="0" w:line="204"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15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i w:val="1"/>
          <w:iCs w:val="1"/>
          <w:color w:val="auto"/>
        </w:rPr>
        <w:t>Form</w:t>
      </w:r>
      <w:r>
        <w:rPr>
          <w:rFonts w:ascii="Arial" w:cs="Arial" w:eastAsia="Arial" w:hAnsi="Arial"/>
          <w:sz w:val="16"/>
          <w:szCs w:val="16"/>
          <w:color w:val="auto"/>
        </w:rPr>
        <w:t>. The pre-funded warrants will be issued as individual warrant agreements to the investors. You should review the form of pre-funded warrant, which will be filed as an</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to a Current Report on Form 8-K, for a complete description of the terms and conditions applicable to the pre-funded warrants.</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i w:val="1"/>
          <w:iCs w:val="1"/>
          <w:color w:val="auto"/>
        </w:rPr>
        <w:t>Exercisability</w:t>
      </w:r>
      <w:r>
        <w:rPr>
          <w:rFonts w:ascii="Arial" w:cs="Arial" w:eastAsia="Arial" w:hAnsi="Arial"/>
          <w:sz w:val="15"/>
          <w:szCs w:val="15"/>
          <w:color w:val="auto"/>
        </w:rPr>
        <w:t>. The pre-funded warrants are exercisable at any time after their original issuance. The pre-funded warrants will be exercisable, at the option of each holder, in</w:t>
      </w:r>
      <w:r>
        <w:rPr>
          <w:rFonts w:ascii="Arial" w:cs="Arial" w:eastAsia="Arial" w:hAnsi="Arial"/>
          <w:sz w:val="15"/>
          <w:szCs w:val="15"/>
          <w:i w:val="1"/>
          <w:iCs w:val="1"/>
          <w:color w:val="auto"/>
        </w:rPr>
        <w:t xml:space="preserve"> </w:t>
      </w:r>
      <w:r>
        <w:rPr>
          <w:rFonts w:ascii="Arial" w:cs="Arial" w:eastAsia="Arial" w:hAnsi="Arial"/>
          <w:sz w:val="15"/>
          <w:szCs w:val="15"/>
          <w:color w:val="auto"/>
        </w:rPr>
        <w:t>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exercise price.</w:t>
      </w:r>
    </w:p>
    <w:p>
      <w:pPr>
        <w:spacing w:after="0" w:line="157" w:lineRule="exact"/>
        <w:rPr>
          <w:sz w:val="20"/>
          <w:szCs w:val="20"/>
          <w:color w:val="auto"/>
        </w:rPr>
      </w:pPr>
    </w:p>
    <w:p>
      <w:pPr>
        <w:ind w:right="180"/>
        <w:spacing w:after="0" w:line="307" w:lineRule="auto"/>
        <w:rPr>
          <w:sz w:val="20"/>
          <w:szCs w:val="20"/>
          <w:color w:val="auto"/>
        </w:rPr>
      </w:pPr>
      <w:r>
        <w:rPr>
          <w:rFonts w:ascii="Arial" w:cs="Arial" w:eastAsia="Arial" w:hAnsi="Arial"/>
          <w:sz w:val="14"/>
          <w:szCs w:val="14"/>
          <w:i w:val="1"/>
          <w:iCs w:val="1"/>
          <w:color w:val="auto"/>
        </w:rPr>
        <w:t>Exercise Limitations</w:t>
      </w:r>
      <w:r>
        <w:rPr>
          <w:rFonts w:ascii="Arial" w:cs="Arial" w:eastAsia="Arial" w:hAnsi="Arial"/>
          <w:sz w:val="14"/>
          <w:szCs w:val="14"/>
          <w:color w:val="auto"/>
        </w:rPr>
        <w:t>. A holder will not have the right to exercise any portion of the pre-funded warrant if the holder (together with its affiliates) would beneficially own in</w:t>
      </w:r>
      <w:r>
        <w:rPr>
          <w:rFonts w:ascii="Arial" w:cs="Arial" w:eastAsia="Arial" w:hAnsi="Arial"/>
          <w:sz w:val="14"/>
          <w:szCs w:val="14"/>
          <w:i w:val="1"/>
          <w:iCs w:val="1"/>
          <w:color w:val="auto"/>
        </w:rPr>
        <w:t xml:space="preserve"> </w:t>
      </w:r>
      <w:r>
        <w:rPr>
          <w:rFonts w:ascii="Arial" w:cs="Arial" w:eastAsia="Arial" w:hAnsi="Arial"/>
          <w:sz w:val="14"/>
          <w:szCs w:val="14"/>
          <w:color w:val="auto"/>
        </w:rPr>
        <w:t>excess of 9.99% of the number of shares of our common stock outstanding immediately after giving effect to the exercise, as such percentage ownership is determined in accordance with the terms of the pre-funded warrants. However, any holder may elect, prior to issuance of its pre-funded warrant, to include a provision in such holder’s pre-funded warrant that will permit such holder to elect to increase or decrease such percentage to any other percentage upon at least 61 days’ prior notice from the holder to us.</w:t>
      </w:r>
    </w:p>
    <w:p>
      <w:pPr>
        <w:spacing w:after="0" w:line="135" w:lineRule="exact"/>
        <w:rPr>
          <w:sz w:val="20"/>
          <w:szCs w:val="20"/>
          <w:color w:val="auto"/>
        </w:rPr>
      </w:pPr>
    </w:p>
    <w:p>
      <w:pPr>
        <w:ind w:right="200"/>
        <w:spacing w:after="0" w:line="318" w:lineRule="auto"/>
        <w:rPr>
          <w:sz w:val="20"/>
          <w:szCs w:val="20"/>
          <w:color w:val="auto"/>
        </w:rPr>
      </w:pPr>
      <w:r>
        <w:rPr>
          <w:rFonts w:ascii="Arial" w:cs="Arial" w:eastAsia="Arial" w:hAnsi="Arial"/>
          <w:sz w:val="14"/>
          <w:szCs w:val="14"/>
          <w:i w:val="1"/>
          <w:iCs w:val="1"/>
          <w:color w:val="auto"/>
        </w:rPr>
        <w:t>Exercise Price</w:t>
      </w:r>
      <w:r>
        <w:rPr>
          <w:rFonts w:ascii="Arial" w:cs="Arial" w:eastAsia="Arial" w:hAnsi="Arial"/>
          <w:sz w:val="14"/>
          <w:szCs w:val="14"/>
          <w:color w:val="auto"/>
        </w:rPr>
        <w:t>. The exercise price per whole share of our common stock purchasable upon the exercise of the pre-funded warrants is $0.001 per share of common stock. The</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Subject to applicable laws, the pre-funded warrants may be offered for sale, sold, transferred or assigned without our consent.</w:t>
      </w:r>
    </w:p>
    <w:p>
      <w:pPr>
        <w:spacing w:after="0" w:line="200"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i w:val="1"/>
          <w:iCs w:val="1"/>
          <w:color w:val="auto"/>
        </w:rPr>
        <w:t>Exchange Listing</w:t>
      </w:r>
      <w:r>
        <w:rPr>
          <w:rFonts w:ascii="Arial" w:cs="Arial" w:eastAsia="Arial" w:hAnsi="Arial"/>
          <w:sz w:val="16"/>
          <w:szCs w:val="16"/>
          <w:color w:val="auto"/>
        </w:rPr>
        <w:t>. We do not plan on applying to list the pre-funded warrants on The Nasdaq Capital Market, any other national securities exchange or any other nationally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trading system.</w:t>
      </w:r>
    </w:p>
    <w:p>
      <w:pPr>
        <w:spacing w:after="0" w:line="152"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i w:val="1"/>
          <w:iCs w:val="1"/>
          <w:color w:val="auto"/>
        </w:rPr>
        <w:t>Fundamental Transactions</w:t>
      </w:r>
      <w:r>
        <w:rPr>
          <w:rFonts w:ascii="Arial" w:cs="Arial" w:eastAsia="Arial" w:hAnsi="Arial"/>
          <w:sz w:val="14"/>
          <w:szCs w:val="14"/>
          <w:color w:val="auto"/>
        </w:rPr>
        <w:t>. In the event of a fundamental transaction, as described in the pre-funded warrants and generally including any reorganization, recapitalization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38"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Rights as a Stockholder</w:t>
      </w:r>
      <w:r>
        <w:rPr>
          <w:rFonts w:ascii="Arial" w:cs="Arial" w:eastAsia="Arial" w:hAnsi="Arial"/>
          <w:sz w:val="16"/>
          <w:szCs w:val="16"/>
          <w:color w:val="auto"/>
        </w:rPr>
        <w:t>. Except by virtue of such holder’s ownership of shares of our common stock, the holder of a pre-funded warrant does not have the rights or privileges</w:t>
      </w:r>
      <w:r>
        <w:rPr>
          <w:rFonts w:ascii="Arial" w:cs="Arial" w:eastAsia="Arial" w:hAnsi="Arial"/>
          <w:sz w:val="16"/>
          <w:szCs w:val="16"/>
          <w:i w:val="1"/>
          <w:iCs w:val="1"/>
          <w:color w:val="auto"/>
        </w:rPr>
        <w:t xml:space="preserve"> </w:t>
      </w:r>
      <w:r>
        <w:rPr>
          <w:rFonts w:ascii="Arial" w:cs="Arial" w:eastAsia="Arial" w:hAnsi="Arial"/>
          <w:sz w:val="16"/>
          <w:szCs w:val="16"/>
          <w:color w:val="auto"/>
        </w:rPr>
        <w:t>of a holder of our common stock, including any voting rights, until the holder exercises the pre-funded warrant.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Tranche 1 Warrants</w:t>
      </w:r>
    </w:p>
    <w:p>
      <w:pPr>
        <w:spacing w:after="0" w:line="20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The following is a brief summary of certain terms and conditions of the Tranche 1 Warrants being offered by this prospectus supplement. The following description is subject in all respects to the provisions contained in the Tranche 1 Warrants.</w:t>
      </w:r>
    </w:p>
    <w:p>
      <w:pPr>
        <w:spacing w:after="0" w:line="152"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i w:val="1"/>
          <w:iCs w:val="1"/>
          <w:color w:val="auto"/>
        </w:rPr>
        <w:t>Form</w:t>
      </w:r>
      <w:r>
        <w:rPr>
          <w:rFonts w:ascii="Arial" w:cs="Arial" w:eastAsia="Arial" w:hAnsi="Arial"/>
          <w:sz w:val="16"/>
          <w:szCs w:val="16"/>
          <w:color w:val="auto"/>
        </w:rPr>
        <w:t>. The Tranche 1 Warrants will be issued as individual warrant agreements to the investors. You should review the form of Tranche 1 Warrants, which will be filed as an</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to a Current Report on Form 8-K, for a complete description of the terms and conditions applicable to the Tranche 1 Warrants.</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Exercisability</w:t>
      </w:r>
      <w:r>
        <w:rPr>
          <w:rFonts w:ascii="Arial" w:cs="Arial" w:eastAsia="Arial" w:hAnsi="Arial"/>
          <w:sz w:val="16"/>
          <w:szCs w:val="16"/>
          <w:color w:val="auto"/>
        </w:rPr>
        <w:t>. The Tranche 1 Warrants are exercisable at any time after their original issuance and will expire 60 days after the later of (i) the date on which we first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disclose, whether by press release or Form 8-K filing, the top-line data for our PALISADE-3 study and (ii) the date on which we first publicly disclose, whether by press release or Form 8-K filing, the top-line data for our PALISADE-4 study. The Tranche 1 Warrants will be exercisable, at the option of each holder, in whole or in part by delivering to us a duly executed exercise notice and by payment in full in immediately available funds for the number of shares of common stock or pre-funded warrants purchased upon such exercise. As an alternative to payment in immediately available funds, the holder may if and only if at the time of exercise hereof there is no effective registration statement registering, or the prospectus contained therein is not available for the issuance of the common stock or pre-funded warrants to the holder, then in its sole discretion, elect to exercise the Tranche 2 Warrant through a cashless exercise, in which case the holder would receive upon such exercise the net number of shares of common stock or pre-funded warrants determined according to the formula set forth in the Tranche 1 Warrant. No fractional shares of common stock or pre-funded warrants will be issued in connection with the exercise of a Tranche 1 Warrant. In lieu of fractional shares, we will pay the holder an amount in cash equal to the fractional amount multiplied by the exercise price.</w:t>
      </w:r>
    </w:p>
    <w:p>
      <w:pPr>
        <w:spacing w:after="0" w:line="170" w:lineRule="exact"/>
        <w:rPr>
          <w:sz w:val="20"/>
          <w:szCs w:val="20"/>
          <w:color w:val="auto"/>
        </w:rPr>
      </w:pPr>
    </w:p>
    <w:p>
      <w:pPr>
        <w:ind w:right="60"/>
        <w:spacing w:after="0" w:line="307" w:lineRule="auto"/>
        <w:rPr>
          <w:sz w:val="20"/>
          <w:szCs w:val="20"/>
          <w:color w:val="auto"/>
        </w:rPr>
      </w:pPr>
      <w:r>
        <w:rPr>
          <w:rFonts w:ascii="Arial" w:cs="Arial" w:eastAsia="Arial" w:hAnsi="Arial"/>
          <w:sz w:val="14"/>
          <w:szCs w:val="14"/>
          <w:i w:val="1"/>
          <w:iCs w:val="1"/>
          <w:color w:val="auto"/>
        </w:rPr>
        <w:t>Exercise Limitations</w:t>
      </w:r>
      <w:r>
        <w:rPr>
          <w:rFonts w:ascii="Arial" w:cs="Arial" w:eastAsia="Arial" w:hAnsi="Arial"/>
          <w:sz w:val="14"/>
          <w:szCs w:val="14"/>
          <w:color w:val="auto"/>
        </w:rPr>
        <w:t>. A holder will not have the right to exercise any portion of the Tranche 1 Warrant if the holder (together with its affiliates) would beneficially own in</w:t>
      </w:r>
      <w:r>
        <w:rPr>
          <w:rFonts w:ascii="Arial" w:cs="Arial" w:eastAsia="Arial" w:hAnsi="Arial"/>
          <w:sz w:val="14"/>
          <w:szCs w:val="14"/>
          <w:i w:val="1"/>
          <w:iCs w:val="1"/>
          <w:color w:val="auto"/>
        </w:rPr>
        <w:t xml:space="preserve"> </w:t>
      </w:r>
      <w:r>
        <w:rPr>
          <w:rFonts w:ascii="Arial" w:cs="Arial" w:eastAsia="Arial" w:hAnsi="Arial"/>
          <w:sz w:val="14"/>
          <w:szCs w:val="14"/>
          <w:color w:val="auto"/>
        </w:rPr>
        <w:t>excess of 9.99% of the number of shares of our common stock outstanding immediately after giving effect to the exercise, as such percentage ownership is determined in accordance with the terms of the Tranche 1 Warrant. However, any holder may elect, prior to issuance of its Tranche 1 Warrant, to include a provision in such holder’s Tranche 1 Warrant that will permit such holder to elect to increase or decrease such percentage to any other percentage upon at least 61 days’ prior notice from the holder to us.</w:t>
      </w:r>
    </w:p>
    <w:p>
      <w:pPr>
        <w:spacing w:after="0" w:line="13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whole share of our common stock or pre-funded warrants purchasable upon the exercise of the Tranche 1 Warrants is $5.38 per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pre-funded warrant. The exercise price of the Tranche 1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Subject to applicable laws, the Tranche 1 Warrants may be offered for sale, sold, transferred or assigned without our consent.</w:t>
      </w:r>
    </w:p>
    <w:p>
      <w:pPr>
        <w:spacing w:after="0" w:line="200"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i w:val="1"/>
          <w:iCs w:val="1"/>
          <w:color w:val="auto"/>
        </w:rPr>
        <w:t>Exchange Listing</w:t>
      </w:r>
      <w:r>
        <w:rPr>
          <w:rFonts w:ascii="Arial" w:cs="Arial" w:eastAsia="Arial" w:hAnsi="Arial"/>
          <w:sz w:val="16"/>
          <w:szCs w:val="16"/>
          <w:color w:val="auto"/>
        </w:rPr>
        <w:t>. We do not plan on applying to list the Tranche 1 Warrants on The Nasdaq Capital Market, any other national securities exchange or any other nationally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trading system.</w:t>
      </w:r>
    </w:p>
    <w:p>
      <w:pPr>
        <w:spacing w:after="0" w:line="152"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i w:val="1"/>
          <w:iCs w:val="1"/>
          <w:color w:val="auto"/>
        </w:rPr>
        <w:t>Fundamental Transactions</w:t>
      </w:r>
      <w:r>
        <w:rPr>
          <w:rFonts w:ascii="Arial" w:cs="Arial" w:eastAsia="Arial" w:hAnsi="Arial"/>
          <w:sz w:val="14"/>
          <w:szCs w:val="14"/>
          <w:color w:val="auto"/>
        </w:rPr>
        <w:t>. In the event of a fundamental transaction, as described in the Tranche 1 Warrants and generally including any reorganization, recapitalization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Tranche 1 Warrants will be entitled to receive upon exercise of the Tranche 1 Warrants the kind and amount of securities, cash or other property that the holders would have received had they exercised the Tranche 1 Warrants immediately prior to such fundamental transaction.</w:t>
      </w:r>
    </w:p>
    <w:p>
      <w:pPr>
        <w:spacing w:after="0" w:line="13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Rights as a Stockholder</w:t>
      </w:r>
      <w:r>
        <w:rPr>
          <w:rFonts w:ascii="Arial" w:cs="Arial" w:eastAsia="Arial" w:hAnsi="Arial"/>
          <w:sz w:val="16"/>
          <w:szCs w:val="16"/>
          <w:color w:val="auto"/>
        </w:rPr>
        <w:t>. Except by virtue of such holder’s ownership of shares of our common stock, the holder of a Tranche 1 Warrant does not have the rights or privileges of</w:t>
      </w:r>
      <w:r>
        <w:rPr>
          <w:rFonts w:ascii="Arial" w:cs="Arial" w:eastAsia="Arial" w:hAnsi="Arial"/>
          <w:sz w:val="16"/>
          <w:szCs w:val="16"/>
          <w:i w:val="1"/>
          <w:iCs w:val="1"/>
          <w:color w:val="auto"/>
        </w:rPr>
        <w:t xml:space="preserve"> </w:t>
      </w:r>
      <w:r>
        <w:rPr>
          <w:rFonts w:ascii="Arial" w:cs="Arial" w:eastAsia="Arial" w:hAnsi="Arial"/>
          <w:sz w:val="16"/>
          <w:szCs w:val="16"/>
          <w:color w:val="auto"/>
        </w:rPr>
        <w:t>a holder of our common stock, including any voting rights, until the holder exercises the Tranche 1 Warrant.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Tranche 2 Warrants</w:t>
      </w:r>
    </w:p>
    <w:p>
      <w:pPr>
        <w:sectPr>
          <w:pgSz w:w="11900" w:h="16838" w:orient="portrait"/>
          <w:cols w:equalWidth="0" w:num="1">
            <w:col w:w="11260"/>
          </w:cols>
          <w:pgMar w:left="320" w:top="531" w:right="319" w:bottom="0" w:gutter="0" w:footer="0" w:header="0"/>
        </w:sectPr>
      </w:pPr>
    </w:p>
    <w:bookmarkStart w:id="18" w:name="page19"/>
    <w:bookmarkEnd w:id="18"/>
    <w:p>
      <w:pPr>
        <w:ind w:right="140"/>
        <w:spacing w:after="0" w:line="276" w:lineRule="auto"/>
        <w:rPr>
          <w:sz w:val="20"/>
          <w:szCs w:val="20"/>
          <w:color w:val="auto"/>
        </w:rPr>
      </w:pPr>
      <w:r>
        <w:rPr>
          <w:rFonts w:ascii="Arial" w:cs="Arial" w:eastAsia="Arial" w:hAnsi="Arial"/>
          <w:sz w:val="16"/>
          <w:szCs w:val="16"/>
          <w:color w:val="auto"/>
        </w:rPr>
        <w:t>The following is a brief summary of certain terms and conditions of the Tranche 2 Warrants being offered by this prospectus supplement. The following description is subject in all respects to the provisions contained in the Tranche 2 Warrants.</w:t>
      </w:r>
    </w:p>
    <w:p>
      <w:pPr>
        <w:spacing w:after="0" w:line="15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i w:val="1"/>
          <w:iCs w:val="1"/>
          <w:color w:val="auto"/>
        </w:rPr>
        <w:t>Form</w:t>
      </w:r>
      <w:r>
        <w:rPr>
          <w:rFonts w:ascii="Arial" w:cs="Arial" w:eastAsia="Arial" w:hAnsi="Arial"/>
          <w:sz w:val="16"/>
          <w:szCs w:val="16"/>
          <w:color w:val="auto"/>
        </w:rPr>
        <w:t>. The Tranche 2 Warrants will be issued as individual warrant agreements to the investors. You should review the form of Tranche 2 Warrants, which will be filed as an</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to a Current Report on Form 8-K, for a complete description of the terms and conditions applicable to the Tranche 2 Warrants.</w:t>
      </w:r>
    </w:p>
    <w:p>
      <w:pPr>
        <w:spacing w:after="0" w:line="152"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i w:val="1"/>
          <w:iCs w:val="1"/>
          <w:color w:val="auto"/>
        </w:rPr>
        <w:t>Exercisability</w:t>
      </w:r>
      <w:r>
        <w:rPr>
          <w:rFonts w:ascii="Arial" w:cs="Arial" w:eastAsia="Arial" w:hAnsi="Arial"/>
          <w:sz w:val="15"/>
          <w:szCs w:val="15"/>
          <w:color w:val="auto"/>
        </w:rPr>
        <w:t>. The Tranche 2 Warrants are exercisable at any time after their original issuance and will expire on the five year anniversary of the original issuance. The</w:t>
      </w:r>
      <w:r>
        <w:rPr>
          <w:rFonts w:ascii="Arial" w:cs="Arial" w:eastAsia="Arial" w:hAnsi="Arial"/>
          <w:sz w:val="15"/>
          <w:szCs w:val="15"/>
          <w:i w:val="1"/>
          <w:iCs w:val="1"/>
          <w:color w:val="auto"/>
        </w:rPr>
        <w:t xml:space="preserve"> </w:t>
      </w:r>
      <w:r>
        <w:rPr>
          <w:rFonts w:ascii="Arial" w:cs="Arial" w:eastAsia="Arial" w:hAnsi="Arial"/>
          <w:sz w:val="15"/>
          <w:szCs w:val="15"/>
          <w:color w:val="auto"/>
        </w:rPr>
        <w:t>Tranche 2 Warrants will be exercisable, at the option of each holder, in whole or in part by delivering to us a duly executed exercise notice and by payment in full in immediately available funds for the number of shares of common stock or pre-funded warrants purchased upon such exercise. As an alternative to payment in immediately available funds, the holder may, in its sole discretion, elect to exercise the Tranche 2 Warrant through a cashless exercise, in which case the holder would receive upon such exercise the net number of shares of common stock or pre-funded warrants determined according to the formula set forth in the Tranche 2 Warrant. No fractional shares of common stock or pre-funded warrants will be issued in connection with the exercise of a Tranche 2 Warrant. In lieu of fractional shares, we will pay the holder an amount in cash equal to the fractional amount multiplied by the exercise price.</w:t>
      </w:r>
    </w:p>
    <w:p>
      <w:pPr>
        <w:spacing w:after="0" w:line="156"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i w:val="1"/>
          <w:iCs w:val="1"/>
          <w:color w:val="auto"/>
        </w:rPr>
        <w:t>Exercise Limitations</w:t>
      </w:r>
      <w:r>
        <w:rPr>
          <w:rFonts w:ascii="Arial" w:cs="Arial" w:eastAsia="Arial" w:hAnsi="Arial"/>
          <w:sz w:val="14"/>
          <w:szCs w:val="14"/>
          <w:color w:val="auto"/>
        </w:rPr>
        <w:t>. A holder will not have the right to exercise any portion of the Tranche 2 Warrant if the holder (together with its affiliates) would beneficially own in</w:t>
      </w:r>
      <w:r>
        <w:rPr>
          <w:rFonts w:ascii="Arial" w:cs="Arial" w:eastAsia="Arial" w:hAnsi="Arial"/>
          <w:sz w:val="14"/>
          <w:szCs w:val="14"/>
          <w:i w:val="1"/>
          <w:iCs w:val="1"/>
          <w:color w:val="auto"/>
        </w:rPr>
        <w:t xml:space="preserve"> </w:t>
      </w:r>
      <w:r>
        <w:rPr>
          <w:rFonts w:ascii="Arial" w:cs="Arial" w:eastAsia="Arial" w:hAnsi="Arial"/>
          <w:sz w:val="14"/>
          <w:szCs w:val="14"/>
          <w:color w:val="auto"/>
        </w:rPr>
        <w:t>excess of 9.99% of the number of shares of our common stock outstanding immediately after giving effect to the exercise, as such percentage ownership is determined in accordance with the terms of the Tranche 2 Warrant. However, any holder may elect, prior to issuance of its Tranche 2 Warrant, to include a provision in such holder’s Tranche 2 Warrant that will permit such holder to elect to increase or decrease such percentage to any other percentage upon at least 61 days’ prior notice from the holder to us.</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whole share of our common stock or pre-funded warrant purchasable upon the exercise of the Tranche 2 Warrants is $8.877 per share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pre-funded warrant. The exercise price of the Tranche 2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Subject to applicable laws, the Tranche 2 Warrants may be offered for sale, sold, transferred or assigned without our consent.</w:t>
      </w:r>
    </w:p>
    <w:p>
      <w:pPr>
        <w:spacing w:after="0" w:line="200"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i w:val="1"/>
          <w:iCs w:val="1"/>
          <w:color w:val="auto"/>
        </w:rPr>
        <w:t>Exchange Listing</w:t>
      </w:r>
      <w:r>
        <w:rPr>
          <w:rFonts w:ascii="Arial" w:cs="Arial" w:eastAsia="Arial" w:hAnsi="Arial"/>
          <w:sz w:val="16"/>
          <w:szCs w:val="16"/>
          <w:color w:val="auto"/>
        </w:rPr>
        <w:t>. We do not plan on applying to list the Tranche 2 Warrants on The Nasdaq Capital Market, any other national securities exchange or any other nationally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trading system.</w:t>
      </w:r>
    </w:p>
    <w:p>
      <w:pPr>
        <w:spacing w:after="0" w:line="152"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i w:val="1"/>
          <w:iCs w:val="1"/>
          <w:color w:val="auto"/>
        </w:rPr>
        <w:t>Fundamental Transactions</w:t>
      </w:r>
      <w:r>
        <w:rPr>
          <w:rFonts w:ascii="Arial" w:cs="Arial" w:eastAsia="Arial" w:hAnsi="Arial"/>
          <w:sz w:val="14"/>
          <w:szCs w:val="14"/>
          <w:color w:val="auto"/>
        </w:rPr>
        <w:t>. In the event of a fundamental transaction, as described in the Tranche 2 Warrants and generally including any reorganization, recapitalization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Tranche 2 Warrants will be entitled to receive upon exercise of the Tranche 2 Warrants the kind and amount of securities, cash or other property that the holders would have received had they exercised the Tranche 2 Warrants immediately prior to such fundamental transaction.</w:t>
      </w:r>
    </w:p>
    <w:p>
      <w:pPr>
        <w:spacing w:after="0" w:line="138"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Rights as a Stockholder</w:t>
      </w:r>
      <w:r>
        <w:rPr>
          <w:rFonts w:ascii="Arial" w:cs="Arial" w:eastAsia="Arial" w:hAnsi="Arial"/>
          <w:sz w:val="16"/>
          <w:szCs w:val="16"/>
          <w:color w:val="auto"/>
        </w:rPr>
        <w:t>. Except by virtue of such holder’s ownership of shares of our common stock, the holder of a Tranche 2 Warrant does not have the rights or privileges of</w:t>
      </w:r>
      <w:r>
        <w:rPr>
          <w:rFonts w:ascii="Arial" w:cs="Arial" w:eastAsia="Arial" w:hAnsi="Arial"/>
          <w:sz w:val="16"/>
          <w:szCs w:val="16"/>
          <w:i w:val="1"/>
          <w:iCs w:val="1"/>
          <w:color w:val="auto"/>
        </w:rPr>
        <w:t xml:space="preserve"> </w:t>
      </w:r>
      <w:r>
        <w:rPr>
          <w:rFonts w:ascii="Arial" w:cs="Arial" w:eastAsia="Arial" w:hAnsi="Arial"/>
          <w:sz w:val="16"/>
          <w:szCs w:val="16"/>
          <w:color w:val="auto"/>
        </w:rPr>
        <w:t>a holder of our common stock, including any voting rights, until the holder exercises the Tranche 2 Warrant.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UNDERWRITING</w:t>
      </w:r>
    </w:p>
    <w:p>
      <w:pPr>
        <w:spacing w:after="0" w:line="204"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 xml:space="preserve">Subject to the terms and conditions set forth in the underwriting agreement between us and Jefferies LLC, Stifel, Nicolaus &amp; Company, Incorporated, and William Blair &amp; Company, L.L.C., as the representatives of the underwriters (the </w:t>
      </w:r>
      <w:r>
        <w:rPr>
          <w:rFonts w:ascii="Arial" w:cs="Arial" w:eastAsia="Arial" w:hAnsi="Arial"/>
          <w:sz w:val="15"/>
          <w:szCs w:val="15"/>
          <w:i w:val="1"/>
          <w:iCs w:val="1"/>
          <w:color w:val="auto"/>
        </w:rPr>
        <w:t>Representatives</w:t>
      </w:r>
      <w:r>
        <w:rPr>
          <w:rFonts w:ascii="Arial" w:cs="Arial" w:eastAsia="Arial" w:hAnsi="Arial"/>
          <w:sz w:val="15"/>
          <w:szCs w:val="15"/>
          <w:color w:val="auto"/>
        </w:rPr>
        <w:t>) named below and the joint book-running managers of this offering, we have agreed to sell to the underwriters, and each of the underwriters has agreed, severally and not jointly, to purchase from us, the respective number of shares of common stock, the number of pre-funded warrants and accompanying Tranche 1 Warrants and accompanying Tranche 2 Warrants shown opposite its name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Number</w:t>
            </w: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Number</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w:t>
            </w:r>
          </w:p>
        </w:tc>
      </w:tr>
      <w:tr>
        <w:trPr>
          <w:trHeight w:val="192"/>
        </w:trPr>
        <w:tc>
          <w:tcPr>
            <w:tcW w:w="462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w:t>
            </w: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of Pre-</w:t>
            </w: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of</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79"/>
              </w:rPr>
              <w:t>of</w:t>
            </w:r>
          </w:p>
        </w:tc>
      </w:tr>
      <w:tr>
        <w:trPr>
          <w:trHeight w:val="192"/>
        </w:trPr>
        <w:tc>
          <w:tcPr>
            <w:tcW w:w="462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of Shares</w:t>
            </w: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Funded</w:t>
            </w: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Tranche 1</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Tranche 2</w:t>
            </w:r>
          </w:p>
        </w:tc>
      </w:tr>
      <w:tr>
        <w:trPr>
          <w:trHeight w:val="208"/>
        </w:trPr>
        <w:tc>
          <w:tcPr>
            <w:tcW w:w="4620" w:type="dxa"/>
            <w:vAlign w:val="bottom"/>
          </w:tcPr>
          <w:p>
            <w:pPr>
              <w:spacing w:after="0"/>
              <w:rPr>
                <w:sz w:val="20"/>
                <w:szCs w:val="20"/>
                <w:color w:val="auto"/>
              </w:rPr>
            </w:pPr>
            <w:r>
              <w:rPr>
                <w:rFonts w:ascii="Arial" w:cs="Arial" w:eastAsia="Arial" w:hAnsi="Arial"/>
                <w:sz w:val="16"/>
                <w:szCs w:val="16"/>
                <w:b w:val="1"/>
                <w:bCs w:val="1"/>
                <w:color w:val="auto"/>
              </w:rPr>
              <w:t>Underwriters</w:t>
            </w: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of Common Stock</w:t>
            </w: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Warrants</w:t>
            </w: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Warrants</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Warrants</w:t>
            </w:r>
          </w:p>
        </w:tc>
      </w:tr>
      <w:tr>
        <w:trPr>
          <w:trHeight w:val="192"/>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Jefferies LLC</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8,255,946</w:t>
            </w:r>
          </w:p>
        </w:tc>
        <w:tc>
          <w:tcPr>
            <w:tcW w:w="2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1,967,482</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5,111,712</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6,195,797</w:t>
            </w:r>
          </w:p>
        </w:tc>
        <w:tc>
          <w:tcPr>
            <w:tcW w:w="120" w:type="dxa"/>
            <w:vAlign w:val="bottom"/>
            <w:shd w:val="clear" w:color="auto" w:fill="CCEEFF"/>
          </w:tcPr>
          <w:p>
            <w:pPr>
              <w:spacing w:after="0"/>
              <w:rPr>
                <w:sz w:val="16"/>
                <w:szCs w:val="16"/>
                <w:color w:val="auto"/>
              </w:rPr>
            </w:pPr>
          </w:p>
        </w:tc>
      </w:tr>
      <w:tr>
        <w:trPr>
          <w:trHeight w:val="192"/>
        </w:trPr>
        <w:tc>
          <w:tcPr>
            <w:tcW w:w="4620" w:type="dxa"/>
            <w:vAlign w:val="bottom"/>
          </w:tcPr>
          <w:p>
            <w:pPr>
              <w:spacing w:after="0"/>
              <w:rPr>
                <w:sz w:val="20"/>
                <w:szCs w:val="20"/>
                <w:color w:val="auto"/>
              </w:rPr>
            </w:pPr>
            <w:r>
              <w:rPr>
                <w:rFonts w:ascii="Arial" w:cs="Arial" w:eastAsia="Arial" w:hAnsi="Arial"/>
                <w:sz w:val="16"/>
                <w:szCs w:val="16"/>
                <w:color w:val="auto"/>
              </w:rPr>
              <w:t>Stifel, Nicolaus &amp; Company, Incorporated</w:t>
            </w:r>
          </w:p>
        </w:tc>
        <w:tc>
          <w:tcPr>
            <w:tcW w:w="1480" w:type="dxa"/>
            <w:vAlign w:val="bottom"/>
          </w:tcPr>
          <w:p>
            <w:pPr>
              <w:jc w:val="right"/>
              <w:spacing w:after="0"/>
              <w:rPr>
                <w:sz w:val="20"/>
                <w:szCs w:val="20"/>
                <w:color w:val="auto"/>
              </w:rPr>
            </w:pPr>
            <w:r>
              <w:rPr>
                <w:rFonts w:ascii="Arial" w:cs="Arial" w:eastAsia="Arial" w:hAnsi="Arial"/>
                <w:sz w:val="16"/>
                <w:szCs w:val="16"/>
                <w:color w:val="auto"/>
              </w:rPr>
              <w:t>4,127,973</w:t>
            </w:r>
          </w:p>
        </w:tc>
        <w:tc>
          <w:tcPr>
            <w:tcW w:w="240" w:type="dxa"/>
            <w:vAlign w:val="bottom"/>
          </w:tcPr>
          <w:p>
            <w:pPr>
              <w:spacing w:after="0"/>
              <w:rPr>
                <w:sz w:val="16"/>
                <w:szCs w:val="16"/>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983,741</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2,555,856</w:t>
            </w:r>
          </w:p>
        </w:tc>
        <w:tc>
          <w:tcPr>
            <w:tcW w:w="1440" w:type="dxa"/>
            <w:vAlign w:val="bottom"/>
          </w:tcPr>
          <w:p>
            <w:pPr>
              <w:jc w:val="right"/>
              <w:spacing w:after="0"/>
              <w:rPr>
                <w:sz w:val="20"/>
                <w:szCs w:val="20"/>
                <w:color w:val="auto"/>
              </w:rPr>
            </w:pPr>
            <w:r>
              <w:rPr>
                <w:rFonts w:ascii="Arial" w:cs="Arial" w:eastAsia="Arial" w:hAnsi="Arial"/>
                <w:sz w:val="16"/>
                <w:szCs w:val="16"/>
                <w:color w:val="auto"/>
              </w:rPr>
              <w:t>3,097,899</w:t>
            </w:r>
          </w:p>
        </w:tc>
        <w:tc>
          <w:tcPr>
            <w:tcW w:w="120" w:type="dxa"/>
            <w:vAlign w:val="bottom"/>
          </w:tcPr>
          <w:p>
            <w:pPr>
              <w:spacing w:after="0"/>
              <w:rPr>
                <w:sz w:val="16"/>
                <w:szCs w:val="16"/>
                <w:color w:val="auto"/>
              </w:rPr>
            </w:pPr>
          </w:p>
        </w:tc>
      </w:tr>
      <w:tr>
        <w:trPr>
          <w:trHeight w:val="192"/>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William Blair &amp; Company, L.L.C.</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2,626,891</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626,017</w:t>
            </w:r>
          </w:p>
        </w:tc>
        <w:tc>
          <w:tcPr>
            <w:tcW w:w="2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1,626,454</w:t>
            </w: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1,971,390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4620" w:type="dxa"/>
            <w:vAlign w:val="bottom"/>
          </w:tcPr>
          <w:p>
            <w:pPr>
              <w:spacing w:after="0"/>
              <w:rPr>
                <w:sz w:val="20"/>
                <w:szCs w:val="20"/>
                <w:color w:val="auto"/>
              </w:rPr>
            </w:pPr>
            <w:r>
              <w:rPr>
                <w:rFonts w:ascii="Arial" w:cs="Arial" w:eastAsia="Arial" w:hAnsi="Arial"/>
                <w:sz w:val="16"/>
                <w:szCs w:val="16"/>
                <w:color w:val="auto"/>
              </w:rPr>
              <w:t>Total</w:t>
            </w:r>
          </w:p>
        </w:tc>
        <w:tc>
          <w:tcPr>
            <w:tcW w:w="1480" w:type="dxa"/>
            <w:vAlign w:val="bottom"/>
          </w:tcPr>
          <w:p>
            <w:pPr>
              <w:jc w:val="right"/>
              <w:spacing w:after="0"/>
              <w:rPr>
                <w:sz w:val="20"/>
                <w:szCs w:val="20"/>
                <w:color w:val="auto"/>
              </w:rPr>
            </w:pPr>
            <w:r>
              <w:rPr>
                <w:rFonts w:ascii="Arial" w:cs="Arial" w:eastAsia="Arial" w:hAnsi="Arial"/>
                <w:sz w:val="16"/>
                <w:szCs w:val="16"/>
                <w:color w:val="auto"/>
              </w:rPr>
              <w:t>15,010,810</w:t>
            </w:r>
          </w:p>
        </w:tc>
        <w:tc>
          <w:tcPr>
            <w:tcW w:w="24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3,577,240</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9,294,022</w:t>
            </w: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11,265,086</w:t>
            </w:r>
          </w:p>
        </w:tc>
      </w:tr>
      <w:tr>
        <w:trPr>
          <w:trHeight w:val="20"/>
        </w:trPr>
        <w:tc>
          <w:tcPr>
            <w:tcW w:w="4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0"/>
        <w:spacing w:after="0" w:line="298" w:lineRule="auto"/>
        <w:rPr>
          <w:sz w:val="20"/>
          <w:szCs w:val="20"/>
          <w:color w:val="auto"/>
        </w:rPr>
      </w:pPr>
      <w:r>
        <w:rPr>
          <w:rFonts w:ascii="Arial" w:cs="Arial" w:eastAsia="Arial" w:hAnsi="Arial"/>
          <w:sz w:val="14"/>
          <w:szCs w:val="14"/>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and the accompanying Tranche 1 Warrants and accompanying Tranche 2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65"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underwriters are offering the shares of common stock and pre-funded warrants, and the accompanying Tranche 1 Warrants and accompanying Tranche 2 Warrants, subject to their acceptance of the shares of common stock and pre-funded warrants, and the accompanying Tranche 1 Warrants and accompanying Tranche 2 Warrants, from us and subject to prior sale. The underwriters reserve the right to withdraw, cancel or modify offers to the public and to reject orders in whole or in part.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 and Expenses</w:t>
      </w:r>
    </w:p>
    <w:p>
      <w:pPr>
        <w:spacing w:after="0" w:line="204"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The underwriters have advised us that they propose to offer the shares of common stock and pre-funded warrants, and the accompanying Tranche 1 Warrants and accompanying Tranche 2 Warrants, at a combined offering price set forth on the cover page of this prospectus supplement, and to certain dealers, which may include the underwriters, at that price less a concession not in excess of $0.193680 per share of common stock and related warrants. After the offering, the combined offering price, concession and reallowance to dealers may be reduced by the representative. No such reduction will change the amount of proceeds to be received by us as set forth on the cover page of this prospectus supplement.</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following table shows the combined offering price, the underwriting discounts and commissions that we are to pay the underwriters and the proceeds, before expenses, to us in connection with this offering.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Per Pre-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Funded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Per Share and</w:t>
            </w:r>
          </w:p>
        </w:tc>
        <w:tc>
          <w:tcPr>
            <w:tcW w:w="1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Warrant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Accompanying</w:t>
            </w:r>
          </w:p>
        </w:tc>
        <w:tc>
          <w:tcPr>
            <w:tcW w:w="1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Accompanying</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Tranche 1</w:t>
            </w:r>
          </w:p>
        </w:tc>
        <w:tc>
          <w:tcPr>
            <w:tcW w:w="1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Tranche 1</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Warrant and</w:t>
            </w:r>
          </w:p>
        </w:tc>
        <w:tc>
          <w:tcPr>
            <w:tcW w:w="1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Warrant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Accompanying</w:t>
            </w:r>
          </w:p>
        </w:tc>
        <w:tc>
          <w:tcPr>
            <w:tcW w:w="1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Accompanying</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Tranche 2</w:t>
            </w:r>
          </w:p>
        </w:tc>
        <w:tc>
          <w:tcPr>
            <w:tcW w:w="1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Tranche 2</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8"/>
        </w:trPr>
        <w:tc>
          <w:tcPr>
            <w:tcW w:w="6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5"/>
              </w:rPr>
              <w:t>Warrant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9"/>
              </w:rPr>
              <w:t>Warrant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r>
      <w:tr>
        <w:trPr>
          <w:trHeight w:val="184"/>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Combined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5.379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100,000,131.76</w:t>
            </w:r>
          </w:p>
        </w:tc>
        <w:tc>
          <w:tcPr>
            <w:tcW w:w="140" w:type="dxa"/>
            <w:vAlign w:val="bottom"/>
            <w:shd w:val="clear" w:color="auto" w:fill="CCEEFF"/>
          </w:tcPr>
          <w:p>
            <w:pPr>
              <w:spacing w:after="0"/>
              <w:rPr>
                <w:sz w:val="15"/>
                <w:szCs w:val="15"/>
                <w:color w:val="auto"/>
              </w:rPr>
            </w:pPr>
          </w:p>
        </w:tc>
      </w:tr>
      <w:tr>
        <w:trPr>
          <w:trHeight w:val="192"/>
        </w:trPr>
        <w:tc>
          <w:tcPr>
            <w:tcW w:w="6800" w:type="dxa"/>
            <w:vAlign w:val="bottom"/>
          </w:tcPr>
          <w:p>
            <w:pPr>
              <w:spacing w:after="0"/>
              <w:rPr>
                <w:sz w:val="20"/>
                <w:szCs w:val="20"/>
                <w:color w:val="auto"/>
              </w:rPr>
            </w:pPr>
            <w:r>
              <w:rPr>
                <w:rFonts w:ascii="Arial" w:cs="Arial" w:eastAsia="Arial" w:hAnsi="Arial"/>
                <w:sz w:val="16"/>
                <w:szCs w:val="16"/>
                <w:color w:val="auto"/>
              </w:rPr>
              <w:t>Underwriting discounts and commissions paid by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0.3228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0.32274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6,000,007.91</w:t>
            </w:r>
          </w:p>
        </w:tc>
        <w:tc>
          <w:tcPr>
            <w:tcW w:w="140" w:type="dxa"/>
            <w:vAlign w:val="bottom"/>
          </w:tcPr>
          <w:p>
            <w:pPr>
              <w:spacing w:after="0"/>
              <w:rPr>
                <w:sz w:val="16"/>
                <w:szCs w:val="16"/>
                <w:color w:val="auto"/>
              </w:rPr>
            </w:pPr>
          </w:p>
        </w:tc>
      </w:tr>
      <w:tr>
        <w:trPr>
          <w:trHeight w:val="192"/>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5.05626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94,000,123.85</w:t>
            </w:r>
          </w:p>
        </w:tc>
      </w:tr>
    </w:tbl>
    <w:p>
      <w:pPr>
        <w:spacing w:after="0" w:line="179" w:lineRule="exact"/>
        <w:rPr>
          <w:sz w:val="20"/>
          <w:szCs w:val="20"/>
          <w:color w:val="auto"/>
        </w:rPr>
      </w:pPr>
    </w:p>
    <w:p>
      <w:pPr>
        <w:ind w:right="680"/>
        <w:spacing w:after="0" w:line="350" w:lineRule="auto"/>
        <w:rPr>
          <w:sz w:val="20"/>
          <w:szCs w:val="20"/>
          <w:color w:val="auto"/>
        </w:rPr>
      </w:pPr>
      <w:r>
        <w:rPr>
          <w:rFonts w:ascii="Arial" w:cs="Arial" w:eastAsia="Arial" w:hAnsi="Arial"/>
          <w:sz w:val="14"/>
          <w:szCs w:val="14"/>
          <w:color w:val="auto"/>
        </w:rPr>
        <w:t>We estimate expenses payable by us in connection with this offering, other than the underwriting discounts and commissions referred to above, will be approximately $500,000. We have also agreed to reimburse the underwriters for certain expenses incurred in connection with the offering in an amount up to $15,000.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20" w:name="page21"/>
    <w:bookmarkEnd w:id="20"/>
    <w:p>
      <w:pPr>
        <w:ind w:left="4"/>
        <w:spacing w:after="0"/>
        <w:rPr>
          <w:sz w:val="20"/>
          <w:szCs w:val="20"/>
          <w:color w:val="auto"/>
        </w:rPr>
      </w:pPr>
      <w:r>
        <w:rPr>
          <w:rFonts w:ascii="Arial" w:cs="Arial" w:eastAsia="Arial" w:hAnsi="Arial"/>
          <w:sz w:val="16"/>
          <w:szCs w:val="16"/>
          <w:b w:val="1"/>
          <w:bCs w:val="1"/>
          <w:color w:val="auto"/>
        </w:rPr>
        <w:t>Listing</w:t>
      </w:r>
    </w:p>
    <w:p>
      <w:pPr>
        <w:spacing w:after="0" w:line="204" w:lineRule="exact"/>
        <w:rPr>
          <w:sz w:val="20"/>
          <w:szCs w:val="20"/>
          <w:color w:val="auto"/>
        </w:rPr>
      </w:pPr>
    </w:p>
    <w:p>
      <w:pPr>
        <w:ind w:left="4" w:right="160"/>
        <w:spacing w:after="0" w:line="307" w:lineRule="auto"/>
        <w:rPr>
          <w:sz w:val="20"/>
          <w:szCs w:val="20"/>
          <w:color w:val="auto"/>
        </w:rPr>
      </w:pPr>
      <w:r>
        <w:rPr>
          <w:rFonts w:ascii="Arial" w:cs="Arial" w:eastAsia="Arial" w:hAnsi="Arial"/>
          <w:sz w:val="14"/>
          <w:szCs w:val="14"/>
          <w:color w:val="auto"/>
        </w:rPr>
        <w:t>Our common stock is listed on the Nasdaq Capital Market under the symbol “VTGN.” The pre-funded warrants, the Tranche 1 Warrants and the Tranche 2 Warrants will not be listed on any national securities exchange. There is no public trading market for the pre-funded warrants, the Tranche 1 Warrants or the Tranche 2 Warrants, and we do not expect a market to develop. In addition, we do not intend to apply for listing of the pre-funded warrants, the Tranche 1 Warrants or the Tranche 2 Warrants on any securities exchange or other trading system. Without a trading market, the liquidity of the pre-funded Warrants, Tranche 1 Warrants and Tranche 2 Warrants will be extremely limited.</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 Sales of Similar Securities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4"/>
          <w:szCs w:val="14"/>
          <w:color w:val="auto"/>
        </w:rPr>
        <w:t>Pursuant to the underwriting agreement, we have agreed that for a period of 90 days following the pricing of the offering, and subject to certain customary exceptions, not to</w:t>
      </w:r>
    </w:p>
    <w:p>
      <w:pPr>
        <w:spacing w:after="0" w:line="43" w:lineRule="exact"/>
        <w:rPr>
          <w:sz w:val="20"/>
          <w:szCs w:val="20"/>
          <w:color w:val="auto"/>
        </w:rPr>
      </w:pPr>
    </w:p>
    <w:p>
      <w:pPr>
        <w:ind w:left="4" w:hanging="4"/>
        <w:spacing w:after="0" w:line="292" w:lineRule="auto"/>
        <w:tabs>
          <w:tab w:leader="none" w:pos="195" w:val="left"/>
        </w:tabs>
        <w:numPr>
          <w:ilvl w:val="0"/>
          <w:numId w:val="9"/>
        </w:numPr>
        <w:rPr>
          <w:rFonts w:ascii="Arial" w:cs="Arial" w:eastAsia="Arial" w:hAnsi="Arial"/>
          <w:sz w:val="14"/>
          <w:szCs w:val="14"/>
          <w:color w:val="auto"/>
        </w:rPr>
      </w:pPr>
      <w:r>
        <w:rPr>
          <w:rFonts w:ascii="Arial" w:cs="Arial" w:eastAsia="Arial" w:hAnsi="Arial"/>
          <w:sz w:val="14"/>
          <w:szCs w:val="14"/>
          <w:color w:val="auto"/>
        </w:rPr>
        <w:t>sell, offer to sell, contract to sell or lend any shares of our common stock or related securities; (ii) effect any short sale or establish or increase any put equivalent position or liquidate or decrease any call equivalent position of any shares of our common stock or related securities; (iii) pledge, hypothecate or grant any security interest in any shares of our common stock or related securities; (iv) in any other way transfer or dispose of any shares of our common stock or related securities; (v) enter into any swap, hedge or similar arrangement; (vi) announce the offering of any shares of our common stock or related securities, (vii) submit or file any registration statement under the Securities Act in respect of any shares of our common stock or related securities (other than as contemplated by the underwriting agreement with respect to the common stock and pre-funded warrants, or except for registration statements on Form S-8 with respect to any and all shares of our common stock or related securities to be issued pursuant to any employee benefit plans); (viii) effect a reverse stock split, recapitalization, share consolidation, reclassification or similar transaction; or (ix) publicly announce the intention to do any of the foregoing, in each case without the prior written consent of Jefferies LLC and Stifel, Nicolaus &amp; Company, Incorporated.</w:t>
      </w:r>
    </w:p>
    <w:p>
      <w:pPr>
        <w:spacing w:after="0" w:line="147" w:lineRule="exact"/>
        <w:rPr>
          <w:sz w:val="20"/>
          <w:szCs w:val="20"/>
          <w:color w:val="auto"/>
        </w:rPr>
      </w:pPr>
    </w:p>
    <w:p>
      <w:pPr>
        <w:ind w:left="4" w:right="20"/>
        <w:spacing w:after="0" w:line="255" w:lineRule="auto"/>
        <w:rPr>
          <w:sz w:val="20"/>
          <w:szCs w:val="20"/>
          <w:color w:val="auto"/>
        </w:rPr>
      </w:pPr>
      <w:r>
        <w:rPr>
          <w:rFonts w:ascii="Arial" w:cs="Arial" w:eastAsia="Arial" w:hAnsi="Arial"/>
          <w:sz w:val="16"/>
          <w:szCs w:val="16"/>
          <w:color w:val="auto"/>
        </w:rPr>
        <w:t>The restrictions described in the immediately precedent paragraph do not apply to us with respect to (a) the shares of our common stock and pre-funded warrants to be sold in this offering; (b) the issuance of shares of common stock, options or warrants or other equity awards to acquire shares of common stock, pursuant to any stock option, stock bonus or other stock plan or arrangement described herein; (c) the issuance of shares of common stock upon exercise of any such options, warrants or other equity awards to acquire shares of common stock; (d) the issuance of shares of common stock upon exercise of options, warrants or other equity awards to acquire shares of common stock described herein as outstanding; and (e) pursuant to our ATM program, provided no shares may be issued under such program for the first 30 calendar days after the date of this prospectus supplement.</w:t>
      </w:r>
    </w:p>
    <w:p>
      <w:pPr>
        <w:spacing w:after="0" w:line="170"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6"/>
          <w:szCs w:val="16"/>
          <w:color w:val="auto"/>
        </w:rPr>
        <w:t>Pursuant to certain “lock-up” agreements, our directors and executive officers have agreed that, for a period of 90 days from the date of this prospectus supplement, they will not, subject to certain customary exceptions, sell or offer to sell any of our securities currently or hereafter owned, enter into any swap, make any demand for, or exercise any right with respect to, the registration under the Securities Act of the offer and sale of any of our securities, or cause to be filed a registration statement, prospectus or prospectus supplement (or an amendment or supplement thereto) with respect to any such registration, or publicly announce any intention to do any of the foregoing without the prior written consent of Jefferies and Stifel, Nicolaus &amp; Company, Incorporated.</w:t>
      </w:r>
    </w:p>
    <w:p>
      <w:pPr>
        <w:spacing w:after="0" w:line="170" w:lineRule="exact"/>
        <w:rPr>
          <w:sz w:val="20"/>
          <w:szCs w:val="20"/>
          <w:color w:val="auto"/>
        </w:rPr>
      </w:pPr>
    </w:p>
    <w:p>
      <w:pPr>
        <w:ind w:left="4" w:right="140"/>
        <w:spacing w:after="0" w:line="273" w:lineRule="auto"/>
        <w:rPr>
          <w:sz w:val="20"/>
          <w:szCs w:val="20"/>
          <w:color w:val="auto"/>
        </w:rPr>
      </w:pPr>
      <w:r>
        <w:rPr>
          <w:rFonts w:ascii="Arial" w:cs="Arial" w:eastAsia="Arial" w:hAnsi="Arial"/>
          <w:sz w:val="15"/>
          <w:szCs w:val="15"/>
          <w:color w:val="auto"/>
        </w:rPr>
        <w:t xml:space="preserve">Notwithstanding the foregoing, the securityholder may transfer shares of common stock: (i) as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 or gifts; (ii) to any trust for the direct or indirect benefit of the securityholder or a family member of the securityholder; (iii) if the securityholder is a corporation, partnership, limited liability company, trust or other business entity, (a) to another corporation, partnership, limited liability company, trust or other business entity that is a direct or indirect affiliate (as defined in Rule 405 promulgated under the Securities Act) of the securityholder or (b) in distributions of shares of common stock or any security convertible into or exercisable for shares of common stock to limited partners, limited liability company members or stockholders of the securityholder; (iv) if the securityholder is a trust, to the beneficiary of such trust; or (v) by testate succession or intestate succession;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in the case of clauses (i)-(v), that (x) such transfer shall not involve a disposition for value, (y) any such transferee executes and delivers to the representatives a lock-up agreement and (z) no public disclosure nor any filing by any party under Section 16(a) of the Exchange Act, shall be required or shall be made voluntarily in connection with such transfer.</w:t>
      </w:r>
    </w:p>
    <w:p>
      <w:pPr>
        <w:spacing w:after="0" w:line="157" w:lineRule="exact"/>
        <w:rPr>
          <w:sz w:val="20"/>
          <w:szCs w:val="20"/>
          <w:color w:val="auto"/>
        </w:rPr>
      </w:pPr>
    </w:p>
    <w:p>
      <w:pPr>
        <w:ind w:left="4" w:right="80"/>
        <w:spacing w:after="0" w:line="277" w:lineRule="auto"/>
        <w:rPr>
          <w:sz w:val="20"/>
          <w:szCs w:val="20"/>
          <w:color w:val="auto"/>
        </w:rPr>
      </w:pPr>
      <w:r>
        <w:rPr>
          <w:rFonts w:ascii="Arial" w:cs="Arial" w:eastAsia="Arial" w:hAnsi="Arial"/>
          <w:sz w:val="15"/>
          <w:szCs w:val="15"/>
          <w:color w:val="auto"/>
        </w:rPr>
        <w:t xml:space="preserve">In addition, the foregoing restrictions shall not apply to the establishment of any contract, instruction or plan (a </w:t>
      </w:r>
      <w:r>
        <w:rPr>
          <w:rFonts w:ascii="Arial" w:cs="Arial" w:eastAsia="Arial" w:hAnsi="Arial"/>
          <w:sz w:val="15"/>
          <w:szCs w:val="15"/>
          <w:i w:val="1"/>
          <w:iCs w:val="1"/>
          <w:color w:val="auto"/>
        </w:rPr>
        <w:t>Plan</w:t>
      </w:r>
      <w:r>
        <w:rPr>
          <w:rFonts w:ascii="Arial" w:cs="Arial" w:eastAsia="Arial" w:hAnsi="Arial"/>
          <w:sz w:val="15"/>
          <w:szCs w:val="15"/>
          <w:color w:val="auto"/>
        </w:rPr>
        <w:t xml:space="preserve">) that satisfies all of the requirements of Rule 10b5-1(c)(1) (i)(B) under the Exchange Act; </w:t>
      </w:r>
      <w:r>
        <w:rPr>
          <w:rFonts w:ascii="Arial" w:cs="Arial" w:eastAsia="Arial" w:hAnsi="Arial"/>
          <w:sz w:val="15"/>
          <w:szCs w:val="15"/>
          <w:i w:val="1"/>
          <w:iCs w:val="1"/>
          <w:color w:val="auto"/>
        </w:rPr>
        <w:t>provided</w:t>
      </w:r>
      <w:r>
        <w:rPr>
          <w:rFonts w:ascii="Arial" w:cs="Arial" w:eastAsia="Arial" w:hAnsi="Arial"/>
          <w:sz w:val="15"/>
          <w:szCs w:val="15"/>
          <w:color w:val="auto"/>
        </w:rPr>
        <w:t>, that no sales of the securityholder’s shares of common stock shall be made pursuant to such a Plan prior to the expiration of the lock-up period, and such Plan may only be established if no public announcement of the establishment or existence thereof and no filing with the SEC or other regulatory authority in respect thereof or transactions thereunder or contemplated thereby, by the securityholder, us or any other person, shall be required, and no such announcement or filing is made voluntarily, by the securityholder, us or any other person, prior to the expiration of the lock-up period.</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756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531"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Stabilization</w:t>
      </w:r>
    </w:p>
    <w:p>
      <w:pPr>
        <w:spacing w:after="0" w:line="204"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w:t>
      </w:r>
    </w:p>
    <w:p>
      <w:pPr>
        <w:spacing w:after="0" w:line="127"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56" w:lineRule="exact"/>
        <w:rPr>
          <w:sz w:val="20"/>
          <w:szCs w:val="20"/>
          <w:color w:val="auto"/>
        </w:rPr>
      </w:pPr>
    </w:p>
    <w:p>
      <w:pPr>
        <w:ind w:right="140"/>
        <w:spacing w:after="0" w:line="350" w:lineRule="auto"/>
        <w:rPr>
          <w:sz w:val="20"/>
          <w:szCs w:val="20"/>
          <w:color w:val="auto"/>
        </w:rPr>
      </w:pPr>
      <w:r>
        <w:rPr>
          <w:rFonts w:ascii="Arial" w:cs="Arial" w:eastAsia="Arial" w:hAnsi="Arial"/>
          <w:sz w:val="14"/>
          <w:szCs w:val="14"/>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underwriters may also engage in passive market making transactions in our common stock on The Nasdaq Capital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Distribution</w:t>
      </w:r>
    </w:p>
    <w:p>
      <w:pPr>
        <w:spacing w:after="0" w:line="204"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and warrants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2" w:name="page23"/>
    <w:bookmarkEnd w:id="22"/>
    <w:p>
      <w:pPr>
        <w:ind w:left="4"/>
        <w:spacing w:after="0"/>
        <w:rPr>
          <w:sz w:val="20"/>
          <w:szCs w:val="20"/>
          <w:color w:val="auto"/>
        </w:rPr>
      </w:pPr>
      <w:r>
        <w:rPr>
          <w:rFonts w:ascii="Arial" w:cs="Arial" w:eastAsia="Arial" w:hAnsi="Arial"/>
          <w:sz w:val="16"/>
          <w:szCs w:val="16"/>
          <w:b w:val="1"/>
          <w:bCs w:val="1"/>
          <w:color w:val="auto"/>
        </w:rPr>
        <w:t>Other Activities and Relationships</w:t>
      </w:r>
    </w:p>
    <w:p>
      <w:pPr>
        <w:spacing w:after="0" w:line="204" w:lineRule="exact"/>
        <w:rPr>
          <w:sz w:val="20"/>
          <w:szCs w:val="20"/>
          <w:color w:val="auto"/>
        </w:rPr>
      </w:pPr>
    </w:p>
    <w:p>
      <w:pPr>
        <w:ind w:left="4" w:right="20"/>
        <w:spacing w:after="0" w:line="302" w:lineRule="auto"/>
        <w:rPr>
          <w:sz w:val="20"/>
          <w:szCs w:val="20"/>
          <w:color w:val="auto"/>
        </w:rPr>
      </w:pPr>
      <w:r>
        <w:rPr>
          <w:rFonts w:ascii="Arial" w:cs="Arial" w:eastAsia="Arial" w:hAnsi="Arial"/>
          <w:sz w:val="14"/>
          <w:szCs w:val="14"/>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we entered into the ATM program pursuant to which we are able to offer and sell shares of our common stock through Jefferies in an “at the market offering” as defined in Rule 415(a)(4) promulgated under the Securities Act.</w:t>
      </w:r>
    </w:p>
    <w:p>
      <w:pPr>
        <w:spacing w:after="0" w:line="138" w:lineRule="exact"/>
        <w:rPr>
          <w:sz w:val="20"/>
          <w:szCs w:val="20"/>
          <w:color w:val="auto"/>
        </w:rPr>
      </w:pPr>
    </w:p>
    <w:p>
      <w:pPr>
        <w:ind w:left="4" w:right="20"/>
        <w:spacing w:after="0" w:line="272" w:lineRule="auto"/>
        <w:rPr>
          <w:sz w:val="20"/>
          <w:szCs w:val="20"/>
          <w:color w:val="auto"/>
        </w:rPr>
      </w:pPr>
      <w:r>
        <w:rPr>
          <w:rFonts w:ascii="Arial" w:cs="Arial" w:eastAsia="Arial" w:hAnsi="Arial"/>
          <w:sz w:val="15"/>
          <w:szCs w:val="15"/>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and warrants offered hereby. Any such short positions could adversely affect future trading prices of the common stock and warrants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Disclaimers About Non-U.S. Jurisdictions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Notice to Prospective Investors in Canada</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(A) Resale Restrictions</w:t>
      </w:r>
    </w:p>
    <w:p>
      <w:pPr>
        <w:spacing w:after="0" w:line="200" w:lineRule="exact"/>
        <w:rPr>
          <w:sz w:val="20"/>
          <w:szCs w:val="20"/>
          <w:color w:val="auto"/>
        </w:rPr>
      </w:pPr>
    </w:p>
    <w:p>
      <w:pPr>
        <w:ind w:left="4"/>
        <w:spacing w:after="0" w:line="302" w:lineRule="auto"/>
        <w:rPr>
          <w:sz w:val="20"/>
          <w:szCs w:val="20"/>
          <w:color w:val="auto"/>
        </w:rPr>
      </w:pPr>
      <w:r>
        <w:rPr>
          <w:rFonts w:ascii="Arial" w:cs="Arial" w:eastAsia="Arial" w:hAnsi="Arial"/>
          <w:sz w:val="14"/>
          <w:szCs w:val="14"/>
          <w:color w:val="auto"/>
        </w:rPr>
        <w:t xml:space="preserve">The distribution of common stock, pre-funded warrants, Tranche 1 Warrants or Tranche 2 Warrants (collectively, the </w:t>
      </w:r>
      <w:r>
        <w:rPr>
          <w:rFonts w:ascii="Arial" w:cs="Arial" w:eastAsia="Arial" w:hAnsi="Arial"/>
          <w:sz w:val="14"/>
          <w:szCs w:val="14"/>
          <w:i w:val="1"/>
          <w:iCs w:val="1"/>
          <w:color w:val="auto"/>
        </w:rPr>
        <w:t>Securities</w:t>
      </w:r>
      <w:r>
        <w:rPr>
          <w:rFonts w:ascii="Arial" w:cs="Arial" w:eastAsia="Arial" w:hAnsi="Arial"/>
          <w:sz w:val="14"/>
          <w:szCs w:val="14"/>
          <w:color w:val="auto"/>
        </w:rPr>
        <w:t>)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(B) Representations of Canadian Purchasers</w:t>
      </w:r>
    </w:p>
    <w:p>
      <w:pPr>
        <w:spacing w:after="0" w:line="200" w:lineRule="exact"/>
        <w:rPr>
          <w:sz w:val="20"/>
          <w:szCs w:val="20"/>
          <w:color w:val="auto"/>
        </w:rPr>
      </w:pPr>
    </w:p>
    <w:p>
      <w:pPr>
        <w:ind w:left="4" w:right="720"/>
        <w:spacing w:after="0" w:line="276" w:lineRule="auto"/>
        <w:rPr>
          <w:sz w:val="20"/>
          <w:szCs w:val="20"/>
          <w:color w:val="auto"/>
        </w:rPr>
      </w:pPr>
      <w:r>
        <w:rPr>
          <w:rFonts w:ascii="Arial" w:cs="Arial" w:eastAsia="Arial" w:hAnsi="Arial"/>
          <w:sz w:val="16"/>
          <w:szCs w:val="16"/>
          <w:color w:val="auto"/>
        </w:rPr>
        <w:t>By purchasing the Securities in Canada and accepting delivery of a purchase confirmation, a purchaser is representing to us and the dealer from whom the purchase confirmation is received that:</w:t>
      </w:r>
    </w:p>
    <w:p>
      <w:pPr>
        <w:spacing w:after="0" w:line="152" w:lineRule="exact"/>
        <w:rPr>
          <w:sz w:val="20"/>
          <w:szCs w:val="20"/>
          <w:color w:val="auto"/>
        </w:rPr>
      </w:pPr>
    </w:p>
    <w:p>
      <w:pPr>
        <w:ind w:left="584" w:right="20" w:hanging="296"/>
        <w:spacing w:after="0" w:line="276" w:lineRule="auto"/>
        <w:tabs>
          <w:tab w:leader="none" w:pos="58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Securities without the benefit of a prospectus qualified under those securities laws as it is an “accredited investor” as defined under National Instrument 45-106—Prospectus Exemptions,</w:t>
      </w:r>
    </w:p>
    <w:p>
      <w:pPr>
        <w:spacing w:after="0" w:line="152" w:lineRule="exact"/>
        <w:rPr>
          <w:rFonts w:ascii="Arial" w:cs="Arial" w:eastAsia="Arial" w:hAnsi="Arial"/>
          <w:sz w:val="16"/>
          <w:szCs w:val="16"/>
          <w:color w:val="auto"/>
        </w:rPr>
      </w:pPr>
    </w:p>
    <w:p>
      <w:pPr>
        <w:ind w:left="584" w:hanging="296"/>
        <w:spacing w:after="0"/>
        <w:tabs>
          <w:tab w:leader="none" w:pos="584" w:val="left"/>
        </w:tabs>
        <w:numPr>
          <w:ilvl w:val="1"/>
          <w:numId w:val="10"/>
        </w:numPr>
        <w:rPr>
          <w:rFonts w:ascii="Arial" w:cs="Arial" w:eastAsia="Arial" w:hAnsi="Arial"/>
          <w:sz w:val="15"/>
          <w:szCs w:val="15"/>
          <w:color w:val="auto"/>
        </w:rPr>
      </w:pPr>
      <w:r>
        <w:rPr>
          <w:rFonts w:ascii="Arial" w:cs="Arial" w:eastAsia="Arial" w:hAnsi="Arial"/>
          <w:sz w:val="15"/>
          <w:szCs w:val="15"/>
          <w:color w:val="auto"/>
        </w:rPr>
        <w:t>the purchaser is a “permitted client” as defined in National Instrument 31-103—Registration Requirements, Exemptions and Ongoing Registrant Obligations,</w:t>
      </w:r>
    </w:p>
    <w:p>
      <w:pPr>
        <w:spacing w:after="0" w:line="211" w:lineRule="exact"/>
        <w:rPr>
          <w:rFonts w:ascii="Arial" w:cs="Arial" w:eastAsia="Arial" w:hAnsi="Arial"/>
          <w:sz w:val="15"/>
          <w:szCs w:val="15"/>
          <w:color w:val="auto"/>
        </w:rPr>
      </w:pPr>
    </w:p>
    <w:p>
      <w:pPr>
        <w:ind w:left="584" w:hanging="296"/>
        <w:spacing w:after="0"/>
        <w:tabs>
          <w:tab w:leader="none" w:pos="584" w:val="left"/>
        </w:tabs>
        <w:numPr>
          <w:ilvl w:val="1"/>
          <w:numId w:val="10"/>
        </w:numPr>
        <w:rPr>
          <w:rFonts w:ascii="Arial" w:cs="Arial" w:eastAsia="Arial" w:hAnsi="Arial"/>
          <w:sz w:val="16"/>
          <w:szCs w:val="16"/>
          <w:color w:val="auto"/>
        </w:rPr>
      </w:pPr>
      <w:r>
        <w:rPr>
          <w:rFonts w:ascii="Arial" w:cs="Arial" w:eastAsia="Arial" w:hAnsi="Arial"/>
          <w:sz w:val="16"/>
          <w:szCs w:val="16"/>
          <w:color w:val="auto"/>
        </w:rPr>
        <w:t>where required by law, the purchaser is purchasing as principal and not as agent, and</w:t>
      </w:r>
    </w:p>
    <w:p>
      <w:pPr>
        <w:spacing w:after="0" w:line="199" w:lineRule="exact"/>
        <w:rPr>
          <w:rFonts w:ascii="Arial" w:cs="Arial" w:eastAsia="Arial" w:hAnsi="Arial"/>
          <w:sz w:val="16"/>
          <w:szCs w:val="16"/>
          <w:color w:val="auto"/>
        </w:rPr>
      </w:pPr>
    </w:p>
    <w:p>
      <w:pPr>
        <w:ind w:left="584" w:hanging="296"/>
        <w:spacing w:after="0"/>
        <w:tabs>
          <w:tab w:leader="none" w:pos="584"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purchaser has reviewed the text above under Resale Restrictions.</w:t>
      </w:r>
    </w:p>
    <w:p>
      <w:pPr>
        <w:spacing w:after="0" w:line="199" w:lineRule="exact"/>
        <w:rPr>
          <w:rFonts w:ascii="Arial" w:cs="Arial" w:eastAsia="Arial" w:hAnsi="Arial"/>
          <w:sz w:val="16"/>
          <w:szCs w:val="16"/>
          <w:color w:val="auto"/>
        </w:rPr>
      </w:pPr>
    </w:p>
    <w:p>
      <w:pPr>
        <w:ind w:left="244" w:hanging="244"/>
        <w:spacing w:after="0"/>
        <w:tabs>
          <w:tab w:leader="none" w:pos="244"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Conflicts of Interest</w:t>
      </w:r>
    </w:p>
    <w:p>
      <w:pPr>
        <w:spacing w:after="0" w:line="200" w:lineRule="exact"/>
        <w:rPr>
          <w:sz w:val="20"/>
          <w:szCs w:val="20"/>
          <w:color w:val="auto"/>
        </w:rPr>
      </w:pPr>
    </w:p>
    <w:p>
      <w:pPr>
        <w:ind w:left="4" w:right="500"/>
        <w:spacing w:after="0" w:line="276" w:lineRule="auto"/>
        <w:rPr>
          <w:sz w:val="20"/>
          <w:szCs w:val="20"/>
          <w:color w:val="auto"/>
        </w:rPr>
      </w:pPr>
      <w:r>
        <w:rPr>
          <w:rFonts w:ascii="Arial" w:cs="Arial" w:eastAsia="Arial" w:hAnsi="Arial"/>
          <w:sz w:val="16"/>
          <w:szCs w:val="16"/>
          <w:color w:val="auto"/>
        </w:rPr>
        <w:t>Canadian purchasers are hereby notified that the underwriter is relying on the exemption set out in section 3A.3 or 3A.4, if applicable, of National Instrument 33-105 – Underwriting Conflicts from having to provide certain conflict of interest disclosure in this document.</w:t>
      </w:r>
    </w:p>
    <w:p>
      <w:pPr>
        <w:spacing w:after="0" w:line="152"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475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184"/>
          </w:cols>
          <w:pgMar w:left="316" w:top="531" w:right="39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(D) Statutory Rights of Action</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 Enforcement of Legal Rights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 Taxation and Eligibility for Investment</w:t>
      </w:r>
    </w:p>
    <w:p>
      <w:pPr>
        <w:spacing w:after="0" w:line="20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European Economic Area</w:t>
      </w:r>
    </w:p>
    <w:p>
      <w:pPr>
        <w:spacing w:after="0" w:line="20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In relation to each Member State of the European Economic Area (each, a </w:t>
      </w:r>
      <w:r>
        <w:rPr>
          <w:rFonts w:ascii="Arial" w:cs="Arial" w:eastAsia="Arial" w:hAnsi="Arial"/>
          <w:sz w:val="16"/>
          <w:szCs w:val="16"/>
          <w:i w:val="1"/>
          <w:iCs w:val="1"/>
          <w:color w:val="auto"/>
        </w:rPr>
        <w:t>Relevant State</w:t>
      </w:r>
      <w:r>
        <w:rPr>
          <w:rFonts w:ascii="Arial" w:cs="Arial" w:eastAsia="Arial" w:hAnsi="Arial"/>
          <w:sz w:val="16"/>
          <w:szCs w:val="16"/>
          <w:color w:val="auto"/>
        </w:rPr>
        <w:t>),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65" w:lineRule="exact"/>
        <w:rPr>
          <w:sz w:val="20"/>
          <w:szCs w:val="20"/>
          <w:color w:val="auto"/>
        </w:rPr>
      </w:pPr>
    </w:p>
    <w:p>
      <w:pPr>
        <w:ind w:left="580" w:hanging="296"/>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Prospectus Regulation;</w:t>
      </w:r>
    </w:p>
    <w:p>
      <w:pPr>
        <w:spacing w:after="0" w:line="199" w:lineRule="exact"/>
        <w:rPr>
          <w:rFonts w:ascii="Arial" w:cs="Arial" w:eastAsia="Arial" w:hAnsi="Arial"/>
          <w:sz w:val="16"/>
          <w:szCs w:val="16"/>
          <w:color w:val="auto"/>
        </w:rPr>
      </w:pPr>
    </w:p>
    <w:p>
      <w:pPr>
        <w:ind w:left="580" w:right="480" w:hanging="296"/>
        <w:spacing w:after="0" w:line="276"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representatives for any such offer; or</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200"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provided that no such offer of Securities to publish a prospectus pursuant to Article 3 of the Prospectus Regulation, or supplement a prospectus pursuant to Article 23 of the Prospectus Regulation.</w:t>
      </w:r>
    </w:p>
    <w:p>
      <w:pPr>
        <w:spacing w:after="0" w:line="1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France</w:t>
      </w:r>
    </w:p>
    <w:p>
      <w:pPr>
        <w:spacing w:after="0" w:line="200"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Neither this prospectus supplement nor any other offering material relating to the Securities described in this prospectus supplement has been submitted to the clearance procedures of the Autorité des Marchés Financiers or by the competent authority of another member state of the European Economic Area and notified to the Autorité des Marchés Financiers. The Securities have not been offered or sold and will not be offered or sold, directly or indirectly, to the public in France. Neither this prospectus supplement nor any other offering material relating to the Securities has been or will be</w:t>
      </w:r>
    </w:p>
    <w:p>
      <w:pPr>
        <w:spacing w:after="0" w:line="165" w:lineRule="exact"/>
        <w:rPr>
          <w:sz w:val="20"/>
          <w:szCs w:val="20"/>
          <w:color w:val="auto"/>
        </w:rPr>
      </w:pPr>
    </w:p>
    <w:p>
      <w:pPr>
        <w:ind w:left="5480" w:right="4240" w:hanging="5196"/>
        <w:spacing w:after="0" w:line="526" w:lineRule="auto"/>
        <w:tabs>
          <w:tab w:leader="none" w:pos="5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 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1475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24" w:name="page25"/>
    <w:bookmarkEnd w:id="24"/>
    <w:p>
      <w:pPr>
        <w:ind w:left="580" w:right="4420" w:hanging="296"/>
        <w:spacing w:after="0" w:line="500"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used in connection with any offer for subscription or sale of the Securities to the public in France. Such offers, sales and distributions will be made in France only:</w:t>
      </w:r>
    </w:p>
    <w:p>
      <w:pPr>
        <w:ind w:left="580" w:right="20" w:hanging="296"/>
        <w:spacing w:after="0" w:line="350"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05" w:lineRule="exact"/>
        <w:rPr>
          <w:rFonts w:ascii="Arial" w:cs="Arial" w:eastAsia="Arial" w:hAnsi="Arial"/>
          <w:sz w:val="14"/>
          <w:szCs w:val="14"/>
          <w:color w:val="auto"/>
        </w:rPr>
      </w:pPr>
    </w:p>
    <w:p>
      <w:pPr>
        <w:ind w:left="580" w:hanging="296"/>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w:t>
      </w:r>
    </w:p>
    <w:p>
      <w:pPr>
        <w:spacing w:after="0" w:line="199" w:lineRule="exact"/>
        <w:rPr>
          <w:rFonts w:ascii="Arial" w:cs="Arial" w:eastAsia="Arial" w:hAnsi="Arial"/>
          <w:sz w:val="16"/>
          <w:szCs w:val="16"/>
          <w:color w:val="auto"/>
        </w:rPr>
      </w:pPr>
    </w:p>
    <w:p>
      <w:pPr>
        <w:ind w:left="580" w:right="460" w:hanging="296"/>
        <w:spacing w:after="0" w:line="276"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52" w:lineRule="exact"/>
        <w:rPr>
          <w:sz w:val="20"/>
          <w:szCs w:val="20"/>
          <w:color w:val="auto"/>
        </w:rPr>
      </w:pPr>
    </w:p>
    <w:p>
      <w:pPr>
        <w:ind w:right="320" w:firstLine="575"/>
        <w:spacing w:after="0" w:line="276" w:lineRule="auto"/>
        <w:rPr>
          <w:sz w:val="20"/>
          <w:szCs w:val="20"/>
          <w:color w:val="auto"/>
        </w:rPr>
      </w:pPr>
      <w:r>
        <w:rPr>
          <w:rFonts w:ascii="Arial" w:cs="Arial" w:eastAsia="Arial" w:hAnsi="Arial"/>
          <w:sz w:val="16"/>
          <w:szCs w:val="16"/>
          <w:color w:val="auto"/>
        </w:rPr>
        <w:t>The Securities may be resold directly or indirectly, only in compliance with articles L.411-1, L.411-2, L.412-1 and L.621-8 through L.621-8-3 of the French Code monétaire et financier.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Hong Kong</w:t>
      </w:r>
    </w:p>
    <w:p>
      <w:pPr>
        <w:spacing w:after="0" w:line="200"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w:t>
      </w:r>
      <w:r>
        <w:rPr>
          <w:rFonts w:ascii="Arial" w:cs="Arial" w:eastAsia="Arial" w:hAnsi="Arial"/>
          <w:sz w:val="15"/>
          <w:szCs w:val="15"/>
          <w:i w:val="1"/>
          <w:iCs w:val="1"/>
          <w:color w:val="auto"/>
        </w:rPr>
        <w:t>SFO</w:t>
      </w:r>
      <w:r>
        <w:rPr>
          <w:rFonts w:ascii="Arial" w:cs="Arial" w:eastAsia="Arial" w:hAnsi="Arial"/>
          <w:sz w:val="15"/>
          <w:szCs w:val="15"/>
          <w:color w:val="auto"/>
        </w:rPr>
        <w:t>) and any rules made under that Ordinance; or in other circumstances which do not result in the document being a “prospectus” as defined in the Companies Ordinance (Cap. 32) of Hong Kong (</w:t>
      </w:r>
      <w:r>
        <w:rPr>
          <w:rFonts w:ascii="Arial" w:cs="Arial" w:eastAsia="Arial" w:hAnsi="Arial"/>
          <w:sz w:val="15"/>
          <w:szCs w:val="15"/>
          <w:i w:val="1"/>
          <w:iCs w:val="1"/>
          <w:color w:val="auto"/>
        </w:rPr>
        <w:t>CO</w:t>
      </w:r>
      <w:r>
        <w:rPr>
          <w:rFonts w:ascii="Arial" w:cs="Arial" w:eastAsia="Arial" w:hAnsi="Arial"/>
          <w:sz w:val="15"/>
          <w:szCs w:val="15"/>
          <w:color w:val="auto"/>
        </w:rPr>
        <w:t>)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57"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Israel</w:t>
      </w:r>
    </w:p>
    <w:p>
      <w:pPr>
        <w:spacing w:after="0" w:line="20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Japan</w:t>
      </w:r>
    </w:p>
    <w:p>
      <w:pPr>
        <w:spacing w:after="0" w:line="20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w:t>
      </w:r>
      <w:r>
        <w:rPr>
          <w:rFonts w:ascii="Arial" w:cs="Arial" w:eastAsia="Arial" w:hAnsi="Arial"/>
          <w:sz w:val="16"/>
          <w:szCs w:val="16"/>
          <w:i w:val="1"/>
          <w:iCs w:val="1"/>
          <w:color w:val="auto"/>
        </w:rPr>
        <w:t>FIEL</w:t>
      </w:r>
      <w:r>
        <w:rPr>
          <w:rFonts w:ascii="Arial" w:cs="Arial" w:eastAsia="Arial" w:hAnsi="Arial"/>
          <w:sz w:val="16"/>
          <w:szCs w:val="16"/>
          <w:color w:val="auto"/>
        </w:rPr>
        <w:t>),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Notice to Prospective Investors in Singapore</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6"/>
          <w:szCs w:val="16"/>
          <w:i w:val="1"/>
          <w:iCs w:val="1"/>
          <w:color w:val="auto"/>
        </w:rPr>
        <w:t>SFA</w:t>
      </w:r>
      <w:r>
        <w:rPr>
          <w:rFonts w:ascii="Arial" w:cs="Arial" w:eastAsia="Arial" w:hAnsi="Arial"/>
          <w:sz w:val="16"/>
          <w:szCs w:val="16"/>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Where the Securities are subscribed or purchased under Section 275 of the SFA by a relevant person which is:</w:t>
      </w:r>
    </w:p>
    <w:p>
      <w:pPr>
        <w:spacing w:after="0" w:line="200" w:lineRule="exact"/>
        <w:rPr>
          <w:sz w:val="20"/>
          <w:szCs w:val="20"/>
          <w:color w:val="auto"/>
        </w:rPr>
      </w:pPr>
    </w:p>
    <w:p>
      <w:pPr>
        <w:ind w:left="420" w:right="60" w:hanging="208"/>
        <w:spacing w:after="0" w:line="276"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2" w:lineRule="exact"/>
        <w:rPr>
          <w:rFonts w:ascii="Arial" w:cs="Arial" w:eastAsia="Arial" w:hAnsi="Arial"/>
          <w:sz w:val="16"/>
          <w:szCs w:val="16"/>
          <w:color w:val="auto"/>
        </w:rPr>
      </w:pPr>
    </w:p>
    <w:p>
      <w:pPr>
        <w:jc w:val="both"/>
        <w:ind w:left="420" w:right="160" w:hanging="208"/>
        <w:spacing w:after="0" w:line="318"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Securities pursuant to an offer made under Section 275 of the SFA except:</w:t>
      </w:r>
    </w:p>
    <w:p>
      <w:pPr>
        <w:spacing w:after="0" w:line="127" w:lineRule="exact"/>
        <w:rPr>
          <w:sz w:val="20"/>
          <w:szCs w:val="20"/>
          <w:color w:val="auto"/>
        </w:rPr>
      </w:pPr>
    </w:p>
    <w:p>
      <w:pPr>
        <w:ind w:left="420" w:right="640" w:hanging="208"/>
        <w:spacing w:after="0" w:line="276"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(ii)where no consideration is or will be given for the transfer;</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(iii)where the transfer is by operation of law;</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(iv)as specified in Section 276(7) of the SFA; or</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(v) as specified in Regulation 32 of the Securities and Futures (Offers of Investments) (Shares and Debentures) Regulations 2005 of Singapore.</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 to Prospective Investors in the United Kingdom</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No Securities have been offered or will be offered pursuant to the offering to the public in the United Kingdom prior to the publication of a prospectus in relation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Securities which has been approved by the Financial Conduct Authority, except that the Securities may be offered to the public in the United Kingdom at any time:</w:t>
      </w:r>
    </w:p>
    <w:p>
      <w:pPr>
        <w:spacing w:after="0" w:line="199" w:lineRule="exact"/>
        <w:rPr>
          <w:sz w:val="20"/>
          <w:szCs w:val="20"/>
          <w:color w:val="auto"/>
        </w:rPr>
      </w:pPr>
    </w:p>
    <w:p>
      <w:pPr>
        <w:ind w:left="580" w:hanging="296"/>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199" w:lineRule="exact"/>
        <w:rPr>
          <w:rFonts w:ascii="Arial" w:cs="Arial" w:eastAsia="Arial" w:hAnsi="Arial"/>
          <w:sz w:val="16"/>
          <w:szCs w:val="16"/>
          <w:color w:val="auto"/>
        </w:rPr>
      </w:pPr>
    </w:p>
    <w:p>
      <w:pPr>
        <w:ind w:left="580" w:right="220" w:hanging="296"/>
        <w:spacing w:after="0" w:line="276"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 or</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in any other circumstances falling within Section 86 of the Financial Services and Market Act 2000 (the </w:t>
      </w:r>
      <w:r>
        <w:rPr>
          <w:rFonts w:ascii="Arial" w:cs="Arial" w:eastAsia="Arial" w:hAnsi="Arial"/>
          <w:sz w:val="16"/>
          <w:szCs w:val="16"/>
          <w:i w:val="1"/>
          <w:iCs w:val="1"/>
          <w:color w:val="auto"/>
        </w:rPr>
        <w:t>FSMA</w:t>
      </w:r>
      <w:r>
        <w:rPr>
          <w:rFonts w:ascii="Arial" w:cs="Arial" w:eastAsia="Arial" w:hAnsi="Arial"/>
          <w:sz w:val="16"/>
          <w:szCs w:val="16"/>
          <w:color w:val="auto"/>
        </w:rPr>
        <w:t>),</w:t>
      </w:r>
    </w:p>
    <w:p>
      <w:pPr>
        <w:spacing w:after="0" w:line="200" w:lineRule="exact"/>
        <w:rPr>
          <w:sz w:val="20"/>
          <w:szCs w:val="20"/>
          <w:color w:val="auto"/>
        </w:rPr>
      </w:pPr>
    </w:p>
    <w:p>
      <w:pPr>
        <w:ind w:right="540"/>
        <w:spacing w:after="0" w:line="276" w:lineRule="auto"/>
        <w:rPr>
          <w:sz w:val="20"/>
          <w:szCs w:val="20"/>
          <w:color w:val="auto"/>
        </w:rPr>
      </w:pPr>
      <w:r>
        <w:rPr>
          <w:rFonts w:ascii="Arial" w:cs="Arial" w:eastAsia="Arial" w:hAnsi="Arial"/>
          <w:sz w:val="16"/>
          <w:szCs w:val="16"/>
          <w:color w:val="auto"/>
        </w:rPr>
        <w:t>provided that no such offer of the Securities shall require the Company or the underwriter to publish a prospectus pursuant to Section 85 of the FSMA, or supplement a prospectus pursuant to Article 23 of the UK Prospectus Regulation.</w:t>
      </w:r>
    </w:p>
    <w:p>
      <w:pPr>
        <w:spacing w:after="0" w:line="152"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auto"/>
        </w:rPr>
        <w:t>For the purposes of this provision, the expression an “offer to the public” in relation to any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the domestic law by virtue of the European Union (Withdrawal) Act 2018.</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In addition, in the United Kingdom, this document is being distributed only to, and is directly only at, and any offer subsequently made may only be directed at persons who are “qualified investors” (as defined in Article 2 of the UK Prospectus Regulation) (i) who have professional experience in matters relating to investments and who qualify as investment professionals within the meaning of Article 19(5) of the Financial Services and Markets Act 2000 (Financial Promotion) Order 2005, as amended, or the Financial Promotion Order; and/or (ii) who are high net worth companies (or persons to whom it may otherwise be lawfully communicated) falling within Article 49(2)(a) to (d) of the Financial Promotion Order (all such persons together being referred to as “relevant persons”) or otherwise in circumstances which have not resulted and will not result in an offer to the public of the Securities in the United Kingdom within the meaning of the FSMA.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Certain legal matters in connection with this offering will be passed upon for us by Latham &amp; Watkins LLP, Chicago, Illinois. The underwriters are being represented in connection with this offering by Cooley LLP, San Francisco, California. The validity of the securities offered hereby will be passed upon for us by Woodburn and Wedge, Reno, Nevada.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WithumSmith+Brown, PC (</w:t>
      </w:r>
      <w:r>
        <w:rPr>
          <w:rFonts w:ascii="Arial" w:cs="Arial" w:eastAsia="Arial" w:hAnsi="Arial"/>
          <w:sz w:val="15"/>
          <w:szCs w:val="15"/>
          <w:i w:val="1"/>
          <w:iCs w:val="1"/>
          <w:color w:val="auto"/>
        </w:rPr>
        <w:t>Withum</w:t>
      </w:r>
      <w:r>
        <w:rPr>
          <w:rFonts w:ascii="Arial" w:cs="Arial" w:eastAsia="Arial" w:hAnsi="Arial"/>
          <w:sz w:val="15"/>
          <w:szCs w:val="15"/>
          <w:color w:val="auto"/>
        </w:rPr>
        <w:t>) our independent registered public accounting firm, has audited our consolidated financial statements included in our Annual Report on Form 10-K for the year ended March 31, 2023, as set forth in their report, which is incorporated by reference in this prospectus supplement. The report for Vistagen Therapeutics, Inc. includes an explanatory paragraph about the existence of substantial doubt concerning its ability to continue as a going concern. Our financial statements are incorporated by reference in reliance on Withum’s report, given on their authority as experts in accounting and auditing.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WHERE YOU CAN FIND MORE INFORMATION</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Our common stock is registered with the SEC under Section 12 of the Exchange Act and, accordingly, we are subject to the information and periodic reporting requirements of the Exchange Act and file periodic reports, proxy statements and other information with the SEC. These periodic reports, proxy statements and other information are available at the website of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2"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 xml:space="preserve">We maintain a website at </w:t>
      </w:r>
      <w:r>
        <w:rPr>
          <w:rFonts w:ascii="Arial" w:cs="Arial" w:eastAsia="Arial" w:hAnsi="Arial"/>
          <w:sz w:val="15"/>
          <w:szCs w:val="15"/>
          <w:i w:val="1"/>
          <w:iCs w:val="1"/>
          <w:color w:val="auto"/>
        </w:rPr>
        <w:t>www.vistagen.com</w:t>
      </w:r>
      <w:r>
        <w:rPr>
          <w:rFonts w:ascii="Arial" w:cs="Arial" w:eastAsia="Arial" w:hAnsi="Arial"/>
          <w:sz w:val="15"/>
          <w:szCs w:val="15"/>
          <w:color w:val="auto"/>
        </w:rPr>
        <w:t>. You may access our Annual Reports on Form 10-K, Quarterly Reports on Form 10-Q, Current Reports on Form 8-K and amendments to those reports, proxy statements and other information filed or furnished pursuant to Section 13(a) or 15(d) of the Exchange Act with the SEC free of charge at our website as soon as reasonably practicable after such material is electronically filed with, or furnished to, the SEC. We have not incorporated by reference into this prospectus supplement the information on our website, and you should not consider it to be a part of this prospectus supplement.</w:t>
      </w:r>
    </w:p>
    <w:p>
      <w:pPr>
        <w:spacing w:after="0" w:line="151"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for free at the website of the SEC referenced above.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00"/>
          </w:cols>
          <w:pgMar w:left="320" w:top="531" w:right="379" w:bottom="1440" w:gutter="0" w:footer="0" w:header="0"/>
        </w:sectPr>
      </w:pPr>
    </w:p>
    <w:bookmarkStart w:id="27" w:name="page28"/>
    <w:bookmarkEnd w:id="27"/>
    <w:p>
      <w:pPr>
        <w:ind w:left="318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 supplement:</w:t>
      </w:r>
    </w:p>
    <w:p>
      <w:pPr>
        <w:spacing w:after="0" w:line="200" w:lineRule="exact"/>
        <w:rPr>
          <w:sz w:val="20"/>
          <w:szCs w:val="20"/>
          <w:color w:val="auto"/>
        </w:rPr>
      </w:pPr>
    </w:p>
    <w:p>
      <w:pPr>
        <w:ind w:left="580" w:hanging="296"/>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our Annual Report on Form 10-K for the year ended March 31, 2023, filed on </w:t>
      </w:r>
      <w:hyperlink r:id="rId41">
        <w:r>
          <w:rPr>
            <w:rFonts w:ascii="Arial" w:cs="Arial" w:eastAsia="Arial" w:hAnsi="Arial"/>
            <w:sz w:val="16"/>
            <w:szCs w:val="16"/>
            <w:u w:val="single" w:color="auto"/>
            <w:color w:val="0000EE"/>
          </w:rPr>
          <w:t>June 28, 2023</w:t>
        </w:r>
      </w:hyperlink>
      <w:r>
        <w:rPr>
          <w:rFonts w:ascii="Arial" w:cs="Arial" w:eastAsia="Arial" w:hAnsi="Arial"/>
          <w:sz w:val="16"/>
          <w:szCs w:val="16"/>
          <w:color w:val="auto"/>
        </w:rPr>
        <w:t>;</w:t>
      </w:r>
    </w:p>
    <w:p>
      <w:pPr>
        <w:spacing w:after="0" w:line="223" w:lineRule="exact"/>
        <w:rPr>
          <w:rFonts w:ascii="Arial" w:cs="Arial" w:eastAsia="Arial" w:hAnsi="Arial"/>
          <w:sz w:val="16"/>
          <w:szCs w:val="16"/>
          <w:color w:val="auto"/>
        </w:rPr>
      </w:pPr>
    </w:p>
    <w:p>
      <w:pPr>
        <w:ind w:left="580" w:hanging="296"/>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our Quarterly Report on Form 10-Q for the period ended June 30, 2023, filed on </w:t>
      </w:r>
      <w:hyperlink r:id="rId42">
        <w:r>
          <w:rPr>
            <w:rFonts w:ascii="Arial" w:cs="Arial" w:eastAsia="Arial" w:hAnsi="Arial"/>
            <w:sz w:val="16"/>
            <w:szCs w:val="16"/>
            <w:u w:val="single" w:color="auto"/>
            <w:color w:val="0000EE"/>
          </w:rPr>
          <w:t>August 10, 2022</w:t>
        </w:r>
      </w:hyperlink>
      <w:r>
        <w:rPr>
          <w:rFonts w:ascii="Arial" w:cs="Arial" w:eastAsia="Arial" w:hAnsi="Arial"/>
          <w:sz w:val="16"/>
          <w:szCs w:val="16"/>
          <w:color w:val="auto"/>
        </w:rPr>
        <w:t>;</w:t>
      </w:r>
    </w:p>
    <w:p>
      <w:pPr>
        <w:spacing w:after="0" w:line="223" w:lineRule="exact"/>
        <w:rPr>
          <w:rFonts w:ascii="Arial" w:cs="Arial" w:eastAsia="Arial" w:hAnsi="Arial"/>
          <w:sz w:val="16"/>
          <w:szCs w:val="16"/>
          <w:color w:val="auto"/>
        </w:rPr>
      </w:pPr>
    </w:p>
    <w:p>
      <w:pPr>
        <w:ind w:left="580" w:hanging="296"/>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our Definitive Proxy Statement on Schedule 14A, filed on </w:t>
      </w:r>
      <w:hyperlink r:id="rId43">
        <w:r>
          <w:rPr>
            <w:rFonts w:ascii="Arial" w:cs="Arial" w:eastAsia="Arial" w:hAnsi="Arial"/>
            <w:sz w:val="16"/>
            <w:szCs w:val="16"/>
            <w:u w:val="single" w:color="auto"/>
            <w:color w:val="0000EE"/>
          </w:rPr>
          <w:t>July 28, 2023</w:t>
        </w:r>
      </w:hyperlink>
      <w:r>
        <w:rPr>
          <w:rFonts w:ascii="Arial" w:cs="Arial" w:eastAsia="Arial" w:hAnsi="Arial"/>
          <w:sz w:val="16"/>
          <w:szCs w:val="16"/>
          <w:color w:val="auto"/>
        </w:rPr>
        <w:t>;</w:t>
      </w:r>
    </w:p>
    <w:p>
      <w:pPr>
        <w:spacing w:after="0" w:line="223" w:lineRule="exact"/>
        <w:rPr>
          <w:rFonts w:ascii="Arial" w:cs="Arial" w:eastAsia="Arial" w:hAnsi="Arial"/>
          <w:sz w:val="16"/>
          <w:szCs w:val="16"/>
          <w:color w:val="auto"/>
        </w:rPr>
      </w:pPr>
    </w:p>
    <w:p>
      <w:pPr>
        <w:ind w:left="580" w:hanging="296"/>
        <w:spacing w:after="0" w:line="263" w:lineRule="auto"/>
        <w:tabs>
          <w:tab w:leader="none" w:pos="580" w:val="left"/>
        </w:tabs>
        <w:numPr>
          <w:ilvl w:val="0"/>
          <w:numId w:val="17"/>
        </w:numPr>
        <w:rPr>
          <w:rFonts w:ascii="Arial" w:cs="Arial" w:eastAsia="Arial" w:hAnsi="Arial"/>
          <w:sz w:val="16"/>
          <w:szCs w:val="16"/>
          <w:color w:val="0000EE"/>
        </w:rPr>
      </w:pPr>
      <w:hyperlink r:id="rId44">
        <w:r>
          <w:rPr>
            <w:rFonts w:ascii="Arial" w:cs="Arial" w:eastAsia="Arial" w:hAnsi="Arial"/>
            <w:sz w:val="16"/>
            <w:szCs w:val="16"/>
            <w:color w:val="auto"/>
          </w:rPr>
          <w:t xml:space="preserve">our Current Reports on Form 8-K, filed on </w:t>
        </w:r>
        <w:r>
          <w:rPr>
            <w:rFonts w:ascii="Arial" w:cs="Arial" w:eastAsia="Arial" w:hAnsi="Arial"/>
            <w:sz w:val="16"/>
            <w:szCs w:val="16"/>
            <w:u w:val="single" w:color="auto"/>
            <w:color w:val="0000EE"/>
          </w:rPr>
          <w:t>April 6,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April 19,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1,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6,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7,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13,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21,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23, 2023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July</w:t>
        </w:r>
      </w:hyperlink>
      <w:r>
        <w:rPr>
          <w:rFonts w:ascii="Arial" w:cs="Arial" w:eastAsia="Arial" w:hAnsi="Arial"/>
          <w:sz w:val="16"/>
          <w:szCs w:val="16"/>
          <w:color w:val="auto"/>
        </w:rPr>
        <w:t xml:space="preserve"> </w:t>
      </w:r>
      <w:hyperlink r:id="rId45">
        <w:r>
          <w:rPr>
            <w:rFonts w:ascii="Arial" w:cs="Arial" w:eastAsia="Arial" w:hAnsi="Arial"/>
            <w:sz w:val="16"/>
            <w:szCs w:val="16"/>
            <w:u w:val="single" w:color="auto"/>
            <w:color w:val="0000EE"/>
          </w:rPr>
          <w:t>7, 2023</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July 13, 2023</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July 18, 2023</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August 22, 2023</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September 8, 2023</w:t>
        </w:r>
        <w:r>
          <w:rPr>
            <w:rFonts w:ascii="Arial" w:cs="Arial" w:eastAsia="Arial" w:hAnsi="Arial"/>
            <w:sz w:val="16"/>
            <w:szCs w:val="16"/>
            <w:color w:val="0000EE"/>
          </w:rPr>
          <w:t xml:space="preserve"> </w:t>
        </w:r>
        <w:r>
          <w:rPr>
            <w:rFonts w:ascii="Arial" w:cs="Arial" w:eastAsia="Arial" w:hAnsi="Arial"/>
            <w:sz w:val="16"/>
            <w:szCs w:val="16"/>
            <w:color w:val="000000"/>
          </w:rPr>
          <w:t>(excluding any information furnished in such report under Items 2.02 and 7.01),</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September</w:t>
        </w:r>
      </w:hyperlink>
      <w:r>
        <w:rPr>
          <w:rFonts w:ascii="Arial" w:cs="Arial" w:eastAsia="Arial" w:hAnsi="Arial"/>
          <w:sz w:val="16"/>
          <w:szCs w:val="16"/>
          <w:color w:val="0000EE"/>
        </w:rPr>
        <w:t xml:space="preserve"> </w:t>
      </w:r>
      <w:hyperlink r:id="rId45">
        <w:r>
          <w:rPr>
            <w:rFonts w:ascii="Arial" w:cs="Arial" w:eastAsia="Arial" w:hAnsi="Arial"/>
            <w:sz w:val="16"/>
            <w:szCs w:val="16"/>
            <w:u w:val="single" w:color="auto"/>
            <w:color w:val="0000EE"/>
          </w:rPr>
          <w:t>13, 2023</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6">
        <w:r>
          <w:rPr>
            <w:rFonts w:ascii="Arial" w:cs="Arial" w:eastAsia="Arial" w:hAnsi="Arial"/>
            <w:sz w:val="16"/>
            <w:szCs w:val="16"/>
            <w:u w:val="single" w:color="auto"/>
            <w:color w:val="0000EE"/>
          </w:rPr>
          <w:t xml:space="preserve">September 29, 2023 </w:t>
        </w:r>
      </w:hyperlink>
      <w:hyperlink r:id="rId45">
        <w:r>
          <w:rPr>
            <w:rFonts w:ascii="Arial" w:cs="Arial" w:eastAsia="Arial" w:hAnsi="Arial"/>
            <w:sz w:val="16"/>
            <w:szCs w:val="16"/>
            <w:color w:val="000000"/>
          </w:rPr>
          <w:t>and</w:t>
        </w:r>
        <w:r>
          <w:rPr>
            <w:rFonts w:ascii="Arial" w:cs="Arial" w:eastAsia="Arial" w:hAnsi="Arial"/>
            <w:sz w:val="16"/>
            <w:szCs w:val="16"/>
            <w:color w:val="0000EE"/>
          </w:rPr>
          <w:t xml:space="preserve"> </w:t>
        </w:r>
      </w:hyperlink>
      <w:hyperlink r:id="rId47">
        <w:r>
          <w:rPr>
            <w:rFonts w:ascii="Arial" w:cs="Arial" w:eastAsia="Arial" w:hAnsi="Arial"/>
            <w:sz w:val="16"/>
            <w:szCs w:val="16"/>
            <w:u w:val="single" w:color="auto"/>
            <w:color w:val="0000EE"/>
          </w:rPr>
          <w:t>October 2, 2023</w:t>
        </w:r>
      </w:hyperlink>
      <w:hyperlink r:id="rId45">
        <w:r>
          <w:rPr>
            <w:rFonts w:ascii="Arial" w:cs="Arial" w:eastAsia="Arial" w:hAnsi="Arial"/>
            <w:sz w:val="16"/>
            <w:szCs w:val="16"/>
            <w:color w:val="000000"/>
          </w:rPr>
          <w:t>; and</w:t>
        </w:r>
      </w:hyperlink>
    </w:p>
    <w:p>
      <w:pPr>
        <w:spacing w:after="0" w:line="162" w:lineRule="exact"/>
        <w:rPr>
          <w:rFonts w:ascii="Arial" w:cs="Arial" w:eastAsia="Arial" w:hAnsi="Arial"/>
          <w:sz w:val="16"/>
          <w:szCs w:val="16"/>
          <w:color w:val="0000EE"/>
        </w:rPr>
      </w:pPr>
    </w:p>
    <w:p>
      <w:pPr>
        <w:ind w:left="580" w:hanging="296"/>
        <w:spacing w:after="0" w:line="350"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4"/>
          <w:szCs w:val="14"/>
          <w:i w:val="1"/>
          <w:iCs w:val="1"/>
          <w:color w:val="auto"/>
        </w:rPr>
        <w:t>Securities Act</w:t>
      </w:r>
      <w:r>
        <w:rPr>
          <w:rFonts w:ascii="Arial" w:cs="Arial" w:eastAsia="Arial" w:hAnsi="Arial"/>
          <w:sz w:val="14"/>
          <w:szCs w:val="14"/>
          <w:color w:val="auto"/>
        </w:rPr>
        <w:t xml:space="preserve">) on </w:t>
      </w:r>
      <w:hyperlink r:id="rId48">
        <w:r>
          <w:rPr>
            <w:rFonts w:ascii="Arial" w:cs="Arial" w:eastAsia="Arial" w:hAnsi="Arial"/>
            <w:sz w:val="14"/>
            <w:szCs w:val="14"/>
            <w:u w:val="single" w:color="auto"/>
            <w:color w:val="0000EE"/>
          </w:rPr>
          <w:t>May 3, 2016</w:t>
        </w:r>
      </w:hyperlink>
      <w:r>
        <w:rPr>
          <w:rFonts w:ascii="Arial" w:cs="Arial" w:eastAsia="Arial" w:hAnsi="Arial"/>
          <w:sz w:val="14"/>
          <w:szCs w:val="14"/>
          <w:color w:val="auto"/>
        </w:rPr>
        <w:t>, including any amendment or report filed with the Commission for the purpose of updating this description.</w:t>
      </w:r>
    </w:p>
    <w:p>
      <w:pPr>
        <w:spacing w:after="0" w:line="298" w:lineRule="exact"/>
        <w:rPr>
          <w:rFonts w:ascii="Arial" w:cs="Arial" w:eastAsia="Arial" w:hAnsi="Arial"/>
          <w:sz w:val="16"/>
          <w:szCs w:val="16"/>
          <w:color w:val="0000EE"/>
        </w:rPr>
      </w:pPr>
    </w:p>
    <w:p>
      <w:pPr>
        <w:spacing w:after="0" w:line="307" w:lineRule="auto"/>
        <w:rPr>
          <w:sz w:val="20"/>
          <w:szCs w:val="20"/>
          <w:color w:val="auto"/>
        </w:rPr>
      </w:pPr>
      <w:r>
        <w:rPr>
          <w:rFonts w:ascii="Arial" w:cs="Arial" w:eastAsia="Arial" w:hAnsi="Arial"/>
          <w:sz w:val="14"/>
          <w:szCs w:val="14"/>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supplement is a part and prior to effectiveness of such registration statement. All documents we file in the future pursuant to Section 13(a), 13(c), 14 or 15(d) of the Exchange Act after the date of this prospectus supplement and prior to the termination of the offering are also incorporated herein by reference and are an important part of this prospectus supplement.</w:t>
      </w:r>
    </w:p>
    <w:p>
      <w:pPr>
        <w:spacing w:after="0" w:line="135" w:lineRule="exact"/>
        <w:rPr>
          <w:rFonts w:ascii="Arial" w:cs="Arial" w:eastAsia="Arial" w:hAnsi="Arial"/>
          <w:sz w:val="16"/>
          <w:szCs w:val="16"/>
          <w:color w:val="0000EE"/>
        </w:rPr>
      </w:pPr>
    </w:p>
    <w:p>
      <w:pPr>
        <w:ind w:right="200"/>
        <w:spacing w:after="0" w:line="259"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5" w:lineRule="exact"/>
        <w:rPr>
          <w:rFonts w:ascii="Arial" w:cs="Arial" w:eastAsia="Arial" w:hAnsi="Arial"/>
          <w:sz w:val="16"/>
          <w:szCs w:val="16"/>
          <w:color w:val="0000EE"/>
        </w:rPr>
      </w:pPr>
    </w:p>
    <w:p>
      <w:pPr>
        <w:ind w:right="40"/>
        <w:spacing w:after="0" w:line="263" w:lineRule="auto"/>
        <w:rPr>
          <w:sz w:val="20"/>
          <w:szCs w:val="20"/>
          <w:color w:val="auto"/>
        </w:rPr>
      </w:pPr>
      <w:r>
        <w:rPr>
          <w:rFonts w:ascii="Arial" w:cs="Arial" w:eastAsia="Arial" w:hAnsi="Arial"/>
          <w:sz w:val="16"/>
          <w:szCs w:val="16"/>
          <w:color w:val="auto"/>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2"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0"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6"/>
          <w:szCs w:val="16"/>
          <w:color w:val="auto"/>
        </w:rPr>
        <w:t>343 Allerton Avenue</w:t>
      </w:r>
    </w:p>
    <w:p>
      <w:pPr>
        <w:spacing w:after="0" w:line="8"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8"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6"/>
          <w:szCs w:val="16"/>
          <w:color w:val="auto"/>
        </w:rPr>
        <w:t>(650) 577-3600</w:t>
      </w:r>
    </w:p>
    <w:p>
      <w:pPr>
        <w:spacing w:after="0" w:line="187" w:lineRule="exact"/>
        <w:rPr>
          <w:rFonts w:ascii="Arial" w:cs="Arial" w:eastAsia="Arial" w:hAnsi="Arial"/>
          <w:sz w:val="16"/>
          <w:szCs w:val="16"/>
          <w:color w:val="0000EE"/>
        </w:rPr>
      </w:pPr>
    </w:p>
    <w:p>
      <w:pPr>
        <w:ind w:right="80"/>
        <w:spacing w:after="0" w:line="259" w:lineRule="auto"/>
        <w:rPr>
          <w:sz w:val="20"/>
          <w:szCs w:val="20"/>
          <w:color w:val="auto"/>
        </w:rPr>
      </w:pPr>
      <w:r>
        <w:rPr>
          <w:rFonts w:ascii="Arial" w:cs="Arial" w:eastAsia="Arial" w:hAnsi="Arial"/>
          <w:sz w:val="16"/>
          <w:szCs w:val="16"/>
          <w:color w:val="auto"/>
        </w:rPr>
        <w:t>This prospectus supplement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supplement.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165"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6"/>
          <w:szCs w:val="16"/>
          <w:color w:val="auto"/>
        </w:rPr>
        <w:t>S-25</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137160</wp:posOffset>
            </wp:positionV>
            <wp:extent cx="943610" cy="601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43610"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$250,000,000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From time to time, we may offer and sell, in one or more offerings, up to approximately $250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and upon conversion of shares of Series D Preferred (each as defined herein) are also being offered pursuant to this prospectus.</w:t>
      </w:r>
    </w:p>
    <w:p>
      <w:pPr>
        <w:spacing w:after="0" w:line="13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Our common stock is listed on the Nasdaq Capital Market under the symbol “VTGN.” On March 12, 2021, the closing price of our common stock on the Nasdaq Capital Market was $2.35 per share.</w:t>
      </w:r>
    </w:p>
    <w:p>
      <w:pPr>
        <w:spacing w:after="0" w:line="152"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in this prospectus.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March 10, 2021, the aggregate market value of our outstanding common stock held by non-affiliates was approximately $308,181,800, which was calculated in accordance with General Instruction I.B.1 of Form S-3, based on 143,340,410 shares of outstanding common stock held by non-affiliates, at a price per share of $2.15, the closing sale price of our common stock reported on the Nasdaq Capital Market on March 10, 2021.</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Our business and investing in our securities involve significant risks. You should review carefully the risks and uncertainties referenced under the heading </w:t>
      </w:r>
      <w:r>
        <w:rPr>
          <w:rFonts w:ascii="Arial" w:cs="Arial" w:eastAsia="Arial" w:hAnsi="Arial"/>
          <w:sz w:val="16"/>
          <w:szCs w:val="16"/>
          <w:color w:val="auto"/>
        </w:rPr>
        <w:t>“</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on page 7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5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March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335280</wp:posOffset>
            </wp:positionV>
            <wp:extent cx="71475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55"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680" w:type="dxa"/>
            <w:vAlign w:val="bottom"/>
          </w:tcPr>
          <w:p>
            <w:pPr>
              <w:jc w:val="center"/>
              <w:ind w:left="2460"/>
              <w:spacing w:after="0"/>
              <w:rPr>
                <w:sz w:val="20"/>
                <w:szCs w:val="20"/>
                <w:color w:val="auto"/>
              </w:rPr>
            </w:pPr>
            <w:r>
              <w:rPr>
                <w:rFonts w:ascii="Arial" w:cs="Arial" w:eastAsia="Arial" w:hAnsi="Arial"/>
                <w:sz w:val="16"/>
                <w:szCs w:val="16"/>
                <w:b w:val="1"/>
                <w:bCs w:val="1"/>
                <w:color w:val="auto"/>
              </w:rPr>
              <w:t>VISTAGEN THERAPEUTICS, INC.</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680" w:type="dxa"/>
            <w:vAlign w:val="bottom"/>
          </w:tcPr>
          <w:p>
            <w:pPr>
              <w:jc w:val="center"/>
              <w:ind w:left="2440"/>
              <w:spacing w:after="0"/>
              <w:rPr>
                <w:sz w:val="20"/>
                <w:szCs w:val="20"/>
                <w:color w:val="auto"/>
              </w:rPr>
            </w:pPr>
            <w:r>
              <w:rPr>
                <w:rFonts w:ascii="Arial" w:cs="Arial" w:eastAsia="Arial" w:hAnsi="Arial"/>
                <w:sz w:val="16"/>
                <w:szCs w:val="16"/>
                <w:b w:val="1"/>
                <w:bCs w:val="1"/>
                <w:color w:val="auto"/>
                <w:w w:val="99"/>
              </w:rPr>
              <w:t>TABLE OF CONTENTS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560" w:type="dxa"/>
            <w:vAlign w:val="bottom"/>
          </w:tcPr>
          <w:p>
            <w:pPr>
              <w:ind w:left="180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About This Prospectus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Company Overview</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Risk Factors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Cautionary Notes Regarding Forward-Looking Statements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Capital Stock</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Warrants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Units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Certain Provisions of Nevada Law and our Articles of Incorporation and Bylaws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Plan of Distribution</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Legal Matters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Experts</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Where You Can Find More Information</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Incorporation of Certain Information by Reference</w:t>
            </w:r>
          </w:p>
        </w:tc>
        <w:tc>
          <w:tcPr>
            <w:tcW w:w="2560" w:type="dxa"/>
            <w:vAlign w:val="bottom"/>
            <w:shd w:val="clear" w:color="auto" w:fill="CCEEFF"/>
          </w:tcPr>
          <w:p>
            <w:pPr>
              <w:jc w:val="center"/>
              <w:ind w:left="1360"/>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31" w:right="319" w:bottom="1440" w:gutter="0" w:footer="0" w:header="0"/>
        </w:sectPr>
      </w:pPr>
    </w:p>
    <w:bookmarkStart w:id="30" w:name="page31"/>
    <w:bookmarkEnd w:id="30"/>
    <w:p>
      <w:pPr>
        <w:jc w:val="center"/>
        <w:ind w:right="80"/>
        <w:spacing w:after="0"/>
        <w:rPr>
          <w:sz w:val="20"/>
          <w:szCs w:val="20"/>
          <w:color w:val="auto"/>
        </w:rPr>
      </w:pPr>
      <w:r>
        <w:rPr>
          <w:rFonts w:ascii="Arial" w:cs="Arial" w:eastAsia="Arial" w:hAnsi="Arial"/>
          <w:sz w:val="16"/>
          <w:szCs w:val="16"/>
          <w:b w:val="1"/>
          <w:bCs w:val="1"/>
          <w:color w:val="auto"/>
        </w:rPr>
        <w:t>ABOUT THIS PROSPECTUS</w:t>
      </w:r>
    </w:p>
    <w:p>
      <w:pPr>
        <w:spacing w:after="0" w:line="204" w:lineRule="exact"/>
        <w:rPr>
          <w:sz w:val="20"/>
          <w:szCs w:val="20"/>
          <w:color w:val="auto"/>
        </w:rPr>
      </w:pPr>
    </w:p>
    <w:p>
      <w:pPr>
        <w:jc w:val="both"/>
        <w:ind w:right="80"/>
        <w:spacing w:after="0" w:line="302" w:lineRule="auto"/>
        <w:rPr>
          <w:sz w:val="20"/>
          <w:szCs w:val="20"/>
          <w:color w:val="auto"/>
        </w:rPr>
      </w:pPr>
      <w:r>
        <w:rPr>
          <w:rFonts w:ascii="Arial" w:cs="Arial" w:eastAsia="Arial" w:hAnsi="Arial"/>
          <w:sz w:val="14"/>
          <w:szCs w:val="14"/>
          <w:color w:val="auto"/>
        </w:rPr>
        <w:t xml:space="preserve">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SECURITIES UNLESS IT IS ACCOMPANIED BY A PROSPECTUS SUPPLEMENT.</w:t>
      </w:r>
    </w:p>
    <w:p>
      <w:pPr>
        <w:spacing w:after="0" w:line="215" w:lineRule="exact"/>
        <w:rPr>
          <w:sz w:val="20"/>
          <w:szCs w:val="20"/>
          <w:color w:val="auto"/>
        </w:rPr>
      </w:pPr>
    </w:p>
    <w:p>
      <w:pPr>
        <w:jc w:val="both"/>
        <w:ind w:right="100"/>
        <w:spacing w:after="0" w:line="298"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340"/>
          </w:cols>
          <w:pgMar w:left="320" w:top="55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COMPANY OVERVIEW</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i w:val="1"/>
          <w:iCs w:val="1"/>
          <w:color w:val="auto"/>
        </w:rPr>
        <w:t xml:space="preserve">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and any accompanying prospectus supplement, including the section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on page 7, before deciding whether to purchase our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In this prospectus, unless otherwise stated or the context otherwise requires, references to </w:t>
      </w:r>
      <w:r>
        <w:rPr>
          <w:rFonts w:ascii="Arial" w:cs="Arial" w:eastAsia="Arial" w:hAnsi="Arial"/>
          <w:sz w:val="15"/>
          <w:szCs w:val="15"/>
          <w:color w:val="auto"/>
        </w:rPr>
        <w:t>“</w:t>
      </w:r>
      <w:r>
        <w:rPr>
          <w:rFonts w:ascii="Arial" w:cs="Arial" w:eastAsia="Arial" w:hAnsi="Arial"/>
          <w:sz w:val="15"/>
          <w:szCs w:val="15"/>
          <w:i w:val="1"/>
          <w:iCs w:val="1"/>
          <w:color w:val="auto"/>
        </w:rPr>
        <w:t>Vistagen,</w:t>
      </w:r>
      <w:r>
        <w:rPr>
          <w:rFonts w:ascii="Arial" w:cs="Arial" w:eastAsia="Arial" w:hAnsi="Arial"/>
          <w:sz w:val="15"/>
          <w:szCs w:val="15"/>
          <w:color w:val="auto"/>
        </w:rPr>
        <w:t>” “</w:t>
      </w:r>
      <w:r>
        <w:rPr>
          <w:rFonts w:ascii="Arial" w:cs="Arial" w:eastAsia="Arial" w:hAnsi="Arial"/>
          <w:sz w:val="15"/>
          <w:szCs w:val="15"/>
          <w:i w:val="1"/>
          <w:iCs w:val="1"/>
          <w:color w:val="auto"/>
        </w:rPr>
        <w:t>Company,</w:t>
      </w:r>
      <w:r>
        <w:rPr>
          <w:rFonts w:ascii="Arial" w:cs="Arial" w:eastAsia="Arial" w:hAnsi="Arial"/>
          <w:sz w:val="15"/>
          <w:szCs w:val="15"/>
          <w:color w:val="auto"/>
        </w:rPr>
        <w:t>” “</w:t>
      </w:r>
      <w:r>
        <w:rPr>
          <w:rFonts w:ascii="Arial" w:cs="Arial" w:eastAsia="Arial" w:hAnsi="Arial"/>
          <w:sz w:val="15"/>
          <w:szCs w:val="15"/>
          <w:i w:val="1"/>
          <w:iCs w:val="1"/>
          <w:color w:val="auto"/>
        </w:rPr>
        <w:t>we,</w:t>
      </w:r>
      <w:r>
        <w:rPr>
          <w:rFonts w:ascii="Arial" w:cs="Arial" w:eastAsia="Arial" w:hAnsi="Arial"/>
          <w:sz w:val="15"/>
          <w:szCs w:val="15"/>
          <w:color w:val="auto"/>
        </w:rPr>
        <w:t>” “</w:t>
      </w:r>
      <w:r>
        <w:rPr>
          <w:rFonts w:ascii="Arial" w:cs="Arial" w:eastAsia="Arial" w:hAnsi="Arial"/>
          <w:sz w:val="15"/>
          <w:szCs w:val="15"/>
          <w:i w:val="1"/>
          <w:iCs w:val="1"/>
          <w:color w:val="auto"/>
        </w:rPr>
        <w:t>us,</w:t>
      </w:r>
      <w:r>
        <w:rPr>
          <w:rFonts w:ascii="Arial" w:cs="Arial" w:eastAsia="Arial" w:hAnsi="Arial"/>
          <w:sz w:val="15"/>
          <w:szCs w:val="15"/>
          <w:color w:val="auto"/>
        </w:rPr>
        <w:t>” “</w:t>
      </w:r>
      <w:r>
        <w:rPr>
          <w:rFonts w:ascii="Arial" w:cs="Arial" w:eastAsia="Arial" w:hAnsi="Arial"/>
          <w:sz w:val="15"/>
          <w:szCs w:val="15"/>
          <w:i w:val="1"/>
          <w:iCs w:val="1"/>
          <w:color w:val="auto"/>
        </w:rPr>
        <w:t>our,</w:t>
      </w:r>
      <w:r>
        <w:rPr>
          <w:rFonts w:ascii="Arial" w:cs="Arial" w:eastAsia="Arial" w:hAnsi="Arial"/>
          <w:sz w:val="15"/>
          <w:szCs w:val="15"/>
          <w:color w:val="auto"/>
        </w:rPr>
        <w:t>”</w:t>
      </w:r>
      <w:r>
        <w:rPr>
          <w:rFonts w:ascii="Arial" w:cs="Arial" w:eastAsia="Arial" w:hAnsi="Arial"/>
          <w:sz w:val="15"/>
          <w:szCs w:val="15"/>
          <w:i w:val="1"/>
          <w:iCs w:val="1"/>
          <w:color w:val="auto"/>
        </w:rPr>
        <w:t xml:space="preserve"> refer to Vistagen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are a clinical-stage biopharmaceutical company committed to developing and commercializing differentiated new generation medications that go beyond the current standard of care for anxiety, depression and other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disorders. Our pipeline includes three CNS product candidates, each with a differentiated potential mechanism of action, favorable safety results observed in all clinical studies to date, and therapeutic potential in multiple CNS markets. We are currently preparing PH94B for a pivotal Phase 3 clinical study as a potential acute treatment of anxiety in adults with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as well as additional nonclinical and clinical studies required to support our U.S.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for that indication should our Phase 3 clinical program be successful. In addition, we are planning for several small exploratory Phase 2A studies of PH94B in adult patients, including in adjustment disorder, pre-procedural anxiety, postpartum anxiety and post-traumatic stress disorder. PH10 has completed a successful exploratory Phase 2A study for the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are currently preparing for planned Phase 2B clinical development of PH10 as a potential stand-alone treatment for MDD. In several clinical studies, AV-101 was shown to be orally bioavailable and was well-tolerated. Based on successful preclinical studies involving AV-101 alone and in combination with probenecid, we are currently planning to pursue Phase 1B, and, if successful, subsequent Phase 2A clinical development of AV-101, in combination with probenecid, for treatment of CNS indications involving the N-methyl-D-aspartate receptor (</w:t>
      </w:r>
      <w:r>
        <w:rPr>
          <w:rFonts w:ascii="Arial" w:cs="Arial" w:eastAsia="Arial" w:hAnsi="Arial"/>
          <w:sz w:val="14"/>
          <w:szCs w:val="14"/>
          <w:i w:val="1"/>
          <w:iCs w:val="1"/>
          <w:color w:val="auto"/>
        </w:rPr>
        <w:t>NMDAR</w:t>
      </w:r>
      <w:r>
        <w:rPr>
          <w:rFonts w:ascii="Arial" w:cs="Arial" w:eastAsia="Arial" w:hAnsi="Arial"/>
          <w:sz w:val="14"/>
          <w:szCs w:val="14"/>
          <w:color w:val="auto"/>
        </w:rPr>
        <w:t>). Additionally, our wholly owned subsidiary, Vistastem, Inc., a California corporation (</w:t>
      </w:r>
      <w:r>
        <w:rPr>
          <w:rFonts w:ascii="Arial" w:cs="Arial" w:eastAsia="Arial" w:hAnsi="Arial"/>
          <w:sz w:val="14"/>
          <w:szCs w:val="14"/>
          <w:i w:val="1"/>
          <w:iCs w:val="1"/>
          <w:color w:val="auto"/>
        </w:rPr>
        <w:t>Vistastem</w:t>
      </w:r>
      <w:r>
        <w:rPr>
          <w:rFonts w:ascii="Arial" w:cs="Arial" w:eastAsia="Arial" w:hAnsi="Arial"/>
          <w:sz w:val="14"/>
          <w:szCs w:val="14"/>
          <w:color w:val="auto"/>
        </w:rPr>
        <w:t>), has pluripotent stem cell technology focused on assessing and developing small molecule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xml:space="preserve">) for our CNS pipeline, or for out-licensing, by utilizing </w:t>
      </w:r>
      <w:r>
        <w:rPr>
          <w:rFonts w:ascii="Arial" w:cs="Arial" w:eastAsia="Arial" w:hAnsi="Arial"/>
          <w:sz w:val="14"/>
          <w:szCs w:val="14"/>
          <w:i w:val="1"/>
          <w:iCs w:val="1"/>
          <w:color w:val="auto"/>
        </w:rPr>
        <w:t>CardioSafe 3D</w:t>
      </w:r>
      <w:r>
        <w:rPr>
          <w:rFonts w:ascii="Arial" w:cs="Arial" w:eastAsia="Arial" w:hAnsi="Arial"/>
          <w:sz w:val="14"/>
          <w:szCs w:val="14"/>
          <w:color w:val="auto"/>
        </w:rPr>
        <w:t>, Vistastem’s customized human heart cell-based cardiac bioassay system. Our goal is to become a biopharmaceutical company that develops and commercializes innovative CNS therapies for multiple large and growing neuropsychiatry and neurology markets worldwide where we believe current treatments are inadequate to meet the needs of millions of patients.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PH94B Nasal Spray for Anxiety Disorders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PH94B is an odorless synthetic rapid-onset pherine nasal spray with therapeutic potential in a wide range of neuropsychiatric indications involving anxiety or phobia. Conveniently self-administered in microgram-level doses without requiring systemic uptake and distribution to achieve its anti-anxiety effects, we are initially developing PH94B as a potential as a fast-acting, non-sedating, non-addictive new generation acute treatment of anxiety in adults with SAD. SAD affects approximately 20 million Americans and, according to the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is the third most common psychiatric condition after depression and substance abuse. A person with SAD feels symptoms of anxiety or fear in certain social situations, such as meeting new people, dating, being on a job interview, answering a question in a classroom or conference room, or having to talk to a cashier in a store. Doing everyday things in front of other people - such as eating, drinking or using a public restroom – may also cause anxiety or fear. A person with SAD may also feel symptoms of fear and anxiety in performance situations, such as giving a lecture, a speech or a presentation to classmates at school, or colleagues at work, as well as playing in a sports game, or dancing or playing a musical instrument on stage. A person with SAD is afraid that he or she will be humiliated, judged, or rejected. The fear and anxiety that people with SAD have in social and performance situations is so strong that they feel they are beyond their ability to control. As a result, SAD gets in the way of going to work, attending school, meeting with others socially or doing everyday things in situations with potential for interpersonal interaction. People with SAD may worry about these and other things for weeks before they happen. Sometimes, they end up avoiding places or events where they think they might have to do something that will embarrass or humiliate them or cause them to be judged. Without treatment, SAD can last for many years or a lifetime and prevent a person from reaching his or her full potential.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32" w:name="page33"/>
    <w:bookmarkEnd w:id="32"/>
    <w:p>
      <w:pPr>
        <w:jc w:val="both"/>
        <w:ind w:right="20"/>
        <w:spacing w:after="0" w:line="302" w:lineRule="auto"/>
        <w:rPr>
          <w:sz w:val="20"/>
          <w:szCs w:val="20"/>
          <w:color w:val="auto"/>
        </w:rPr>
      </w:pPr>
      <w:r>
        <w:rPr>
          <w:rFonts w:ascii="Arial" w:cs="Arial" w:eastAsia="Arial" w:hAnsi="Arial"/>
          <w:sz w:val="14"/>
          <w:szCs w:val="14"/>
          <w:color w:val="auto"/>
        </w:rPr>
        <w:t>Three oral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These FDA-approved antidepressants have slow onset of therapeutic effect (often taking many weeks to months), require chronic administration and often cause significant side effects that begin soon after administration. We believe their slow onset of effect, required chronic administration and significant potential side effects and safety concerns may make these FDA-approved oral antidepressants inadequate or inappropriate treatment alternatives for many individuals affected by SAD. Our PH94B is fundamentally different from the oral antidepressants approved by the FDA for treatment of SAD, as well as all current anti-anxiety drugs, such as benzodiazepines prescribed off-label for treatment of SAD.</w:t>
      </w:r>
    </w:p>
    <w:p>
      <w:pPr>
        <w:spacing w:after="0" w:line="138"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We believe PH94B-induced anxiolytic effects appear consistent with the modulation of neural circuits involved in the pathogenesis of SAD. Neurons in the limbic amygdala regulate fear and anxiety by modulating inhibitory neurotransmission in other brain regions. A microgram level intranasal dose of PH94B (3.2 micrograms) engages specific nasal chemosensory neurons which activate olfactory bulb neurons (</w:t>
      </w:r>
      <w:r>
        <w:rPr>
          <w:rFonts w:ascii="Arial" w:cs="Arial" w:eastAsia="Arial" w:hAnsi="Arial"/>
          <w:sz w:val="15"/>
          <w:szCs w:val="15"/>
          <w:i w:val="1"/>
          <w:iCs w:val="1"/>
          <w:color w:val="auto"/>
        </w:rPr>
        <w:t>OBNs</w:t>
      </w:r>
      <w:r>
        <w:rPr>
          <w:rFonts w:ascii="Arial" w:cs="Arial" w:eastAsia="Arial" w:hAnsi="Arial"/>
          <w:sz w:val="15"/>
          <w:szCs w:val="15"/>
          <w:color w:val="auto"/>
        </w:rPr>
        <w:t>) on the base of the brain. OBNs send neural connections to neurons in the central limbic amygdala, the brain center where fear and anxiety are regulated, resulting in downstream signaling and rapid-onset anti-anxiety effects. Importantly, PH94B does not require systemic uptake and distribution to produce its rapid-onset anti-anxiety effects. In all clinical studies to date, PH94B has not shown psychological side effects (such as dissociation, euphoria or hallucinations), sedation or other side effects and safety concerns that may be caused by the current oral antidepressants approved by the FDA for treatment of SAD, or by benzodiazepines and beta blockers, which, although not FDA-approved to treat SAD, are often prescribed by psychiatrists and physicians for treatment of SAD on an off-label basis. While oral antidepressants, benzodiazepines and beta blockers require systemic administration to achieve anxiolytic effects, due to its unique pharmacology, PH94B does not require systemic uptake and distribution to achieve its rapid-onset anti-anxiety effects.</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a peer-reviewed, published double-blind, placebo-controlled Phase 2 clinical trial, PH94B was statistically significantly more effective than placebo in reducing both public-speaking anxiety (p=0.002) and social interaction anxiety (p=0.009) in laboratory-simulated challenges of SAD patients, within 15 minutes of their self-administration of a non-systemic 1.6 microgram dose of PH94B. Based on the results of this Phase 2 study and our recent consensus with the FDA that our initial pivotal Phase 3 study of PH94B may be conducted in a manner substantially similar to the public speaking anxiety component of such Phase 2 study, we are preparing for Phase 3 clinical development of PH94B as an acute treatment of anxiety in adults with SAD. Our goal is to develop and commercialize PH94B as the first FDA-approved, rapid-onset, non-sedating, non-systemic, non-additive acute treatment of anxiety in adults with SAD. We believe PH94B has potential for use on demand to treat symptoms of anxiety which result from often predictable anxiety-provoking stressors, much like a rescue inhaler is used on demand, before an asthma attack or a migraine drug is used before onset of a migraine episode. We also believe PH94B has potential to treat other anxiety-related neuropsychiatric indications, such as adjustment disorder, postpartum anxiety, preprocedural anxiety (e.g., pre-MRI), panic disorder, post-traumatic stress disorder and specific social phobias. In addition to preparing for Phase 3 development of PH94B as a potential acute treatment of anxiety for adults with SAD, we are planning for a series of small exploratory Phase 2A clinical studies of PH94B for treatment of adjustment disorder, postpartum anxiety, post-traumatic stress disorder, and pre-procedural anxiety. The FDA has granted Fast Track designation for development of PH94B for acute treatment of anxiety in adults with SAD, which we believe is the FDA’s first such designation for a drug candidate for SAD.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PH10 Nasal Spray for Depression Disorders and Suicidal Ideation</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4"/>
          <w:szCs w:val="14"/>
          <w:color w:val="auto"/>
        </w:rPr>
        <w:t xml:space="preserve">PH10 is an odorless synthetic pherine nasal spray with potential to be a fast-acting treatment for multiple neuropsychiatric indications involving depression and suicidal ideation. Conveniently self-administered in microgram-level doses without systemic exposure, we are develop PH10 as a potential rapid-onset, stand-alone treatment of </w:t>
      </w:r>
      <w:r>
        <w:rPr>
          <w:rFonts w:ascii="Arial" w:cs="Arial" w:eastAsia="Arial" w:hAnsi="Arial"/>
          <w:sz w:val="14"/>
          <w:szCs w:val="14"/>
          <w:i w:val="1"/>
          <w:iCs w:val="1"/>
          <w:color w:val="auto"/>
        </w:rPr>
        <w:t>MDD</w:t>
      </w:r>
      <w:r>
        <w:rPr>
          <w:rFonts w:ascii="Arial" w:cs="Arial" w:eastAsia="Arial" w:hAnsi="Arial"/>
          <w:sz w:val="14"/>
          <w:szCs w:val="14"/>
          <w:color w:val="auto"/>
        </w:rPr>
        <w:t>.</w:t>
      </w:r>
    </w:p>
    <w:p>
      <w:pPr>
        <w:spacing w:after="0" w:line="10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w:t>
      </w:r>
    </w:p>
    <w:p>
      <w:pPr>
        <w:spacing w:after="0" w:line="170"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color w:val="auto"/>
        </w:rPr>
        <w:t>The most commonly-prescribed current oral antidepressants are known as selective serotonin reuptake inhibitors (</w:t>
      </w:r>
      <w:r>
        <w:rPr>
          <w:rFonts w:ascii="Arial" w:cs="Arial" w:eastAsia="Arial" w:hAnsi="Arial"/>
          <w:sz w:val="14"/>
          <w:szCs w:val="14"/>
          <w:i w:val="1"/>
          <w:iCs w:val="1"/>
          <w:color w:val="auto"/>
        </w:rPr>
        <w:t>SSRIs</w:t>
      </w:r>
      <w:r>
        <w:rPr>
          <w:rFonts w:ascii="Arial" w:cs="Arial" w:eastAsia="Arial" w:hAnsi="Arial"/>
          <w:sz w:val="14"/>
          <w:szCs w:val="14"/>
          <w:color w:val="auto"/>
        </w:rPr>
        <w:t>), and serotonin-norepinephrine reuptake inhibitors (</w:t>
      </w:r>
      <w:r>
        <w:rPr>
          <w:rFonts w:ascii="Arial" w:cs="Arial" w:eastAsia="Arial" w:hAnsi="Arial"/>
          <w:sz w:val="14"/>
          <w:szCs w:val="14"/>
          <w:i w:val="1"/>
          <w:iCs w:val="1"/>
          <w:color w:val="auto"/>
        </w:rPr>
        <w:t>SNRIs</w:t>
      </w:r>
      <w:r>
        <w:rPr>
          <w:rFonts w:ascii="Arial" w:cs="Arial" w:eastAsia="Arial" w:hAnsi="Arial"/>
          <w:sz w:val="14"/>
          <w:szCs w:val="14"/>
          <w:color w:val="auto"/>
        </w:rPr>
        <w:t>). SSRIs are intended to increase the amount of available serotonin, a neurotransmitter closely linked to mood and anxiety disorders, by inhibiting the reuptake of serotonin in the brain, preventing nerve cells from reabsorbing serotonin and reducing the levels in the brain. This means more serotonin remains available, which can sometimes improve symptoms and make patients more responsive to psychotherapy and other treatments. SNRIs similarly are intended to inhibit the reuptake of serotonin and another neurotransmitter, norepinephrine, and increase the available amounts of each in the brain. Like serotonin, norepinephrine is a neurotransmitter linked to mood.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33" w:name="page34"/>
    <w:bookmarkEnd w:id="33"/>
    <w:p>
      <w:pPr>
        <w:jc w:val="both"/>
        <w:ind w:right="20"/>
        <w:spacing w:after="0" w:line="259" w:lineRule="auto"/>
        <w:rPr>
          <w:sz w:val="20"/>
          <w:szCs w:val="20"/>
          <w:color w:val="auto"/>
        </w:rPr>
      </w:pPr>
      <w:r>
        <w:rPr>
          <w:rFonts w:ascii="Arial" w:cs="Arial" w:eastAsia="Arial" w:hAnsi="Arial"/>
          <w:sz w:val="16"/>
          <w:szCs w:val="16"/>
          <w:color w:val="auto"/>
        </w:rPr>
        <w:t>While these medications can certainly be effective in the right context, it can be a challenge to find the right drug or combination of drugs for a particular patient. About two-thirds of patients with MDD do not respond to their initial treatment with such medications. In addition, it can take many weeks or even months to identify whether an antidepressant is working, all the while leaving a patient to cope with their depression symptoms and the potentially debilitating side effects of the antidepressants they are prescribed.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Due to their long-onset pharmacology, limited efficacy and many side effects and safety concerns, current FDA-approved oral antidepressants available in the multi-billion-dollar global depression market are often inadequate to satisfy the underserved medical needs of millions suffering from the debilitating effects of depression. Inadequate response to current medications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PH10 is a new generation antidepressant with a mechanism of action that is fundamentally different from all current FDA-approved antidepressants.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rapid-onset ketamine-based therapy, including both intravenous ketamine and esketamine nasal spray, or the side effects and safety concerns of current long-onset oral antidepressants. In a small exploratory Phase 2A clinical trial (n=30), PH10, self-administered at a dose of 6.4 micrograms, was well-tolerated and demonstrated statistically significant (p=0.022) rapid-onset antidepressant effects, which were sustained over an 8-week period, as measured by the Hamilton Depression Rating Scale (</w:t>
      </w:r>
      <w:r>
        <w:rPr>
          <w:rFonts w:ascii="Arial" w:cs="Arial" w:eastAsia="Arial" w:hAnsi="Arial"/>
          <w:sz w:val="14"/>
          <w:szCs w:val="14"/>
          <w:i w:val="1"/>
          <w:iCs w:val="1"/>
          <w:color w:val="auto"/>
        </w:rPr>
        <w:t>HAM-D</w:t>
      </w:r>
      <w:r>
        <w:rPr>
          <w:rFonts w:ascii="Arial" w:cs="Arial" w:eastAsia="Arial" w:hAnsi="Arial"/>
          <w:sz w:val="14"/>
          <w:szCs w:val="14"/>
          <w:color w:val="auto"/>
        </w:rPr>
        <w:t>), without side effects or safety concerns that may be caused by ketamine-based therapy and oral antidepressants. Based on positive results from this exploratory Phase 2A study, we are preparing for Phase 2B clinical development of PH10 in MDD, which preparation includes completing two additional preclinical toxicology studies required by the FDA to support our new Investigational New Drug (</w:t>
      </w:r>
      <w:r>
        <w:rPr>
          <w:rFonts w:ascii="Arial" w:cs="Arial" w:eastAsia="Arial" w:hAnsi="Arial"/>
          <w:sz w:val="14"/>
          <w:szCs w:val="14"/>
          <w:i w:val="1"/>
          <w:iCs w:val="1"/>
          <w:color w:val="auto"/>
        </w:rPr>
        <w:t>IND</w:t>
      </w:r>
      <w:r>
        <w:rPr>
          <w:rFonts w:ascii="Arial" w:cs="Arial" w:eastAsia="Arial" w:hAnsi="Arial"/>
          <w:sz w:val="14"/>
          <w:szCs w:val="14"/>
          <w:color w:val="auto"/>
        </w:rPr>
        <w:t>) application for proposed Phase 2B clinical development of PH10 in the U.S. With its favorable safety profile observed during clinical development to date, we believe PH10 has potential for multiple applications in global depression markets, including first as a differentiated stand-alone therapy for MDD.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AV-101, an Oral NMDA Receptor Antagonist for Depression and Neurological Disorders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At doses administered in all studies to date, AV-101 has exhibited no dissociative or hallucinogenic psychological side effects or safety concerns. With its exceptionally few side effects and favorable safety profile observed in all studies to date, AV-101, in combination with the FDA-approved drug, probenecid, has potential to be a new, differentiated oral treatment for multiple large-market CNS indications where we believe current treatments are inadequate to meet high underserved patient needs. The FDA has granted Fast Track designation for development of AV-101 as both a potential adjunctive treatment for MDD and as a non-opioid treatment for neuropathic pain.</w:t>
      </w:r>
    </w:p>
    <w:p>
      <w:pPr>
        <w:spacing w:after="0" w:line="15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In late-2019, we completed a Phase 2 clinical trial of AV-101 as a potential adjunctive treatment, together with a standard FDA-approved oral SSRI or SNRI, in MDD patients who had an inadequate response to a stable dose of their oral antidepressant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did not differentiate from placebo on the primary endpoint (change in the Montgomery-Åsberg Depression Rating Scale (</w:t>
      </w:r>
      <w:r>
        <w:rPr>
          <w:rFonts w:ascii="Arial" w:cs="Arial" w:eastAsia="Arial" w:hAnsi="Arial"/>
          <w:sz w:val="16"/>
          <w:szCs w:val="16"/>
          <w:i w:val="1"/>
          <w:iCs w:val="1"/>
          <w:color w:val="auto"/>
        </w:rPr>
        <w:t>MADRS-10</w:t>
      </w:r>
      <w:r>
        <w:rPr>
          <w:rFonts w:ascii="Arial" w:cs="Arial" w:eastAsia="Arial" w:hAnsi="Arial"/>
          <w:sz w:val="16"/>
          <w:szCs w:val="16"/>
          <w:color w:val="auto"/>
        </w:rPr>
        <w:t>) total score compared to baseline), potentially due to sub-therapeutic levels of 7-Cl-KYNA in the brain. As in prior clinical studies, AV-101 was well tolerated, with no psychotomimetic side effects or drug-related serious adverse events.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recent discoveries from successful preclinical studies of AV-101 in combination with probenecid, a safe and well-known oral anion transport inhibitor approved by the FDA for treatment of gout, suggest that there is a substantially increased brain concentration of AV-101 and its active metabolite, 7-Cl-KYNA, when AV-101 is given together with probenecid. These surprising effects were first revealed as to AV-101 and 7-Cl-KYNA in our recent preclinical studies, although the effects are consistent with well-documented clinical studies of probenecid’s ability to increase the therapeutic benefits of several classes of FDA-approved drugs that are unrelated to AV-101 and 7-Cl-KYNA, including certain antibacterial, anticancer and antiviral drugs. When probenecid was administered in combination with AV-101 in animal models, substantially increased brain concentrations of AV-101 and 7-Cl-KYNA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our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disorders than demonstrated in the Elevate Study.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34" w:name="page35"/>
    <w:bookmarkEnd w:id="34"/>
    <w:p>
      <w:pPr>
        <w:jc w:val="both"/>
        <w:spacing w:after="0" w:line="274" w:lineRule="auto"/>
        <w:rPr>
          <w:sz w:val="20"/>
          <w:szCs w:val="20"/>
          <w:color w:val="auto"/>
        </w:rPr>
      </w:pPr>
      <w:r>
        <w:rPr>
          <w:rFonts w:ascii="Arial" w:cs="Arial" w:eastAsia="Arial" w:hAnsi="Arial"/>
          <w:sz w:val="15"/>
          <w:szCs w:val="15"/>
          <w:color w:val="auto"/>
        </w:rPr>
        <w:t>In addition, a Phase 1B target engagement study completed after the Elevate Study by the Baylor College of Medicine (</w:t>
      </w:r>
      <w:r>
        <w:rPr>
          <w:rFonts w:ascii="Arial" w:cs="Arial" w:eastAsia="Arial" w:hAnsi="Arial"/>
          <w:sz w:val="15"/>
          <w:szCs w:val="15"/>
          <w:i w:val="1"/>
          <w:iCs w:val="1"/>
          <w:color w:val="auto"/>
        </w:rPr>
        <w:t>Baylor</w:t>
      </w:r>
      <w:r>
        <w:rPr>
          <w:rFonts w:ascii="Arial" w:cs="Arial" w:eastAsia="Arial" w:hAnsi="Arial"/>
          <w:sz w:val="15"/>
          <w:szCs w:val="15"/>
          <w:color w:val="auto"/>
        </w:rPr>
        <w:t>) with financial support from the U.S. Department of Veterans Affairs (</w:t>
      </w:r>
      <w:r>
        <w:rPr>
          <w:rFonts w:ascii="Arial" w:cs="Arial" w:eastAsia="Arial" w:hAnsi="Arial"/>
          <w:sz w:val="15"/>
          <w:szCs w:val="15"/>
          <w:i w:val="1"/>
          <w:iCs w:val="1"/>
          <w:color w:val="auto"/>
        </w:rPr>
        <w:t>VA</w:t>
      </w:r>
      <w:r>
        <w:rPr>
          <w:rFonts w:ascii="Arial" w:cs="Arial" w:eastAsia="Arial" w:hAnsi="Arial"/>
          <w:sz w:val="15"/>
          <w:szCs w:val="15"/>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5"/>
          <w:szCs w:val="15"/>
          <w:i w:val="1"/>
          <w:iCs w:val="1"/>
          <w:color w:val="auto"/>
        </w:rPr>
        <w:t>EEG</w:t>
      </w:r>
      <w:r>
        <w:rPr>
          <w:rFonts w:ascii="Arial" w:cs="Arial" w:eastAsia="Arial" w:hAnsi="Arial"/>
          <w:sz w:val="15"/>
          <w:szCs w:val="15"/>
          <w:color w:val="auto"/>
        </w:rPr>
        <w:t xml:space="preserve">) biomarkers related to NMDAR function, as well as blood biomarkers associated with suicidality (the </w:t>
      </w:r>
      <w:r>
        <w:rPr>
          <w:rFonts w:ascii="Arial" w:cs="Arial" w:eastAsia="Arial" w:hAnsi="Arial"/>
          <w:sz w:val="15"/>
          <w:szCs w:val="15"/>
          <w:i w:val="1"/>
          <w:iCs w:val="1"/>
          <w:color w:val="auto"/>
        </w:rPr>
        <w:t>Baylor Study</w:t>
      </w:r>
      <w:r>
        <w:rPr>
          <w:rFonts w:ascii="Arial" w:cs="Arial" w:eastAsia="Arial" w:hAnsi="Arial"/>
          <w:sz w:val="15"/>
          <w:szCs w:val="15"/>
          <w:color w:val="auto"/>
        </w:rPr>
        <w:t>). We believe the findings from the Baylor Study suggest that, in healthy Veterans, the higher dose of AV-101 (1440 mg) was associated with dose-related increase in the 40 Hz Auditory Steady State Response (</w:t>
      </w:r>
      <w:r>
        <w:rPr>
          <w:rFonts w:ascii="Arial" w:cs="Arial" w:eastAsia="Arial" w:hAnsi="Arial"/>
          <w:sz w:val="15"/>
          <w:szCs w:val="15"/>
          <w:i w:val="1"/>
          <w:iCs w:val="1"/>
          <w:color w:val="auto"/>
        </w:rPr>
        <w:t>ASSR</w:t>
      </w:r>
      <w:r>
        <w:rPr>
          <w:rFonts w:ascii="Arial" w:cs="Arial" w:eastAsia="Arial" w:hAnsi="Arial"/>
          <w:sz w:val="15"/>
          <w:szCs w:val="15"/>
          <w:color w:val="auto"/>
        </w:rPr>
        <w:t>), a robust measure of the integrity of inhibitory interneuron synchronization that is associated with NMDAR inhibition. Findings from the Baylor Study were presented at the 58th Annual Meeting of the American College of Neuropsychopharmacology (</w:t>
      </w:r>
      <w:r>
        <w:rPr>
          <w:rFonts w:ascii="Arial" w:cs="Arial" w:eastAsia="Arial" w:hAnsi="Arial"/>
          <w:sz w:val="15"/>
          <w:szCs w:val="15"/>
          <w:i w:val="1"/>
          <w:iCs w:val="1"/>
          <w:color w:val="auto"/>
        </w:rPr>
        <w:t>ACNP</w:t>
      </w:r>
      <w:r>
        <w:rPr>
          <w:rFonts w:ascii="Arial" w:cs="Arial" w:eastAsia="Arial" w:hAnsi="Arial"/>
          <w:sz w:val="15"/>
          <w:szCs w:val="15"/>
          <w:color w:val="auto"/>
        </w:rPr>
        <w:t>) in Orlando, Florida in December 2019.</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Baylor Study and the results of our recent preclinical studies involving AV-101 in combination with probenecid suggest that it may be possible to increase therapeutic concentrations and duration of 7-Cl-KYNA in the brain, and thus increase NMDAR antagonism in MDD patients and individuals suffering from other CNS indications involving abnormal function of the NMDAR, when AV-101 and probenecid are combined. We are currently preparing for Phase 1B clinical development of AV-101 in combination with probenecid.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Vistastem Therapeutics </w:t>
      </w:r>
      <w:r>
        <w:rPr>
          <w:rFonts w:ascii="Arial" w:cs="Arial" w:eastAsia="Arial" w:hAnsi="Arial"/>
          <w:sz w:val="16"/>
          <w:szCs w:val="16"/>
          <w:color w:val="auto"/>
        </w:rPr>
        <w:t>–</w:t>
      </w:r>
      <w:r>
        <w:rPr>
          <w:rFonts w:ascii="Arial" w:cs="Arial" w:eastAsia="Arial" w:hAnsi="Arial"/>
          <w:sz w:val="16"/>
          <w:szCs w:val="16"/>
          <w:i w:val="1"/>
          <w:iCs w:val="1"/>
          <w:color w:val="auto"/>
        </w:rPr>
        <w:t xml:space="preserve"> Stem Cell Technology for Drug Rescue, Cell Therapy and Regenerative Medicine</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 addition to our current CNS drug candidates, our wholly-owned subsidiary, Vistastem, Inc. (</w:t>
      </w:r>
      <w:r>
        <w:rPr>
          <w:rFonts w:ascii="Arial" w:cs="Arial" w:eastAsia="Arial" w:hAnsi="Arial"/>
          <w:sz w:val="15"/>
          <w:szCs w:val="15"/>
          <w:i w:val="1"/>
          <w:iCs w:val="1"/>
          <w:color w:val="auto"/>
        </w:rPr>
        <w:t>Vistastem</w:t>
      </w:r>
      <w:r>
        <w:rPr>
          <w:rFonts w:ascii="Arial" w:cs="Arial" w:eastAsia="Arial" w:hAnsi="Arial"/>
          <w:sz w:val="15"/>
          <w:szCs w:val="15"/>
          <w:color w:val="auto"/>
        </w:rPr>
        <w:t>) has developed stem cell technology-based, pipeline-enabling capabilities involving application of human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xml:space="preserve">) technologies. Vistastem’s customized cardiac bioassay system,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has been developed to discover and develop small molecule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5"/>
          <w:szCs w:val="15"/>
          <w:i w:val="1"/>
          <w:iCs w:val="1"/>
          <w:color w:val="auto"/>
        </w:rPr>
        <w:t>CT</w:t>
      </w:r>
      <w:r>
        <w:rPr>
          <w:rFonts w:ascii="Arial" w:cs="Arial" w:eastAsia="Arial" w:hAnsi="Arial"/>
          <w:sz w:val="15"/>
          <w:szCs w:val="15"/>
          <w:color w:val="auto"/>
        </w:rPr>
        <w:t>) and regenerative medicine (</w:t>
      </w:r>
      <w:r>
        <w:rPr>
          <w:rFonts w:ascii="Arial" w:cs="Arial" w:eastAsia="Arial" w:hAnsi="Arial"/>
          <w:sz w:val="15"/>
          <w:szCs w:val="15"/>
          <w:i w:val="1"/>
          <w:iCs w:val="1"/>
          <w:color w:val="auto"/>
        </w:rPr>
        <w:t>RM</w:t>
      </w:r>
      <w:r>
        <w:rPr>
          <w:rFonts w:ascii="Arial" w:cs="Arial" w:eastAsia="Arial" w:hAnsi="Arial"/>
          <w:sz w:val="15"/>
          <w:szCs w:val="15"/>
          <w:color w:val="auto"/>
        </w:rPr>
        <w:t>) fields.</w:t>
      </w:r>
    </w:p>
    <w:p>
      <w:pPr>
        <w:spacing w:after="0" w:line="15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and acquired by Bayer AG in 2019, rights to develop and commercialize certain proprietary technologies relating to the production of cardiac stem cells for the treatment of heart disease. As a result of its acquisition of BlueRock Therapeutics in 2019, Bayer AG now holds such rights (the </w:t>
      </w:r>
      <w:r>
        <w:rPr>
          <w:rFonts w:ascii="Arial" w:cs="Arial" w:eastAsia="Arial" w:hAnsi="Arial"/>
          <w:sz w:val="16"/>
          <w:szCs w:val="16"/>
          <w:i w:val="1"/>
          <w:iCs w:val="1"/>
          <w:color w:val="auto"/>
        </w:rPr>
        <w:t>Bayer Agreement</w:t>
      </w:r>
      <w:r>
        <w:rPr>
          <w:rFonts w:ascii="Arial" w:cs="Arial" w:eastAsia="Arial" w:hAnsi="Arial"/>
          <w:sz w:val="16"/>
          <w:szCs w:val="16"/>
          <w:color w:val="auto"/>
        </w:rPr>
        <w:t>). Vistastem retains all rights to such technologies to discover and develop small molecule NCEs and certain other applications not licensed pursuant to the Bayer Agreement. In a manner similar to the Bayer Agreement, we may pursue additional Vistastem collaborations involving rights to develop and commercialize its hPSC technologies for production of blood, cartilage, and/or liver cells for CT and RM applications, including, among other indications, treatment of arthritis, cancer and liver disease.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Vistagen Therapeutics, Inc., a Nevada corporation, is the parent of Vistastem,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u w:val="single" w:color="auto"/>
          <w:color w:val="auto"/>
        </w:rPr>
        <w:t>www.vistagen.com</w:t>
      </w:r>
      <w:r>
        <w:rPr>
          <w:rFonts w:ascii="Arial" w:cs="Arial" w:eastAsia="Arial" w:hAnsi="Arial"/>
          <w:sz w:val="16"/>
          <w:szCs w:val="16"/>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0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xml:space="preserve">) of 1,371,430 shares of our common stock and warrants to purchase an aggregate total of 1,892,572 shares of our common stock, consisting of Series A1 Warrants to purchase up to 1,388,931 shares of common stock and Series A2 Warrants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Each Series A1 Warrant became exercisable six months following the date of issuance, while the Series A2 Warrants were immediately exercisable. The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Series D Convertible Preferred Stock</w:t>
      </w:r>
    </w:p>
    <w:p>
      <w:pPr>
        <w:spacing w:after="0" w:line="204" w:lineRule="exact"/>
        <w:rPr>
          <w:sz w:val="20"/>
          <w:szCs w:val="20"/>
          <w:color w:val="auto"/>
        </w:rPr>
      </w:pPr>
    </w:p>
    <w:p>
      <w:pPr>
        <w:jc w:val="both"/>
        <w:ind w:right="20"/>
        <w:spacing w:after="0" w:line="318" w:lineRule="auto"/>
        <w:rPr>
          <w:sz w:val="20"/>
          <w:szCs w:val="20"/>
          <w:color w:val="auto"/>
        </w:rPr>
      </w:pPr>
      <w:r>
        <w:rPr>
          <w:rFonts w:ascii="Arial" w:cs="Arial" w:eastAsia="Arial" w:hAnsi="Arial"/>
          <w:sz w:val="14"/>
          <w:szCs w:val="14"/>
          <w:color w:val="auto"/>
        </w:rPr>
        <w:t xml:space="preserve">On December 17, 2020, in connection with the December 2020 Public Offering, as defined below, our Board of Directors (our </w:t>
      </w:r>
      <w:r>
        <w:rPr>
          <w:rFonts w:ascii="Arial" w:cs="Arial" w:eastAsia="Arial" w:hAnsi="Arial"/>
          <w:sz w:val="14"/>
          <w:szCs w:val="14"/>
          <w:i w:val="1"/>
          <w:iCs w:val="1"/>
          <w:color w:val="auto"/>
        </w:rPr>
        <w:t>Board</w:t>
      </w:r>
      <w:r>
        <w:rPr>
          <w:rFonts w:ascii="Arial" w:cs="Arial" w:eastAsia="Arial" w:hAnsi="Arial"/>
          <w:sz w:val="14"/>
          <w:szCs w:val="14"/>
          <w:color w:val="auto"/>
        </w:rPr>
        <w:t>) authorized the creation of a series of up to 2.0 million shares of Series D Convertible Preferred Stock, par value $0.001 (</w:t>
      </w:r>
      <w:r>
        <w:rPr>
          <w:rFonts w:ascii="Arial" w:cs="Arial" w:eastAsia="Arial" w:hAnsi="Arial"/>
          <w:sz w:val="14"/>
          <w:szCs w:val="14"/>
          <w:i w:val="1"/>
          <w:iCs w:val="1"/>
          <w:color w:val="auto"/>
        </w:rPr>
        <w:t>Series D Preferred</w:t>
      </w:r>
      <w:r>
        <w:rPr>
          <w:rFonts w:ascii="Arial" w:cs="Arial" w:eastAsia="Arial" w:hAnsi="Arial"/>
          <w:sz w:val="14"/>
          <w:szCs w:val="14"/>
          <w:color w:val="auto"/>
        </w:rPr>
        <w:t>), which became effective with the filing of a Certificate of Designation of the Relative Rights and Preferences of the Series D Convertible Preferred Stock with the Secretary of State of the State of Nevada on December 21, 2020.</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On December 18, 2020, we entered into an underwriting agreement (the </w:t>
      </w:r>
      <w:r>
        <w:rPr>
          <w:rFonts w:ascii="Arial" w:cs="Arial" w:eastAsia="Arial" w:hAnsi="Arial"/>
          <w:sz w:val="15"/>
          <w:szCs w:val="15"/>
          <w:i w:val="1"/>
          <w:iCs w:val="1"/>
          <w:color w:val="auto"/>
        </w:rPr>
        <w:t>December 2020 Underwriting Agreement</w:t>
      </w:r>
      <w:r>
        <w:rPr>
          <w:rFonts w:ascii="Arial" w:cs="Arial" w:eastAsia="Arial" w:hAnsi="Arial"/>
          <w:sz w:val="15"/>
          <w:szCs w:val="15"/>
          <w:color w:val="auto"/>
        </w:rPr>
        <w:t xml:space="preserve">) pursuant to which we sold, in an underwritten public offering (the </w:t>
      </w:r>
      <w:r>
        <w:rPr>
          <w:rFonts w:ascii="Arial" w:cs="Arial" w:eastAsia="Arial" w:hAnsi="Arial"/>
          <w:sz w:val="15"/>
          <w:szCs w:val="15"/>
          <w:i w:val="1"/>
          <w:iCs w:val="1"/>
          <w:color w:val="auto"/>
        </w:rPr>
        <w:t>December 2020 Public Offering</w:t>
      </w:r>
      <w:r>
        <w:rPr>
          <w:rFonts w:ascii="Arial" w:cs="Arial" w:eastAsia="Arial" w:hAnsi="Arial"/>
          <w:sz w:val="15"/>
          <w:szCs w:val="15"/>
          <w:color w:val="auto"/>
        </w:rPr>
        <w:t>), 63.0 million shares of our common stock at a public offering price of $0.92 per share and 2.0 million shares of Series D Preferred at a public offering price of $21.16 per share, resulting in gross proceeds to us of $100 million. Net proceeds to us from the securities sold in the December 2020 Public Offering, after deducting underwriting discounts and commissions and offering expenses payable by us, were approximately $93.6 million.</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Each whole share of Series D Preferred is initially convertible into 23 shares of our common stock, or an aggregate of 46.0 million shares of our common stock (the </w:t>
      </w:r>
      <w:r>
        <w:rPr>
          <w:rFonts w:ascii="Arial" w:cs="Arial" w:eastAsia="Arial" w:hAnsi="Arial"/>
          <w:sz w:val="16"/>
          <w:szCs w:val="16"/>
          <w:i w:val="1"/>
          <w:iCs w:val="1"/>
          <w:color w:val="auto"/>
        </w:rPr>
        <w:t>Series D</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Shares</w:t>
      </w:r>
      <w:r>
        <w:rPr>
          <w:rFonts w:ascii="Arial" w:cs="Arial" w:eastAsia="Arial" w:hAnsi="Arial"/>
          <w:sz w:val="16"/>
          <w:szCs w:val="16"/>
          <w:color w:val="auto"/>
        </w:rPr>
        <w:t>), at any time at the option of the holder;</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 that the Series D Preferred was not convertible until the effective date of the Charter Amendment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below);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holders of Series D Preferred will be prohibited, subject to certain exceptions, from converting such shares of Series D Preferred into shares of our common stock if, as a result of such conversion, the holder, together with its affiliates and other attribution parties, would own more than 9.99% of the total number of shares of our common stock then issued and outstanding, which percentage may be changed at the holder’s election to a lower percentage at any time or to a higher percentage not to exceed 19.99% upon 61 days’ prior notice to us.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Charter Amendment</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On March 5, 2021, at a virtual special meeting of stockholders of the Company, stockholders approved an amendment to our Restated Articles of Incorporation, as amended (our </w:t>
      </w:r>
      <w:r>
        <w:rPr>
          <w:rFonts w:ascii="Arial" w:cs="Arial" w:eastAsia="Arial" w:hAnsi="Arial"/>
          <w:sz w:val="15"/>
          <w:szCs w:val="15"/>
          <w:i w:val="1"/>
          <w:iCs w:val="1"/>
          <w:color w:val="auto"/>
        </w:rPr>
        <w:t>Charter</w:t>
      </w:r>
      <w:r>
        <w:rPr>
          <w:rFonts w:ascii="Arial" w:cs="Arial" w:eastAsia="Arial" w:hAnsi="Arial"/>
          <w:sz w:val="15"/>
          <w:szCs w:val="15"/>
          <w:color w:val="auto"/>
        </w:rPr>
        <w:t xml:space="preserve">), to increase the number of shares of common stock authorized for potential future issuance from 175 million to 325 million shares (the </w:t>
      </w:r>
      <w:r>
        <w:rPr>
          <w:rFonts w:ascii="Arial" w:cs="Arial" w:eastAsia="Arial" w:hAnsi="Arial"/>
          <w:sz w:val="15"/>
          <w:szCs w:val="15"/>
          <w:i w:val="1"/>
          <w:iCs w:val="1"/>
          <w:color w:val="auto"/>
        </w:rPr>
        <w:t>Charter Amendment</w:t>
      </w:r>
      <w:r>
        <w:rPr>
          <w:rFonts w:ascii="Arial" w:cs="Arial" w:eastAsia="Arial" w:hAnsi="Arial"/>
          <w:sz w:val="15"/>
          <w:szCs w:val="15"/>
          <w:color w:val="auto"/>
        </w:rPr>
        <w:t>). We filed a certificate of amendment with the Secretary of State of the State of Nevada to effect the Charter Amendment on March 5, 2021.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RISK FACTORS</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4"/>
          <w:szCs w:val="14"/>
          <w:i w:val="1"/>
          <w:iCs w:val="1"/>
          <w:color w:val="auto"/>
        </w:rPr>
        <w:t>Risk Factors</w:t>
      </w:r>
      <w:r>
        <w:rPr>
          <w:rFonts w:ascii="Arial" w:cs="Arial" w:eastAsia="Arial" w:hAnsi="Arial"/>
          <w:sz w:val="14"/>
          <w:szCs w:val="14"/>
          <w:color w:val="auto"/>
        </w:rPr>
        <w:t>” in our Annual Report on Form 10-K for the fiscal year ended March 31, 2020, our Quarterly Reports on Form 10-Q for the periods ended June 30, 2020, September 30, 2020 and December 31, 2020,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4"/>
          <w:szCs w:val="14"/>
          <w:i w:val="1"/>
          <w:iCs w:val="1"/>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prospectus, any prospectus supplement and the documents incorporated by reference 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2" w:lineRule="exact"/>
        <w:rPr>
          <w:sz w:val="20"/>
          <w:szCs w:val="20"/>
          <w:color w:val="auto"/>
        </w:rPr>
      </w:pPr>
    </w:p>
    <w:p>
      <w:pPr>
        <w:ind w:left="580" w:hanging="29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of the COVID-19 pandemic, efforts to contain the pandemic and resulting economic downturn on our operations and financial condition;</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plans to develop and commercialize our any of our current product candidates;</w:t>
      </w:r>
    </w:p>
    <w:p>
      <w:pPr>
        <w:spacing w:after="0" w:line="199" w:lineRule="exact"/>
        <w:rPr>
          <w:rFonts w:ascii="Arial" w:cs="Arial" w:eastAsia="Arial" w:hAnsi="Arial"/>
          <w:sz w:val="16"/>
          <w:szCs w:val="16"/>
          <w:color w:val="auto"/>
        </w:rPr>
      </w:pPr>
    </w:p>
    <w:p>
      <w:pPr>
        <w:ind w:left="580" w:right="680" w:hanging="296"/>
        <w:spacing w:after="0" w:line="276"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initiate and complete our clinical trials and to advance our product candidates into additional clinical trials, including pivotal clinical trials, and successfully complete such clinical trials;</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199" w:lineRule="exact"/>
        <w:rPr>
          <w:rFonts w:ascii="Arial" w:cs="Arial" w:eastAsia="Arial" w:hAnsi="Arial"/>
          <w:sz w:val="16"/>
          <w:szCs w:val="16"/>
          <w:color w:val="auto"/>
        </w:rPr>
      </w:pPr>
    </w:p>
    <w:p>
      <w:pPr>
        <w:ind w:left="580" w:right="660" w:hanging="296"/>
        <w:spacing w:after="0" w:line="350"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05" w:lineRule="exact"/>
        <w:rPr>
          <w:rFonts w:ascii="Arial" w:cs="Arial" w:eastAsia="Arial" w:hAnsi="Arial"/>
          <w:sz w:val="14"/>
          <w:szCs w:val="14"/>
          <w:color w:val="auto"/>
        </w:rPr>
      </w:pPr>
    </w:p>
    <w:p>
      <w:pPr>
        <w:ind w:left="580" w:hanging="296"/>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core assets;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38" w:name="page39"/>
    <w:bookmarkEnd w:id="38"/>
    <w:p>
      <w:pPr>
        <w:ind w:left="580" w:hanging="29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serve those markets;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11" w:lineRule="exact"/>
        <w:rPr>
          <w:rFonts w:ascii="Arial" w:cs="Arial" w:eastAsia="Arial" w:hAnsi="Arial"/>
          <w:sz w:val="15"/>
          <w:szCs w:val="15"/>
          <w:color w:val="auto"/>
        </w:rPr>
      </w:pPr>
    </w:p>
    <w:p>
      <w:pPr>
        <w:ind w:left="580" w:hanging="29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loss of key scientific, clinical and nonclinical development, and/or management personnel, internally or from one of our third-party collaborators;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comply with Nasdaq continued listing standards;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continue as a going concern; and</w:t>
      </w:r>
    </w:p>
    <w:p>
      <w:pPr>
        <w:spacing w:after="0" w:line="199" w:lineRule="exact"/>
        <w:rPr>
          <w:rFonts w:ascii="Arial" w:cs="Arial" w:eastAsia="Arial" w:hAnsi="Arial"/>
          <w:sz w:val="16"/>
          <w:szCs w:val="16"/>
          <w:color w:val="auto"/>
        </w:rPr>
      </w:pPr>
    </w:p>
    <w:p>
      <w:pPr>
        <w:ind w:left="580" w:right="100" w:hanging="296"/>
        <w:spacing w:after="0" w:line="263"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and those described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Quarterly Reports on Form 10-Q for the quarters ended June 30, 2020, September 30, 2020 and December 31, 2020, which risk factors are incorporated herein by reference.</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sections in this prospectus, any accompanying prospectus supplement and the documents incorporated by reference herein, that we believe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You should read this prospectus, any prospectus supplement and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Unless otherwise provided in the applicable prospectus supplement, we intend to use the net proceeds from the sale of the securities under this prospectus primarily for research and development expenses associated with continuing development of PH94B, PH10, AV-101, Vistastem’s drug rescue activities focused on potential drug candidates to expand our CNS pipeline or out-licensing opportunities, proof of principle studies with respect to potential CT and RM applications of Vistastem’s stem cell technology involving blood, cartilage and liver cells, and for other working capital and capital expenditures.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4" w:lineRule="exact"/>
        <w:rPr>
          <w:sz w:val="20"/>
          <w:szCs w:val="20"/>
          <w:color w:val="auto"/>
        </w:rPr>
      </w:pPr>
    </w:p>
    <w:p>
      <w:pPr>
        <w:spacing w:after="0" w:line="350" w:lineRule="auto"/>
        <w:rPr>
          <w:sz w:val="20"/>
          <w:szCs w:val="20"/>
          <w:color w:val="auto"/>
        </w:rPr>
      </w:pPr>
      <w:r>
        <w:rPr>
          <w:rFonts w:ascii="Arial" w:cs="Arial" w:eastAsia="Arial" w:hAnsi="Arial"/>
          <w:sz w:val="14"/>
          <w:szCs w:val="14"/>
          <w:color w:val="auto"/>
        </w:rPr>
        <w:t>Our authorized capital stock consists of 325.0 million shares of common stock, $0.001 par value per share</w:t>
      </w:r>
      <w:r>
        <w:rPr>
          <w:rFonts w:ascii="Arial" w:cs="Arial" w:eastAsia="Arial" w:hAnsi="Arial"/>
          <w:sz w:val="14"/>
          <w:szCs w:val="14"/>
          <w:i w:val="1"/>
          <w:iCs w:val="1"/>
          <w:color w:val="auto"/>
        </w:rPr>
        <w:t>,</w:t>
      </w:r>
      <w:r>
        <w:rPr>
          <w:rFonts w:ascii="Arial" w:cs="Arial" w:eastAsia="Arial" w:hAnsi="Arial"/>
          <w:sz w:val="14"/>
          <w:szCs w:val="14"/>
          <w:color w:val="auto"/>
        </w:rPr>
        <w:t xml:space="preserve"> and 10.0 million shares of preferred stock, $0.001 par value per share. The following is a description of our common stock and certain provisions of our Charter, and our amended and restated bylaws, and certain provisions of Nevada law.</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As of March 10, 2021, there were issued and outstanding, or reserved for issuance:</w:t>
      </w:r>
    </w:p>
    <w:p>
      <w:pPr>
        <w:spacing w:after="0" w:line="200" w:lineRule="exact"/>
        <w:rPr>
          <w:sz w:val="20"/>
          <w:szCs w:val="20"/>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143,762,996 shares of common stock held by approximately 25,000 stockholders of record;</w:t>
      </w:r>
    </w:p>
    <w:p>
      <w:pPr>
        <w:spacing w:after="0" w:line="199" w:lineRule="exact"/>
        <w:rPr>
          <w:rFonts w:ascii="Arial" w:cs="Arial" w:eastAsia="Arial" w:hAnsi="Arial"/>
          <w:sz w:val="16"/>
          <w:szCs w:val="16"/>
          <w:color w:val="auto"/>
        </w:rPr>
      </w:pPr>
    </w:p>
    <w:p>
      <w:pPr>
        <w:ind w:left="580" w:right="40" w:hanging="296"/>
        <w:spacing w:after="0" w:line="276"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1,131,669 shares of common stock reserved for issuance upon conversion of 1,131,669 shares of our Series B Preferred held by one institutional investor;</w:t>
      </w:r>
    </w:p>
    <w:p>
      <w:pPr>
        <w:spacing w:after="0" w:line="211" w:lineRule="exact"/>
        <w:rPr>
          <w:rFonts w:ascii="Arial" w:cs="Arial" w:eastAsia="Arial" w:hAnsi="Arial"/>
          <w:sz w:val="15"/>
          <w:szCs w:val="15"/>
          <w:color w:val="auto"/>
        </w:rPr>
      </w:pPr>
    </w:p>
    <w:p>
      <w:pPr>
        <w:ind w:left="580" w:hanging="296"/>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11" w:lineRule="exact"/>
        <w:rPr>
          <w:rFonts w:ascii="Arial" w:cs="Arial" w:eastAsia="Arial" w:hAnsi="Arial"/>
          <w:sz w:val="15"/>
          <w:szCs w:val="15"/>
          <w:color w:val="auto"/>
        </w:rPr>
      </w:pPr>
    </w:p>
    <w:p>
      <w:pPr>
        <w:ind w:left="580" w:hanging="296"/>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46,000,000 shares of common stock reserved for issuance upon conversion of 2,000,000 shares of our Series D Preferred held by 23 institutional investors;</w:t>
      </w:r>
    </w:p>
    <w:p>
      <w:pPr>
        <w:spacing w:after="0" w:line="211" w:lineRule="exact"/>
        <w:rPr>
          <w:rFonts w:ascii="Arial" w:cs="Arial" w:eastAsia="Arial" w:hAnsi="Arial"/>
          <w:sz w:val="15"/>
          <w:szCs w:val="15"/>
          <w:color w:val="auto"/>
        </w:rPr>
      </w:pPr>
    </w:p>
    <w:p>
      <w:pPr>
        <w:ind w:left="580" w:right="160" w:hanging="296"/>
        <w:spacing w:after="0" w:line="276"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19,437,532 shares of common stock that have been reserved for issuance upon exercise of outstanding warrants, with a weighted average exercise price of $1.77 per share, including up to 1,371,430 shares of common stock issuable upon exercise of the Series A1 Warrants;</w:t>
      </w:r>
    </w:p>
    <w:p>
      <w:pPr>
        <w:spacing w:after="0" w:line="152" w:lineRule="exact"/>
        <w:rPr>
          <w:rFonts w:ascii="Arial" w:cs="Arial" w:eastAsia="Arial" w:hAnsi="Arial"/>
          <w:sz w:val="16"/>
          <w:szCs w:val="16"/>
          <w:color w:val="auto"/>
        </w:rPr>
      </w:pPr>
    </w:p>
    <w:p>
      <w:pPr>
        <w:ind w:left="580" w:right="20" w:hanging="296"/>
        <w:spacing w:after="0" w:line="276"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7,643,088 shares of common stock reserved for issuance upon exercise of outstanding stock options under our Amended and Restated 2016 Stock Incentive Plan, with a weighted average exercise price of $1.41 per share;</w:t>
      </w:r>
    </w:p>
    <w:p>
      <w:pPr>
        <w:spacing w:after="0" w:line="152" w:lineRule="exact"/>
        <w:rPr>
          <w:rFonts w:ascii="Arial" w:cs="Arial" w:eastAsia="Arial" w:hAnsi="Arial"/>
          <w:sz w:val="16"/>
          <w:szCs w:val="16"/>
          <w:color w:val="auto"/>
        </w:rPr>
      </w:pPr>
    </w:p>
    <w:p>
      <w:pPr>
        <w:ind w:left="580" w:right="120" w:hanging="296"/>
        <w:spacing w:after="0" w:line="276"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6,700,000 shares of common stock reserved for issuance upon exercise of outstanding stock options under our 2019 Omnibus Equity Incentive Plan, with a weighted average exercise price of $1.22 per share, and</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2,168,158 shares of common stock reserved for future issuance in connection with future grants under our 2019 Omnibus Equity Incentive Plan.</w:t>
      </w:r>
    </w:p>
    <w:p>
      <w:pPr>
        <w:spacing w:after="0" w:line="200" w:lineRule="exact"/>
        <w:rPr>
          <w:sz w:val="20"/>
          <w:szCs w:val="20"/>
          <w:color w:val="auto"/>
        </w:rPr>
      </w:pPr>
    </w:p>
    <w:p>
      <w:pPr>
        <w:jc w:val="both"/>
        <w:spacing w:after="0" w:line="350" w:lineRule="auto"/>
        <w:rPr>
          <w:sz w:val="20"/>
          <w:szCs w:val="20"/>
          <w:color w:val="auto"/>
        </w:rPr>
      </w:pPr>
      <w:r>
        <w:rPr>
          <w:rFonts w:ascii="Arial" w:cs="Arial" w:eastAsia="Arial" w:hAnsi="Arial"/>
          <w:sz w:val="14"/>
          <w:szCs w:val="14"/>
          <w:color w:val="auto"/>
        </w:rPr>
        <w:t>We may elect or be required to amend our Charter to increase the number of shares of common stock authorized for issuance prior to completing sales of shares of our common stock, or securities convertible and/or exchangeable into shares of our common stock described in this prospectus and/or any accompanying prospectus supplement.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Charter and our Bylaws, copies of which are filed with the SEC as exhibits to the registration statement of which this prospectus is a part.</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Except as otherwise expressly provided in our Charter,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Charter, which means that a plurality of the shares voted can elect all of the directors then outstanding for election. Except as otherwise provided under Nevada law or our Charter and Bylaws, on matters other than election of directors, action on a matter is approved if the votes cast favoring the action exceed the votes cast opposing the 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color w:val="auto"/>
        </w:rPr>
        <w:t>Dividend Rights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in its discretion, determines to issue a dividend, and only at the times and in the amounts that our Board may determine. Our Board is not obligated to declare a dividend. We have not paid any dividends in the past and we do not intend to pay dividends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4"/>
          <w:szCs w:val="14"/>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4"/>
          <w:szCs w:val="14"/>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Charter, and the applicable prospectus supplement (and any related free writing prospectus that we may authorize to be provided to you) for more specific information.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Currently, there are four series of our preferred stock outstanding- Series A Convertible Preferred Stock, Series B 10% Convertible Preferred Stock, Series C Convertible Preferred Stock and Series D Convertible Preferred Stock. The rights and preferences associated with each series are summarized below.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At March 10, 2021,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Securities and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and the rules thereunder) more than 9.99% of all of the common stock outstanding at such time;</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this limitation may be waived upon</w:t>
      </w:r>
      <w:r>
        <w:rPr>
          <w:rFonts w:ascii="Arial" w:cs="Arial" w:eastAsia="Arial" w:hAnsi="Arial"/>
          <w:sz w:val="16"/>
          <w:szCs w:val="16"/>
          <w:i w:val="1"/>
          <w:iCs w:val="1"/>
          <w:color w:val="auto"/>
        </w:rPr>
        <w:t xml:space="preserve"> </w:t>
      </w:r>
      <w:r>
        <w:rPr>
          <w:rFonts w:ascii="Arial" w:cs="Arial" w:eastAsia="Arial" w:hAnsi="Arial"/>
          <w:sz w:val="16"/>
          <w:szCs w:val="16"/>
          <w:color w:val="auto"/>
        </w:rPr>
        <w:t>sixty-one (61) days’ notice to us.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The Series A Preferred has no separate dividend rights. However, whenever our Board declares a dividend on our common stock, each holder of record of a share of Series A Preferred, or any fraction of a share of Series A Preferred, on the date set by the Board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Conversion</w:t>
      </w:r>
    </w:p>
    <w:p>
      <w:pPr>
        <w:spacing w:after="0" w:line="200"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March 10, 2021, there were 1,131,669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1,131,669 shares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00"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5"/>
          <w:szCs w:val="15"/>
          <w:i w:val="1"/>
          <w:iCs w:val="1"/>
          <w:color w:val="auto"/>
        </w:rPr>
        <w:t>Accrued Dividend</w:t>
      </w:r>
      <w:r>
        <w:rPr>
          <w:rFonts w:ascii="Arial" w:cs="Arial" w:eastAsia="Arial" w:hAnsi="Arial"/>
          <w:sz w:val="15"/>
          <w:szCs w:val="15"/>
          <w:color w:val="auto"/>
        </w:rPr>
        <w:t>) on the stated value of the Series B Preferred ($7.00 per share). The Accrued Dividend will be payable on the date of either a Voluntary Conversion or Automatic Conversion solely in that number of shares of Common Stock equal to the Accrued Dividend.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auto"/>
        </w:rPr>
        <w:t>Series C Preferred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At March 10, 2021,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0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The Series C Preferred has no separate dividend rights. However, whenever our Board declares a dividend on our common stock, each holder of record of a share of Series C Preferred, or any fraction of a share of Series C Preferred, on the Record Date set by the Board to determine the owners of the common stock of record entitled to receive such dividend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0" w:lineRule="exact"/>
        <w:rPr>
          <w:sz w:val="20"/>
          <w:szCs w:val="20"/>
          <w:color w:val="auto"/>
        </w:rPr>
      </w:pPr>
    </w:p>
    <w:p>
      <w:pPr>
        <w:jc w:val="both"/>
        <w:ind w:right="20"/>
        <w:spacing w:after="0" w:line="350"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D Preferred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connection with the December 2020 Public Offering, on December 21, 2020, we filed the Certificate of Designation of the Relative Rights and Preferences of the Series D Convertible Preferred Stock (the </w:t>
      </w:r>
      <w:r>
        <w:rPr>
          <w:rFonts w:ascii="Arial" w:cs="Arial" w:eastAsia="Arial" w:hAnsi="Arial"/>
          <w:sz w:val="16"/>
          <w:szCs w:val="16"/>
          <w:i w:val="1"/>
          <w:iCs w:val="1"/>
          <w:color w:val="auto"/>
        </w:rPr>
        <w:t>Series D COD</w:t>
      </w:r>
      <w:r>
        <w:rPr>
          <w:rFonts w:ascii="Arial" w:cs="Arial" w:eastAsia="Arial" w:hAnsi="Arial"/>
          <w:sz w:val="16"/>
          <w:szCs w:val="16"/>
          <w:color w:val="auto"/>
        </w:rPr>
        <w:t>) with the Secretary of State of the State of Nevada to establish the terms, rights, obligations and preferences of the Series D Preferred Stock. The Series D COD became effective upon the filing with the Secretary of State of the State of Nevada. The Series D COD designates 2,000,000 shares as Series D Convertible Preferred Stock, par value $0.001 per share (</w:t>
      </w:r>
      <w:r>
        <w:rPr>
          <w:rFonts w:ascii="Arial" w:cs="Arial" w:eastAsia="Arial" w:hAnsi="Arial"/>
          <w:sz w:val="16"/>
          <w:szCs w:val="16"/>
          <w:i w:val="1"/>
          <w:iCs w:val="1"/>
          <w:color w:val="auto"/>
        </w:rPr>
        <w:t>Series D Preferred)</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color w:val="auto"/>
        </w:rPr>
        <w:t>Rank</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shares of Series D Preferred rank: (i) senior to all of our common stock until the date of the Charter Amendment; (ii) senior to any class or series of our capital stock hereafter created specifically ranking by its terms junior to the Series D Preferred; (iii) on parity to all shares of our Series A Preferred, Series B Preferred and Series C Preferred; (iv) on parity to any class or series of the Company’s capital stock hereafter created specifically ranking by its terms on parity with the Series D Preferred; and (v) junior to any class or series of the Company’s capital stock thereafter created specifically ranking by its terms senior to the Series D Preferred, in each case, as to distributions of assets upon the Company’s liquidation, dissolution or winding up whether voluntarily or involuntarily and/or the right to receive dividends.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Each whole share of Series D Preferred is initially convertible into 23 shares of common stock at any time at the option of the holder (the </w:t>
      </w:r>
      <w:r>
        <w:rPr>
          <w:rFonts w:ascii="Arial" w:cs="Arial" w:eastAsia="Arial" w:hAnsi="Arial"/>
          <w:sz w:val="16"/>
          <w:szCs w:val="16"/>
          <w:i w:val="1"/>
          <w:iCs w:val="1"/>
          <w:color w:val="auto"/>
        </w:rPr>
        <w:t>Series D Conversion Shares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Series D Preferred will not be convertible prior to the date on which the Company receives stockholder approval and upon effectiveness of the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holders of Series D Preferred will be prohibited, subject to certain exceptions, from converting such shares of Series D Preferred into shares of common stock if, as a result of such conversion, the holder, together with its affiliates, would own more than 9.99% of the total number of shares of common stock then issued and outstanding, which percentage may be changed at the holder’s election to a lower percentage at any time or to a higher percentage not to exceed 19.99% upon 61 days’ notice to us.</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As noted above, our stockholders approved the Charter Amendment at a virtual special meeting of stockholders on March 5, 2021, and the Charter Amendment was filed with the State of Nevada and became effective on the same date.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Prior to approval and effectiveness of the Charter Amendment, each holder of shares of Series D Preferred was entitled to receive, in preference to any distributions of any of our assets or surplus funds to the holders of common stock and any of our securities that by their terms are junior to the Series D Preferred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any distribution to the holders of any securities having (by their terms) parity with the Series D Preferred, an amount equal to $0.001 per share of Series D Preferred, plus an additional amount equal to any dividends declared but unpaid on such shares, before any payments shall be made or any assets distributed to holders of any class of common stock or any of our securities that by their terms are junior to the Series D Preferred. If, upon any such liquidation, dissolution or winding up of the Company, our assets shall be insufficient to pay the holders of shares of the Series D Preferred the amount required under the preceding sentence, then all of our remaining assets shall be distributed ratably to holders of the shares of the Series D Preferred and any securities having (by their terms) parity with the Series D Preferred. After such preferential payment, each holder of shares of Series D Preferred shall be entitled to participate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holders of common stock (on an as-converted basis, without regard to the 9.99% beneficial ownership limitation) and any securities having (by their terms) parity with the Series D Preferred, including the Series A Preferred, the Series B Preferred Stock and the Series C Preferred, in the remaining distribution of our net assets available for distribution.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approval and effectiveness of the Charter Amendment on March 5, 2021, the Series D Preferred now has no liquidation preference.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Shares of the Series D Preferred Stock are entitled to receive any dividends payable to holders of common stock on an as-converted-to-common-stock basis.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Following the approval and effectiveness of the Charter Amendment on March 5, 2021, the affirmative vote of holders of a majority of the then-outstanding shares of Series D Preferred will be required before we can: (a) amend, alter, modify or repeal (whether by merger, consolidation or otherwise) the Series D COD, our Charter and our Bylaws in any manner that adversely affects the rights, preferences, privileges or the restrictions provided for the benefit of, the Series D Preferred; (b) issue further shares of Series D Preferred or increase or decrease (other than by conversion) the number of authorized shares of Series D Preferred; or (c) enter into any agreement to do any of the foregoing that is not expressly made conditional on obtaining the affirmative vote or written consent of the requisite holders.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46" w:name="page47"/>
    <w:bookmarkEnd w:id="46"/>
    <w:p>
      <w:pPr>
        <w:spacing w:after="0"/>
        <w:rPr>
          <w:sz w:val="20"/>
          <w:szCs w:val="20"/>
          <w:color w:val="auto"/>
        </w:rPr>
      </w:pPr>
      <w:r>
        <w:rPr>
          <w:rFonts w:ascii="Arial" w:cs="Arial" w:eastAsia="Arial" w:hAnsi="Arial"/>
          <w:sz w:val="16"/>
          <w:szCs w:val="16"/>
          <w:i w:val="1"/>
          <w:iCs w:val="1"/>
          <w:color w:val="auto"/>
        </w:rPr>
        <w:t>Redemption</w:t>
      </w:r>
    </w:p>
    <w:p>
      <w:pPr>
        <w:spacing w:after="0" w:line="200"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 are not obligated to redeem or repurchase any shares of Series D Preferred. Shares of Series D Preferred will not otherwise be entitled to any redemption rights or mandatory sinking fund or analogous fund provisions.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of Series D Conversion Shares</w:t>
      </w:r>
    </w:p>
    <w:p>
      <w:pPr>
        <w:spacing w:after="0" w:line="20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The Series D Conversion Shares were previously registered pursuant to a prospectus supplement filed with the SEC on December 18, 2020 pursuant to Rule 424(b)(5)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which supplemented the Company’s effective shelf registration statement on Form S-3 (File No. 333-234025), originally filed with the SEC on September 30, 2019 and declared effective on October 8, 2019. Pursuant to Rule 415(a)(6) and Rule 429 under the Securities Act, the offering of the Series D Conversion Shares will be registered pursuant to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0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2" w:lineRule="exact"/>
        <w:rPr>
          <w:sz w:val="20"/>
          <w:szCs w:val="20"/>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whether the preferred stock will be convertible into our common stock, and, if applicable, the conversion price, or how it will be calculated, and the conversion period;</w:t>
      </w:r>
    </w:p>
    <w:p>
      <w:pPr>
        <w:spacing w:after="0" w:line="222" w:lineRule="exact"/>
        <w:rPr>
          <w:rFonts w:ascii="Arial" w:cs="Arial" w:eastAsia="Arial" w:hAnsi="Arial"/>
          <w:sz w:val="14"/>
          <w:szCs w:val="14"/>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199" w:lineRule="exact"/>
        <w:rPr>
          <w:rFonts w:ascii="Arial" w:cs="Arial" w:eastAsia="Arial" w:hAnsi="Arial"/>
          <w:sz w:val="16"/>
          <w:szCs w:val="16"/>
          <w:color w:val="auto"/>
        </w:rPr>
      </w:pPr>
    </w:p>
    <w:p>
      <w:pPr>
        <w:ind w:left="580" w:right="100" w:hanging="296"/>
        <w:spacing w:after="0" w:line="276"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DESCRIPTION OF OUR WARRANTS</w:t>
      </w:r>
    </w:p>
    <w:p>
      <w:pPr>
        <w:spacing w:after="0" w:line="20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 or free writing prospectus related to the warrants that we sell under this prospectus, as well as the complete warrant agreements that contain the terms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2" w:lineRule="exact"/>
        <w:rPr>
          <w:sz w:val="20"/>
          <w:szCs w:val="20"/>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199" w:lineRule="exact"/>
        <w:rPr>
          <w:rFonts w:ascii="Arial" w:cs="Arial" w:eastAsia="Arial" w:hAnsi="Arial"/>
          <w:sz w:val="16"/>
          <w:szCs w:val="16"/>
          <w:color w:val="auto"/>
        </w:rPr>
      </w:pPr>
    </w:p>
    <w:p>
      <w:pPr>
        <w:ind w:left="580" w:right="500" w:hanging="296"/>
        <w:spacing w:after="0" w:line="276"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2" w:lineRule="exact"/>
        <w:rPr>
          <w:rFonts w:ascii="Arial" w:cs="Arial" w:eastAsia="Arial" w:hAnsi="Arial"/>
          <w:sz w:val="16"/>
          <w:szCs w:val="16"/>
          <w:color w:val="auto"/>
        </w:rPr>
      </w:pPr>
    </w:p>
    <w:p>
      <w:pPr>
        <w:ind w:left="580" w:right="420" w:hanging="296"/>
        <w:spacing w:after="0" w:line="276"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199" w:lineRule="exact"/>
        <w:rPr>
          <w:rFonts w:ascii="Arial" w:cs="Arial" w:eastAsia="Arial" w:hAnsi="Arial"/>
          <w:sz w:val="16"/>
          <w:szCs w:val="16"/>
          <w:color w:val="auto"/>
        </w:rPr>
      </w:pPr>
    </w:p>
    <w:p>
      <w:pPr>
        <w:ind w:left="580" w:right="300" w:hanging="296"/>
        <w:spacing w:after="0" w:line="263"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2"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Exercise of Warrants</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Each holder of a warrant will be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00" w:lineRule="exact"/>
        <w:rPr>
          <w:sz w:val="20"/>
          <w:szCs w:val="20"/>
          <w:color w:val="auto"/>
        </w:rPr>
      </w:pPr>
    </w:p>
    <w:p>
      <w:pPr>
        <w:ind w:left="580" w:hanging="29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11" w:lineRule="exact"/>
        <w:rPr>
          <w:rFonts w:ascii="Arial" w:cs="Arial" w:eastAsia="Arial" w:hAnsi="Arial"/>
          <w:sz w:val="15"/>
          <w:szCs w:val="15"/>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delivering the warrant certificate representing the warrants to the warrant agent within five business days of the warrant agent receiving payment of the exercise price.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a holder complies with the procedures described above, such warrants will be considered to have been exercised when the warrant agent receives payment of the exercise price, subject to the transfer books for the securities issuable upon exercise of the warrant not being closed on such date. After the holder has completed those procedures and subject to the foregoing, we will, as soon as practicable, issue and deliver to such holder the common stock or preferred stock purchased upon exercise. If the holder exercises fewer than all of the warrants represented by a warrant certificate, a new warrant certificate will be issued to the holder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2" w:lineRule="exact"/>
        <w:rPr>
          <w:sz w:val="20"/>
          <w:szCs w:val="20"/>
          <w:color w:val="auto"/>
        </w:rPr>
      </w:pPr>
    </w:p>
    <w:p>
      <w:pPr>
        <w:ind w:left="580" w:right="440" w:hanging="296"/>
        <w:spacing w:after="0" w:line="276"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2" w:lineRule="exact"/>
        <w:rPr>
          <w:rFonts w:ascii="Arial" w:cs="Arial" w:eastAsia="Arial" w:hAnsi="Arial"/>
          <w:sz w:val="16"/>
          <w:szCs w:val="16"/>
          <w:color w:val="auto"/>
        </w:rPr>
      </w:pPr>
    </w:p>
    <w:p>
      <w:pPr>
        <w:ind w:left="580" w:right="320" w:hanging="296"/>
        <w:spacing w:after="0" w:line="276"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199" w:lineRule="exact"/>
        <w:rPr>
          <w:rFonts w:ascii="Arial" w:cs="Arial" w:eastAsia="Arial" w:hAnsi="Arial"/>
          <w:sz w:val="16"/>
          <w:szCs w:val="16"/>
          <w:color w:val="auto"/>
        </w:rPr>
      </w:pPr>
    </w:p>
    <w:p>
      <w:pPr>
        <w:ind w:left="580" w:right="20" w:hanging="296"/>
        <w:spacing w:after="0" w:line="276"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49" w:name="page50"/>
    <w:bookmarkEnd w:id="49"/>
    <w:p>
      <w:pPr>
        <w:jc w:val="both"/>
        <w:ind w:right="20"/>
        <w:spacing w:after="0" w:line="259"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00" w:lineRule="exact"/>
        <w:rPr>
          <w:sz w:val="20"/>
          <w:szCs w:val="20"/>
          <w:color w:val="auto"/>
        </w:rPr>
      </w:pPr>
    </w:p>
    <w:p>
      <w:pPr>
        <w:ind w:left="580" w:hanging="296"/>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199" w:lineRule="exact"/>
        <w:rPr>
          <w:rFonts w:ascii="Arial" w:cs="Arial" w:eastAsia="Arial" w:hAnsi="Arial"/>
          <w:sz w:val="16"/>
          <w:szCs w:val="16"/>
          <w:color w:val="auto"/>
        </w:rPr>
      </w:pPr>
    </w:p>
    <w:p>
      <w:pPr>
        <w:ind w:right="740" w:firstLine="284"/>
        <w:spacing w:after="0" w:line="500" w:lineRule="auto"/>
        <w:tabs>
          <w:tab w:leader="none" w:pos="5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share exchanges, mergers, or similar transactions involving us and which result in changes of the common stock or preferred stock, as applicable; or certain sales or dispositions to another entity of all or substantially all of our property and assets.</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 more information, see “</w:t>
      </w: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below.</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50" w:name="page51"/>
    <w:bookmarkEnd w:id="50"/>
    <w:p>
      <w:pPr>
        <w:jc w:val="both"/>
        <w:ind w:right="20"/>
        <w:spacing w:after="0" w:line="263"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15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set forth in the Series A1 Warrants or by virtue of such holders’ ownership of shares of our common stock, the holders of the Series A1</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 Series A1 Warrants.</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beneficially own (as determined in accordance with the terms of the Series A1 Warrants) more than 4.99% (or, at the election of the holder, 9.99%) of our outstanding common stock immediately after giving effect to the exercise.</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i w:val="1"/>
          <w:iCs w:val="1"/>
          <w:color w:val="auto"/>
        </w:rPr>
        <w:t xml:space="preserve">Fundamental Transactions: </w:t>
      </w:r>
      <w:r>
        <w:rPr>
          <w:rFonts w:ascii="Arial" w:cs="Arial" w:eastAsia="Arial" w:hAnsi="Arial"/>
          <w:sz w:val="15"/>
          <w:szCs w:val="15"/>
          <w:color w:val="auto"/>
        </w:rPr>
        <w:t>In the event of certain fundamental transactions, as described in the Series A1 Warrants and generally including any merger or consolidation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our Board,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6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65"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i w:val="1"/>
          <w:iCs w:val="1"/>
          <w:color w:val="auto"/>
        </w:rPr>
        <w:t>Registration of Series A1 Warrants and Series A1 Warrant Shares</w:t>
      </w:r>
      <w:r>
        <w:rPr>
          <w:rFonts w:ascii="Arial" w:cs="Arial" w:eastAsia="Arial" w:hAnsi="Arial"/>
          <w:sz w:val="14"/>
          <w:szCs w:val="14"/>
          <w:color w:val="auto"/>
        </w:rPr>
        <w:t>. The Series A1 Warrants and the Series A1 Warrant Shares were previously registered pursuant to a</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prospectus supplement filed with the SEC on August 31, 2017 pursuant to Rule 424(b)(5) under the Securities Act, and pursuant to the Company’s effective shelf registration statements on Form S-3 (File Nos. 333-215671 and 333-234025) (the </w:t>
      </w:r>
      <w:r>
        <w:rPr>
          <w:rFonts w:ascii="Arial" w:cs="Arial" w:eastAsia="Arial" w:hAnsi="Arial"/>
          <w:sz w:val="14"/>
          <w:szCs w:val="14"/>
          <w:i w:val="1"/>
          <w:iCs w:val="1"/>
          <w:color w:val="auto"/>
        </w:rPr>
        <w:t>Prior Registration Statements</w:t>
      </w:r>
      <w:r>
        <w:rPr>
          <w:rFonts w:ascii="Arial" w:cs="Arial" w:eastAsia="Arial" w:hAnsi="Arial"/>
          <w:sz w:val="14"/>
          <w:szCs w:val="14"/>
          <w:color w:val="auto"/>
        </w:rPr>
        <w:t xml:space="preserve">), which were originally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on January 23, 2017 and September 30, 2019, respectively, and declared effective by the SEC on July 27, 2017 and October 8, 2019, respectively. Pursuant to Rule 415(a)(6) and Rule 429 under the Securities Act, the offering of the Series A1 Warrant Shares will be registered pursuant to this registration statement.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DESCRIPTION OF OUR UNITS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00" w:lineRule="exact"/>
        <w:rPr>
          <w:sz w:val="20"/>
          <w:szCs w:val="20"/>
          <w:color w:val="auto"/>
        </w:rPr>
      </w:pPr>
    </w:p>
    <w:p>
      <w:pPr>
        <w:ind w:left="580" w:right="540" w:hanging="296"/>
        <w:spacing w:after="0" w:line="276"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CHARTER AND BYLAWS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65" w:lineRule="exact"/>
        <w:rPr>
          <w:sz w:val="20"/>
          <w:szCs w:val="20"/>
          <w:color w:val="auto"/>
        </w:rPr>
      </w:pPr>
    </w:p>
    <w:p>
      <w:pPr>
        <w:ind w:left="580" w:right="340" w:hanging="296"/>
        <w:spacing w:after="0" w:line="276"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our Board or a committee of our Board and a majority of disinterested directors on the Board (or on the committee) authorize, approved or ratify the transaction in good faith;</w:t>
      </w:r>
    </w:p>
    <w:p>
      <w:pPr>
        <w:spacing w:after="0" w:line="152" w:lineRule="exact"/>
        <w:rPr>
          <w:rFonts w:ascii="Arial" w:cs="Arial" w:eastAsia="Arial" w:hAnsi="Arial"/>
          <w:sz w:val="16"/>
          <w:szCs w:val="16"/>
          <w:color w:val="auto"/>
        </w:rPr>
      </w:pPr>
    </w:p>
    <w:p>
      <w:pPr>
        <w:ind w:left="580" w:right="180" w:hanging="296"/>
        <w:spacing w:after="0" w:line="276"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stockholders holding a majority of the shares, including shares held by the common or interested directors or officers, authorize, approve or ratify the transaction in good faith;</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fact of the common directorship, office or financial interest is not known to the director or officer at the time the transaction is brought to the Board for action; or</w:t>
      </w:r>
    </w:p>
    <w:p>
      <w:pPr>
        <w:spacing w:after="0" w:line="222" w:lineRule="exact"/>
        <w:rPr>
          <w:rFonts w:ascii="Arial" w:cs="Arial" w:eastAsia="Arial" w:hAnsi="Arial"/>
          <w:sz w:val="14"/>
          <w:szCs w:val="14"/>
          <w:color w:val="auto"/>
        </w:rPr>
      </w:pPr>
    </w:p>
    <w:p>
      <w:pPr>
        <w:ind w:left="580" w:hanging="296"/>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transaction is fair to the Company at the time it is authorized or approved.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204"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Our Charter and Nevada law include certain provisions which may have the effect of delaying or deterring a change in control or in our management or encouraging persons considering unsolicited tender offers or other unilateral takeover proposals to negotiate with our board of directors rather than pursue non-negotiated takeover attempts. These provisions include authorized blank check preferred stock, restrictions on business combinations, and the availability of authorized but unissued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Combination with Interested Stockholders Statute</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Sections 78.411 to 78.444 of the NRS, which apply to any Nevada corporation which has at least 200 stockholders of record and is publicly traded, including us, prohibits an “interested stockholder” from entering into specified types of business “combinations” with the Nevada corporation for two years, unless certain conditions are met. A “combination” includes:</w:t>
      </w:r>
    </w:p>
    <w:p>
      <w:pPr>
        <w:spacing w:after="0" w:line="162" w:lineRule="exact"/>
        <w:rPr>
          <w:sz w:val="20"/>
          <w:szCs w:val="20"/>
          <w:color w:val="auto"/>
        </w:rPr>
      </w:pPr>
    </w:p>
    <w:p>
      <w:pPr>
        <w:ind w:left="580" w:right="820" w:hanging="296"/>
        <w:spacing w:after="0" w:line="276"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merger of the corporation or any subsidiary of the corporation with an “interested stockholder,” or any other entity, whether or not itself an “interested stockholder,” which is, or after and as a result of the merger would be, an affiliate or associate of an “interested stockholder;”</w:t>
      </w:r>
    </w:p>
    <w:p>
      <w:pPr>
        <w:spacing w:after="0" w:line="152" w:lineRule="exact"/>
        <w:rPr>
          <w:rFonts w:ascii="Arial" w:cs="Arial" w:eastAsia="Arial" w:hAnsi="Arial"/>
          <w:sz w:val="16"/>
          <w:szCs w:val="16"/>
          <w:color w:val="auto"/>
        </w:rPr>
      </w:pPr>
    </w:p>
    <w:p>
      <w:pPr>
        <w:ind w:left="580" w:right="220" w:hanging="296"/>
        <w:spacing w:after="0" w:line="276"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to or with an “interested stockholder” or any affiliate or associate of an “interested stockholder,” of assets of the corporation or any subsidiary:</w:t>
      </w:r>
    </w:p>
    <w:p>
      <w:pPr>
        <w:spacing w:after="0" w:line="152" w:lineRule="exact"/>
        <w:rPr>
          <w:rFonts w:ascii="Arial" w:cs="Arial" w:eastAsia="Arial" w:hAnsi="Arial"/>
          <w:sz w:val="16"/>
          <w:szCs w:val="16"/>
          <w:color w:val="auto"/>
        </w:rPr>
      </w:pPr>
    </w:p>
    <w:p>
      <w:pPr>
        <w:ind w:left="1440" w:hanging="293"/>
        <w:spacing w:after="0"/>
        <w:tabs>
          <w:tab w:leader="none" w:pos="1440" w:val="left"/>
        </w:tabs>
        <w:numPr>
          <w:ilvl w:val="1"/>
          <w:numId w:val="28"/>
        </w:numPr>
        <w:rPr>
          <w:rFonts w:ascii="Arial" w:cs="Arial" w:eastAsia="Arial" w:hAnsi="Arial"/>
          <w:sz w:val="14"/>
          <w:szCs w:val="14"/>
          <w:color w:val="auto"/>
        </w:rPr>
      </w:pPr>
      <w:r>
        <w:rPr>
          <w:rFonts w:ascii="Arial" w:cs="Arial" w:eastAsia="Arial" w:hAnsi="Arial"/>
          <w:sz w:val="14"/>
          <w:szCs w:val="14"/>
          <w:color w:val="auto"/>
        </w:rPr>
        <w:t>having an aggregate market value equal to more than 5% of the aggregate market value of the corporation’s assets, determined on a consolidated basis;</w:t>
      </w:r>
    </w:p>
    <w:p>
      <w:pPr>
        <w:spacing w:after="0" w:line="43" w:lineRule="exact"/>
        <w:rPr>
          <w:rFonts w:ascii="Arial" w:cs="Arial" w:eastAsia="Arial" w:hAnsi="Arial"/>
          <w:sz w:val="14"/>
          <w:szCs w:val="14"/>
          <w:color w:val="auto"/>
        </w:rPr>
      </w:pPr>
    </w:p>
    <w:p>
      <w:pPr>
        <w:ind w:left="1440" w:hanging="293"/>
        <w:spacing w:after="0"/>
        <w:tabs>
          <w:tab w:leader="none" w:pos="1440" w:val="left"/>
        </w:tabs>
        <w:numPr>
          <w:ilvl w:val="1"/>
          <w:numId w:val="28"/>
        </w:numPr>
        <w:rPr>
          <w:rFonts w:ascii="Arial" w:cs="Arial" w:eastAsia="Arial" w:hAnsi="Arial"/>
          <w:sz w:val="15"/>
          <w:szCs w:val="15"/>
          <w:color w:val="auto"/>
        </w:rPr>
      </w:pPr>
      <w:r>
        <w:rPr>
          <w:rFonts w:ascii="Arial" w:cs="Arial" w:eastAsia="Arial" w:hAnsi="Arial"/>
          <w:sz w:val="15"/>
          <w:szCs w:val="15"/>
          <w:color w:val="auto"/>
        </w:rPr>
        <w:t>having an aggregate market value equal to more than 5% of the aggregate market value of all outstanding voting shares of the corporation; or</w:t>
      </w:r>
    </w:p>
    <w:p>
      <w:pPr>
        <w:spacing w:after="0" w:line="19" w:lineRule="exact"/>
        <w:rPr>
          <w:rFonts w:ascii="Arial" w:cs="Arial" w:eastAsia="Arial" w:hAnsi="Arial"/>
          <w:sz w:val="15"/>
          <w:szCs w:val="15"/>
          <w:color w:val="auto"/>
        </w:rPr>
      </w:pPr>
    </w:p>
    <w:p>
      <w:pPr>
        <w:ind w:left="1440" w:hanging="293"/>
        <w:spacing w:after="0"/>
        <w:tabs>
          <w:tab w:leader="none" w:pos="14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representing more than 10% of the earning power or net income, determined on a consolidated basis, of the corporation; or</w:t>
      </w:r>
    </w:p>
    <w:p>
      <w:pPr>
        <w:spacing w:after="0" w:line="187" w:lineRule="exact"/>
        <w:rPr>
          <w:rFonts w:ascii="Arial" w:cs="Arial" w:eastAsia="Arial" w:hAnsi="Arial"/>
          <w:sz w:val="16"/>
          <w:szCs w:val="16"/>
          <w:color w:val="auto"/>
        </w:rPr>
      </w:pPr>
    </w:p>
    <w:p>
      <w:pPr>
        <w:ind w:left="580" w:right="20" w:hanging="296"/>
        <w:spacing w:after="0" w:line="259"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issuance or transfer by the corporation or any subsidiary, of any shares of the corporation or any subsidiary to an “interested stockholder” or any affiliate or associate of an “interested stockholder,” having an aggregate market value equal to 5% or more of the aggregate market value of all of the outstanding voting shares of the corporation, except under the exercise of warrants or rights to purchase shares offered, or a dividend or distribution paid or made, pro rata to all stockholders of the resident domestic corporation;</w:t>
      </w:r>
    </w:p>
    <w:p>
      <w:pPr>
        <w:spacing w:after="0" w:line="164" w:lineRule="exact"/>
        <w:rPr>
          <w:rFonts w:ascii="Arial" w:cs="Arial" w:eastAsia="Arial" w:hAnsi="Arial"/>
          <w:sz w:val="16"/>
          <w:szCs w:val="16"/>
          <w:color w:val="auto"/>
        </w:rPr>
      </w:pPr>
    </w:p>
    <w:p>
      <w:pPr>
        <w:ind w:left="580" w:right="300" w:hanging="296"/>
        <w:spacing w:after="0" w:line="276"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adoption of any plan, or proposal for the liquidation or dissolution of the corporation, under any agreement, arrangement or understanding, with the “interested stockholder,” or any affiliate or associate of the “interested stockholder;”</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any of the following actions occurs</w:t>
      </w:r>
    </w:p>
    <w:p>
      <w:pPr>
        <w:spacing w:after="0" w:line="199" w:lineRule="exact"/>
        <w:rPr>
          <w:rFonts w:ascii="Arial" w:cs="Arial" w:eastAsia="Arial" w:hAnsi="Arial"/>
          <w:sz w:val="16"/>
          <w:szCs w:val="16"/>
          <w:color w:val="auto"/>
        </w:rPr>
      </w:pPr>
    </w:p>
    <w:p>
      <w:pPr>
        <w:ind w:left="1440" w:right="100" w:hanging="293"/>
        <w:spacing w:after="0" w:line="258" w:lineRule="auto"/>
        <w:tabs>
          <w:tab w:leader="none" w:pos="14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 reclassification of the corporation’s securities, including, without limitation, any splitting of shares, share dividend, or other distribution of shares with respect to other shares, or any issuance of new shares in exchange for a proportionately greater number of old shares;</w:t>
      </w:r>
    </w:p>
    <w:p>
      <w:pPr>
        <w:ind w:left="1440" w:hanging="293"/>
        <w:spacing w:after="0"/>
        <w:tabs>
          <w:tab w:leader="none" w:pos="14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recapitalization of the corporation;</w:t>
      </w:r>
    </w:p>
    <w:p>
      <w:pPr>
        <w:spacing w:after="0" w:line="7" w:lineRule="exact"/>
        <w:rPr>
          <w:rFonts w:ascii="Arial" w:cs="Arial" w:eastAsia="Arial" w:hAnsi="Arial"/>
          <w:sz w:val="16"/>
          <w:szCs w:val="16"/>
          <w:color w:val="auto"/>
        </w:rPr>
      </w:pPr>
    </w:p>
    <w:p>
      <w:pPr>
        <w:ind w:left="1440" w:hanging="293"/>
        <w:spacing w:after="0"/>
        <w:tabs>
          <w:tab w:leader="none" w:pos="14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merger or consolidation of the corporation with any subsidiary; or</w:t>
      </w:r>
    </w:p>
    <w:p>
      <w:pPr>
        <w:spacing w:after="0" w:line="7" w:lineRule="exact"/>
        <w:rPr>
          <w:rFonts w:ascii="Arial" w:cs="Arial" w:eastAsia="Arial" w:hAnsi="Arial"/>
          <w:sz w:val="16"/>
          <w:szCs w:val="16"/>
          <w:color w:val="auto"/>
        </w:rPr>
      </w:pPr>
    </w:p>
    <w:p>
      <w:pPr>
        <w:ind w:left="1440" w:hanging="293"/>
        <w:spacing w:after="0"/>
        <w:tabs>
          <w:tab w:leader="none" w:pos="14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other transaction, whether or not with or into or otherwise involving the interested stockholder,</w:t>
      </w:r>
    </w:p>
    <w:p>
      <w:pPr>
        <w:spacing w:after="0" w:line="187" w:lineRule="exact"/>
        <w:rPr>
          <w:rFonts w:ascii="Arial" w:cs="Arial" w:eastAsia="Arial" w:hAnsi="Arial"/>
          <w:sz w:val="16"/>
          <w:szCs w:val="16"/>
          <w:color w:val="auto"/>
        </w:rPr>
      </w:pPr>
    </w:p>
    <w:p>
      <w:pPr>
        <w:ind w:left="580" w:right="300" w:hanging="296"/>
        <w:spacing w:after="0" w:line="307"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under any agreement, arrangement or understanding, whether or not in writing, with the interested stockholder or any affiliate or associate of the interested stockholder, which has the immediate and proximate effect of increasing the proportionate share of the outstanding shares of any class or series of voting shares or securities convertible into voting shares of the corporation or any subsidiary of the corporation which is beneficially owned by the interested stockholder or any affiliate or associate of the interested stockholder, except as a result of immaterial changes because of adjustments of fractional shares; or</w:t>
      </w:r>
    </w:p>
    <w:p>
      <w:pPr>
        <w:spacing w:after="0" w:line="135" w:lineRule="exact"/>
        <w:rPr>
          <w:rFonts w:ascii="Arial" w:cs="Arial" w:eastAsia="Arial" w:hAnsi="Arial"/>
          <w:sz w:val="14"/>
          <w:szCs w:val="14"/>
          <w:color w:val="auto"/>
        </w:rPr>
      </w:pPr>
    </w:p>
    <w:p>
      <w:pPr>
        <w:ind w:left="580" w:right="60" w:hanging="296"/>
        <w:spacing w:after="0" w:line="350"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receipt by an “interested stockholder” or any affiliate or associate of an “interested stockholder,” except proportionately as a stockholder of the corporation, of the benefit of any loan, advance, guarantee, pledge or other financial assistance or any tax credit or other tax advantage provided by or through the corporation.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An “interested stockholder” is a person who is:</w:t>
      </w:r>
    </w:p>
    <w:p>
      <w:pPr>
        <w:spacing w:after="0" w:line="200" w:lineRule="exact"/>
        <w:rPr>
          <w:sz w:val="20"/>
          <w:szCs w:val="20"/>
          <w:color w:val="auto"/>
        </w:rPr>
      </w:pPr>
    </w:p>
    <w:p>
      <w:pPr>
        <w:ind w:left="580" w:hanging="29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directly or indirectly, the beneficial owner of 10% or more of the voting power of the outstanding voting shares of the corporation; or</w:t>
      </w:r>
    </w:p>
    <w:p>
      <w:pPr>
        <w:spacing w:after="0" w:line="199" w:lineRule="exact"/>
        <w:rPr>
          <w:rFonts w:ascii="Arial" w:cs="Arial" w:eastAsia="Arial" w:hAnsi="Arial"/>
          <w:sz w:val="16"/>
          <w:szCs w:val="16"/>
          <w:color w:val="auto"/>
        </w:rPr>
      </w:pPr>
    </w:p>
    <w:p>
      <w:pPr>
        <w:ind w:left="580" w:right="80" w:hanging="296"/>
        <w:spacing w:after="0" w:line="276"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affiliate or associate of the corporation, which at any time within two years immediately before the date in question was the beneficial owner, directly or indirectly, of 10% or more of the voting power of the then outstanding shares of the corporation.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54" w:name="page55"/>
    <w:bookmarkEnd w:id="54"/>
    <w:p>
      <w:pPr>
        <w:jc w:val="both"/>
        <w:ind w:right="20"/>
        <w:spacing w:after="0" w:line="270" w:lineRule="auto"/>
        <w:rPr>
          <w:sz w:val="20"/>
          <w:szCs w:val="20"/>
          <w:color w:val="auto"/>
        </w:rPr>
      </w:pPr>
      <w:r>
        <w:rPr>
          <w:rFonts w:ascii="Arial" w:cs="Arial" w:eastAsia="Arial" w:hAnsi="Arial"/>
          <w:sz w:val="15"/>
          <w:szCs w:val="15"/>
          <w:color w:val="auto"/>
        </w:rPr>
        <w:t>A corporation to which the Combinations with Interested Stockholders Statute applies may not engage in a “combination” within two years after the interested stockholder first became an interested stockholder, unless the combination meets all of the requirements of the corporation’s articles of incorporation and (i) the combination or the transaction by which the person first became an interested stockholder is approved by the board of directors before the person first became an interested stockholder, or (ii)(a) the combination is approved by the board of directors and (b) at or after that time, the combination is approved at an annual or special meeting of the stockholders, and not by written consent, by the affirmative vote of the stockholders representing at least 60% of the outstanding voting power of the corporation not beneficially owned by the interested stockholder or the affiliates or associates of the interested stockholder. If this approval is not obtained, the combination may be consummated after the two year period expires if either (i)(a) the combination or transaction by which the person first became an interested stockholder is approved by the board of directors before such person first became an interested stockholder, (b) the combination is approved by a majority of the outstanding voting power of the corporation not beneficially owned by the interested stockholder or any affiliate or associate of the interested stockholder, or (c) the combination otherwise meets the requirements of the Combination with Interested Stockholders statute. Alternatively, a combination with an interested stockholder engaged in more than 2 years after the date the person first became an interested stockholder may be permissible if the aggregate amount of cash and the market value of consideration other than cash to be received by holders of shares of common stock and holders of any other class or series of shares meets the minimum requirements set forth in the statue, and prior to the completion of the combination, except in limited circumstances, the interested stockholder has not become the beneficial owner of additional voting shares of the corporation.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Controlling Interest Statute</w:t>
      </w:r>
    </w:p>
    <w:p>
      <w:pPr>
        <w:spacing w:after="0" w:line="204" w:lineRule="exact"/>
        <w:rPr>
          <w:sz w:val="20"/>
          <w:szCs w:val="20"/>
          <w:color w:val="auto"/>
        </w:rPr>
      </w:pPr>
    </w:p>
    <w:p>
      <w:pPr>
        <w:jc w:val="both"/>
        <w:ind w:right="20"/>
        <w:spacing w:after="0" w:line="307" w:lineRule="auto"/>
        <w:rPr>
          <w:sz w:val="20"/>
          <w:szCs w:val="20"/>
          <w:color w:val="auto"/>
        </w:rPr>
      </w:pPr>
      <w:r>
        <w:rPr>
          <w:rFonts w:ascii="Arial" w:cs="Arial" w:eastAsia="Arial" w:hAnsi="Arial"/>
          <w:sz w:val="14"/>
          <w:szCs w:val="14"/>
          <w:color w:val="auto"/>
        </w:rPr>
        <w:t>In addition, Nevada’s “Acquisition of Controlling Interest Statute,” prohibits an acquiror, under certain circumstances, from voting shares of a target corporation’s stock after crossing certain threshold ownership percentages, unless the acquiror obtains the approval of the target corporation’s stockholders. Sections 78.378 to 78.3793 of the NRS only apply to Nevada corporations with at least 200 stockholders, including at least 100 record stockholders who are Nevada residents, that do business directly or indirectly in Nevada and whose articles of incorporation or bylaws in effect ten days following the acquisition of a controlling interest by an acquiror do not prohibit its application.</w:t>
      </w:r>
    </w:p>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 do not intend to “do business” in Nevada within the meaning of the Acquisition of Controlling Interest Statute. Further, our Bylaws contain a specific opt out from the statute. Therefore, we believe it is unlikely that this statute will apply to us. The statute specifies three thresholds:</w:t>
      </w:r>
    </w:p>
    <w:p>
      <w:pPr>
        <w:spacing w:after="0" w:line="152" w:lineRule="exact"/>
        <w:rPr>
          <w:sz w:val="20"/>
          <w:szCs w:val="20"/>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least one-fifth but less than one-third;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least one-third but less than a majority; and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majority or more, of the outstanding voting power.</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Once an acquiror crosses one of these thresholds, shares which it acquired in the transaction taking it over the threshold (or within 90 days preceding the date thereof) become “control shares” which could be deprived of the right to vote until a majority of the disinterested stockholders restore that right. A special stockholders’ meeting may be called at the request of the acquiror to consider the voting rights of the acquiror’s shares. If the acquiror requests a special meeting and gives an undertaking to pay the expenses of said meeting, then the meeting must take place no earlier than 30 days (unless the acquiror requests that the meeting be held sooner) and no more than 50 days (unless the acquiror agrees to a later date) after the delivery by the acquiror to the corporation of an information statement which sets forth the range of voting power that the acquiror has acquired or proposes to acquire and certain other information concerning the acquiror and the proposed control share acquisition.</w:t>
      </w:r>
    </w:p>
    <w:p>
      <w:pPr>
        <w:spacing w:after="0" w:line="157" w:lineRule="exact"/>
        <w:rPr>
          <w:sz w:val="20"/>
          <w:szCs w:val="20"/>
          <w:color w:val="auto"/>
        </w:rPr>
      </w:pPr>
    </w:p>
    <w:p>
      <w:pPr>
        <w:jc w:val="both"/>
        <w:ind w:right="20"/>
        <w:spacing w:after="0" w:line="318" w:lineRule="auto"/>
        <w:rPr>
          <w:sz w:val="20"/>
          <w:szCs w:val="20"/>
          <w:color w:val="auto"/>
        </w:rPr>
      </w:pPr>
      <w:r>
        <w:rPr>
          <w:rFonts w:ascii="Arial" w:cs="Arial" w:eastAsia="Arial" w:hAnsi="Arial"/>
          <w:sz w:val="14"/>
          <w:szCs w:val="14"/>
          <w:color w:val="auto"/>
        </w:rPr>
        <w:t>If no such request for a stockholders’ meeting is made, consideration of the voting rights of the acquiror’s shares must be taken at the next special or annual stockholders’ meeting. If the stockholders fail to restore voting rights to the acquiror, or if the acquiror fails to timely deliver an information statement to the corporation, then the corporation may, if so provided in its articles of incorporation or bylaws, call certain of the acquiror’s shares for redemption at the average price paid for the control shares by the acquiror.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Charter and our Bylaws, as do not currently permit us to redeem an acquiror’s shares under these circumstances. The Acquisition of Controlling Interest Statute also provides that in the event the stockholders restore full voting rights to a holder of control shares that owns a majority of the voting stock, then all other stockholders who do not vote in favor of restoring voting rights to the control shares may demand payment for the “fair value” of their shares as determined by a court in dissenter’s rights proceeding pursuant to Chapter 92A of the NRS.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name or names of any underwriters or agents, if applicable;</w:t>
      </w:r>
    </w:p>
    <w:p>
      <w:pPr>
        <w:spacing w:after="0" w:line="200" w:lineRule="exact"/>
        <w:rPr>
          <w:sz w:val="20"/>
          <w:szCs w:val="20"/>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0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52" w:lineRule="exact"/>
        <w:rPr>
          <w:sz w:val="20"/>
          <w:szCs w:val="20"/>
          <w:color w:val="auto"/>
        </w:rPr>
      </w:pPr>
    </w:p>
    <w:p>
      <w:pPr>
        <w:ind w:left="580" w:right="460" w:hanging="296"/>
        <w:spacing w:after="0" w:line="276"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52" w:lineRule="exact"/>
        <w:rPr>
          <w:rFonts w:ascii="Arial" w:cs="Arial" w:eastAsia="Arial" w:hAnsi="Arial"/>
          <w:sz w:val="16"/>
          <w:szCs w:val="16"/>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56" w:name="page57"/>
    <w:bookmarkEnd w:id="56"/>
    <w:p>
      <w:pPr>
        <w:jc w:val="both"/>
        <w:ind w:right="20"/>
        <w:spacing w:after="0" w:line="263"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 xml:space="preserve">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Woodburn and Wedge, of Reno, Nevada.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2020,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0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57" w:name="page58"/>
    <w:bookmarkEnd w:id="57"/>
    <w:p>
      <w:pPr>
        <w:ind w:left="318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00" w:lineRule="exact"/>
        <w:rPr>
          <w:sz w:val="20"/>
          <w:szCs w:val="20"/>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2020, filed on June 29,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June 30, 2020, filed on August 13,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September 30, 2020, filed on November 12,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December 31, 2020, filed on February 11, 2021;</w:t>
      </w:r>
    </w:p>
    <w:p>
      <w:pPr>
        <w:spacing w:after="0" w:line="199" w:lineRule="exact"/>
        <w:rPr>
          <w:rFonts w:ascii="Arial" w:cs="Arial" w:eastAsia="Arial" w:hAnsi="Arial"/>
          <w:sz w:val="16"/>
          <w:szCs w:val="16"/>
          <w:color w:val="auto"/>
        </w:rPr>
      </w:pPr>
    </w:p>
    <w:p>
      <w:pPr>
        <w:ind w:left="580" w:right="180" w:hanging="296"/>
        <w:spacing w:after="0" w:line="263"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Definitive Proxy Statement on Schedule 14A, filed on July 27, 2020 (solely with respect to information required by Part III of our Annual Report on Form 10-K for the year ended March 31, 2020, which information shall update and supersede information included in Part III of our Annual Report on Form 10-K for the year ended March 31, 2020);</w:t>
      </w:r>
    </w:p>
    <w:p>
      <w:pPr>
        <w:spacing w:after="0" w:line="162"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April 3,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April 27,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June 26,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August 6,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September 18,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October 13,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December 1,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December 22, 2020;</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January 6, 2021;</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February 2, 2021;</w:t>
      </w:r>
    </w:p>
    <w:p>
      <w:pPr>
        <w:spacing w:after="0" w:line="199"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Current Report on Form 8-K, filed on March 5, 2021; and</w:t>
      </w:r>
    </w:p>
    <w:p>
      <w:pPr>
        <w:spacing w:after="0" w:line="199" w:lineRule="exact"/>
        <w:rPr>
          <w:rFonts w:ascii="Arial" w:cs="Arial" w:eastAsia="Arial" w:hAnsi="Arial"/>
          <w:sz w:val="16"/>
          <w:szCs w:val="16"/>
          <w:color w:val="auto"/>
        </w:rPr>
      </w:pPr>
    </w:p>
    <w:p>
      <w:pPr>
        <w:ind w:left="580" w:right="420" w:hanging="296"/>
        <w:spacing w:after="0" w:line="276"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also incorporate by reference all documents we file pursuant to Section 13(a), 13(c), 14 or 15(d)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(other than any portions of filings that are furnished rather than filed pursuant to Items 2.02 and 7.01 of a Current Report on Form 8-K) and are an important part of this prospectus.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1475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58" w:name="page59"/>
    <w:bookmarkEnd w:id="58"/>
    <w:p>
      <w:pPr>
        <w:jc w:val="center"/>
        <w:ind w:left="1640"/>
        <w:spacing w:after="0"/>
        <w:rPr>
          <w:sz w:val="20"/>
          <w:szCs w:val="20"/>
          <w:color w:val="auto"/>
        </w:rPr>
      </w:pPr>
      <w:r>
        <w:rPr>
          <w:rFonts w:ascii="Arial" w:cs="Arial" w:eastAsia="Arial" w:hAnsi="Arial"/>
          <w:sz w:val="16"/>
          <w:szCs w:val="16"/>
          <w:b w:val="1"/>
          <w:bCs w:val="1"/>
          <w:color w:val="auto"/>
        </w:rPr>
        <w:t>15,010,810 Shares of Common Stock and</w:t>
      </w:r>
    </w:p>
    <w:p>
      <w:pPr>
        <w:spacing w:after="0" w:line="200" w:lineRule="exact"/>
        <w:rPr>
          <w:sz w:val="20"/>
          <w:szCs w:val="20"/>
          <w:color w:val="auto"/>
        </w:rPr>
      </w:pPr>
    </w:p>
    <w:p>
      <w:pPr>
        <w:jc w:val="center"/>
        <w:ind w:left="1640"/>
        <w:spacing w:after="0"/>
        <w:rPr>
          <w:sz w:val="20"/>
          <w:szCs w:val="20"/>
          <w:color w:val="auto"/>
        </w:rPr>
      </w:pPr>
      <w:r>
        <w:rPr>
          <w:rFonts w:ascii="Arial" w:cs="Arial" w:eastAsia="Arial" w:hAnsi="Arial"/>
          <w:sz w:val="14"/>
          <w:szCs w:val="14"/>
          <w:b w:val="1"/>
          <w:bCs w:val="1"/>
          <w:color w:val="auto"/>
        </w:rPr>
        <w:t>Pre-Funded Warrants to Purchase 3,577,240 Shares of Common Stock</w:t>
      </w:r>
    </w:p>
    <w:p>
      <w:pPr>
        <w:spacing w:after="0" w:line="223"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Tranche 1 Warrants to Purchase 9,294,022 Shares of Common Stock</w:t>
      </w:r>
    </w:p>
    <w:p>
      <w:pPr>
        <w:spacing w:after="0" w:line="223"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Tranche 2 Warrants to Purchase 11,265,086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2336800</wp:posOffset>
            </wp:positionV>
            <wp:extent cx="178879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1788795" cy="762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516890</wp:posOffset>
            </wp:positionV>
            <wp:extent cx="2611120" cy="814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61112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166370</wp:posOffset>
            </wp:positionV>
            <wp:extent cx="17887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80"/>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196" w:lineRule="exact"/>
        <w:rPr>
          <w:sz w:val="20"/>
          <w:szCs w:val="20"/>
          <w:color w:val="auto"/>
        </w:rPr>
      </w:pPr>
    </w:p>
    <w:p>
      <w:pPr>
        <w:spacing w:after="0"/>
        <w:tabs>
          <w:tab w:leader="none" w:pos="5420" w:val="left"/>
        </w:tabs>
        <w:rPr>
          <w:sz w:val="20"/>
          <w:szCs w:val="20"/>
          <w:color w:val="auto"/>
        </w:rPr>
      </w:pPr>
      <w:r>
        <w:rPr>
          <w:rFonts w:ascii="Arial" w:cs="Arial" w:eastAsia="Arial" w:hAnsi="Arial"/>
          <w:sz w:val="16"/>
          <w:szCs w:val="16"/>
          <w:b w:val="1"/>
          <w:bCs w:val="1"/>
          <w:color w:val="auto"/>
        </w:rPr>
        <w:t>Jefferies</w:t>
      </w:r>
      <w:r>
        <w:rPr>
          <w:sz w:val="20"/>
          <w:szCs w:val="20"/>
          <w:color w:val="auto"/>
        </w:rPr>
        <w:tab/>
      </w:r>
      <w:r>
        <w:rPr>
          <w:rFonts w:ascii="Arial" w:cs="Arial" w:eastAsia="Arial" w:hAnsi="Arial"/>
          <w:sz w:val="16"/>
          <w:szCs w:val="16"/>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October 2,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William Blair</w:t>
      </w:r>
    </w:p>
    <w:sectPr>
      <w:pgSz w:w="11900" w:h="16838" w:orient="portrait"/>
      <w:cols w:equalWidth="0" w:num="2">
        <w:col w:w="9600" w:space="720"/>
        <w:col w:w="940"/>
      </w:cols>
      <w:pgMar w:left="320" w:top="5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Roman"/>
      <w:start w:val="1"/>
    </w:lvl>
  </w:abstractNum>
  <w:abstractNum w:abstractNumId="9">
    <w:nsid w:val="333AB105"/>
    <w:multiLevelType w:val="hybridMultilevel"/>
    <w:lvl w:ilvl="0">
      <w:lvlJc w:val="left"/>
      <w:lvlText w:val="(%1)"/>
      <w:numFmt w:val="upperLetter"/>
      <w:start w:val="2"/>
    </w:lvl>
    <w:lvl w:ilvl="1">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lvl w:ilvl="1">
      <w:lvlJc w:val="left"/>
      <w:lvlText w:val="%2."/>
      <w:numFmt w:val="lowerRoman"/>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jpe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jpeg"/><Relationship Id="rId82" Type="http://schemas.openxmlformats.org/officeDocument/2006/relationships/image" Target="media/image67.png"/><Relationship Id="rId41" Type="http://schemas.openxmlformats.org/officeDocument/2006/relationships/hyperlink" Target="http://www.sec.gov/ix?doc=/Archives/edgar/data/1411685/000143774923018793/vtgn20230331_10k.htm" TargetMode="External"/><Relationship Id="rId42" Type="http://schemas.openxmlformats.org/officeDocument/2006/relationships/hyperlink" Target="http://www.sec.gov/ix?doc=/Archives/edgar/data/1411685/000143774923023127/vtgn20230630_10q.htm" TargetMode="External"/><Relationship Id="rId43" Type="http://schemas.openxmlformats.org/officeDocument/2006/relationships/hyperlink" Target="http://www.sec.gov/Archives/edgar/data/1411685/000143774923021049/vtgn20230727_def14a.htm" TargetMode="External"/><Relationship Id="rId44" Type="http://schemas.openxmlformats.org/officeDocument/2006/relationships/hyperlink" Target="http://www.sec.gov/ix?doc=/Archives/edgar/data/1411685/000143774923019610/vtgn20230706_8k.htm" TargetMode="External"/><Relationship Id="rId45" Type="http://schemas.openxmlformats.org/officeDocument/2006/relationships/hyperlink" Target="http://www.sec.gov/ix?doc=/Archives/edgar/data/1411685/000143774923025721/vtgn20230912_8k.htm" TargetMode="External"/><Relationship Id="rId46" Type="http://schemas.openxmlformats.org/officeDocument/2006/relationships/hyperlink" Target="http://www.sec.gov/ix?doc=/Archives/edgar/data/0001411685/000143774923027180/vtgn20230921_8k.htm" TargetMode="External"/><Relationship Id="rId47" Type="http://schemas.openxmlformats.org/officeDocument/2006/relationships/hyperlink" Target="http://www.sec.gov/ix?doc=/Archives/edgar/data/1411685/000143774923027327/vtgn20230929_8k.htm" TargetMode="External"/><Relationship Id="rId48" Type="http://schemas.openxmlformats.org/officeDocument/2006/relationships/hyperlink" Target="http://www.sec.gov/Archives/edgar/data/0001411685/000141588916005714/vsta8a12b_may2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2023-10-03T15:46:33Z</dcterms:created>
  <dcterms:modified xsi:type="dcterms:W3CDTF">2023-10-03T15:46:33Z</dcterms:modified>
</cp:coreProperties>
</file>