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7, 2025</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1"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color w:val="auto"/>
        </w:rPr>
        <w:t>On August 7, 2025,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issued a press release announcing financial results for its fiscal year 2026 first quarter ended June 30, 2025. A copy of the press release is being furnished as Exhibit 99.1 to this Current Report on Form 8-K.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August 7, 2025, the Company began utilizing a new corporate presentation, a copy of which is attached to this Current Report on Form 8-K as Exhibit 99.2.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Disclaimer.</w:t>
      </w:r>
    </w:p>
    <w:p>
      <w:pPr>
        <w:spacing w:after="0" w:line="17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information contained in this Current Report on Form 8-K and Exhibits 99.1 and 99.2 attached hereto are intended to be furnished and shall not be deemed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 Index</w:t>
            </w:r>
          </w:p>
        </w:tc>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302"/>
        </w:trPr>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300"/>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issued by Vistagen Therapeutics, Inc., dated August 7, 2025, furnished herewith</w:t>
            </w:r>
          </w:p>
        </w:tc>
      </w:tr>
      <w:tr>
        <w:trPr>
          <w:trHeight w:val="151"/>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Vistagen Therapeutics, Inc. Corporate Presentation, dated August 2025, furnished herewith</w:t>
            </w:r>
          </w:p>
        </w:tc>
        <w:tc>
          <w:tcPr>
            <w:tcW w:w="140" w:type="dxa"/>
            <w:vAlign w:val="bottom"/>
            <w:tcBorders>
              <w:top w:val="single" w:sz="8" w:color="0000FF"/>
            </w:tcBorders>
          </w:tcPr>
          <w:p>
            <w:pPr>
              <w:spacing w:after="0"/>
              <w:rPr>
                <w:sz w:val="13"/>
                <w:szCs w:val="13"/>
                <w:color w:val="auto"/>
              </w:rPr>
            </w:pPr>
          </w:p>
        </w:tc>
        <w:tc>
          <w:tcPr>
            <w:tcW w:w="5220" w:type="dxa"/>
            <w:vAlign w:val="bottom"/>
          </w:tcPr>
          <w:p>
            <w:pPr>
              <w:spacing w:after="0"/>
              <w:rPr>
                <w:sz w:val="13"/>
                <w:szCs w:val="13"/>
                <w:color w:val="auto"/>
              </w:rPr>
            </w:pPr>
          </w:p>
        </w:tc>
      </w:tr>
      <w:tr>
        <w:trPr>
          <w:trHeight w:val="178"/>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August 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828675" cy="280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867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Vistagen Reports Fiscal Year 2026 First Quarter Financial Results and Corporate Update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Topline results of PALISADE-3 Phase 3 Trial of fasedienol for acute treatment of social anxiety disorder expected in the fourth quarter of 2025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PALISADE-4 Phase 3 Trial topline results expected in the first half of 2026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Vistagen continues to advance diverse intranasal pherine pipeline targeting treatments in psychiatry, women’s health, and cancer supportive care</w:t>
      </w:r>
    </w:p>
    <w:p>
      <w:pPr>
        <w:spacing w:after="0" w:line="32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SOUTH SAN FRANCISCO, Calif. — (BUSINESS WIRE) — August 7, 2025 — </w:t>
      </w:r>
      <w:r>
        <w:rPr>
          <w:rFonts w:ascii="Times New Roman" w:cs="Times New Roman" w:eastAsia="Times New Roman" w:hAnsi="Times New Roman"/>
          <w:sz w:val="13"/>
          <w:szCs w:val="13"/>
          <w:color w:val="0000FF"/>
        </w:rPr>
        <w:t>Vistagen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VTGN), a late clinical-stage biopharmaceutical company pioneering neuroscience with nose-to-brain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neurocircuitry to develop and commercialize a new class of intranasal product candidates called pherines, today reported financial results for its fiscal year 2026 first quarter ended June 30, 2025, and provided a corporate update.</w:t>
      </w:r>
    </w:p>
    <w:p>
      <w:pPr>
        <w:spacing w:after="0" w:line="12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3"/>
          <w:szCs w:val="13"/>
          <w:color w:val="auto"/>
        </w:rPr>
        <w:t>“We had another productive quarter, advancing key programs across our pipeline,” said Shawn Singh, President and Chief Executive Officer of Vistagen. “Our lead program, fasedienol, for acute treatment of social anxiety disorder, continues to progress, with topline results from our PALISADE-3 Phase 3 trial anticipated later this year, and topline results from our PALISADE-4 Phase 3 trial expected in the first half of 2026. With no FDA-approved acute treatment, we remain optimistic about fasedienol’s potential to impact the lives of over 30 million U.S. adults affected by social anxiety disorder. As the PALISADE trials near completion, we’re encouraged by growing support for our pherine platform, including itruvone for MDD and PH80 for hot flashes, from patients, clinicians, and key opinion leaders. With multiple near-term catalysts and a differentiated pipeline, we remain focused on delivering long-term impact for patients and value for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Clinical-stage Neuroscience Product Candidates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Vistagen is developing a broad and diverse pipeline of five clinical-stage intranasal pherine product candidates spanning three key therapeutic areas: psychiatry, women’s health, and cancer supportive care.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Lead Program Highlights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Fasedienol for the Acute Treatment of Social Anxiety Disorder</w:t>
      </w:r>
    </w:p>
    <w:p>
      <w:pPr>
        <w:spacing w:after="0" w:line="123" w:lineRule="exact"/>
        <w:rPr>
          <w:sz w:val="20"/>
          <w:szCs w:val="20"/>
          <w:color w:val="auto"/>
        </w:rPr>
      </w:pPr>
    </w:p>
    <w:p>
      <w:pPr>
        <w:ind w:left="420" w:right="140" w:hanging="212"/>
        <w:spacing w:after="0" w:line="256" w:lineRule="auto"/>
        <w:tabs>
          <w:tab w:leader="none" w:pos="412"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Vistagen’s lead clinical development program – the U.S. registration-directed PALISADE Program evaluating intranasal fasedienol for the acute treatment of Social Anxiety Disorder (SAD) – is moving closer to key milestones. The PALISADE-3 Phase 3 trial is expected to provide topline data in the fourth quarter of this year. Topline results for the PALISADE-4 Phase 3 trial are expected in the first half of 2026.</w:t>
      </w:r>
    </w:p>
    <w:p>
      <w:pPr>
        <w:spacing w:after="0" w:line="124" w:lineRule="exact"/>
        <w:rPr>
          <w:rFonts w:ascii="Times New Roman" w:cs="Times New Roman" w:eastAsia="Times New Roman" w:hAnsi="Times New Roman"/>
          <w:sz w:val="13"/>
          <w:szCs w:val="13"/>
          <w:color w:val="auto"/>
        </w:rPr>
      </w:pPr>
    </w:p>
    <w:p>
      <w:pPr>
        <w:ind w:left="420" w:right="160" w:hanging="212"/>
        <w:spacing w:after="0" w:line="281" w:lineRule="auto"/>
        <w:tabs>
          <w:tab w:leader="none" w:pos="412"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Vistagen believes either PALISADE-3 or PALISADE-4, if successful, together with the positive results from PALISADE-2, may establish substantial evidence of the effectiveness of fasedienol in support of a potential New Drug Application (NDA) submission to the U.S. Food and Drug Administration (FDA) for the acute treatment of social anxiety in adults.</w:t>
      </w:r>
    </w:p>
    <w:p>
      <w:pPr>
        <w:sectPr>
          <w:pgSz w:w="11900" w:h="16838" w:orient="portrait"/>
          <w:cols w:equalWidth="0" w:num="1">
            <w:col w:w="11300"/>
          </w:cols>
          <w:pgMar w:left="300" w:top="1106" w:right="299" w:bottom="1440" w:gutter="0" w:footer="0" w:header="0"/>
        </w:sectPr>
      </w:pPr>
    </w:p>
    <w:bookmarkStart w:id="4" w:name="page5"/>
    <w:bookmarkEnd w:id="4"/>
    <w:p>
      <w:pPr>
        <w:ind w:left="420" w:right="160" w:hanging="212"/>
        <w:spacing w:after="0" w:line="266"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There is no FDA-approved acute treatment for SAD, a serious and potentially life-threatening mental health disorder often associated with co-morbidities such as major depressive disorder and suicidal ideation. SAD affects more than 30 million U.S. adults, with rising prevalence, especially among those aged 18-22.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PH80 for Menopausal Hot Flashes and Other Women’s Health Indications</w:t>
      </w:r>
    </w:p>
    <w:p>
      <w:pPr>
        <w:spacing w:after="0" w:line="123" w:lineRule="exact"/>
        <w:rPr>
          <w:sz w:val="20"/>
          <w:szCs w:val="20"/>
          <w:color w:val="auto"/>
        </w:rPr>
      </w:pPr>
    </w:p>
    <w:p>
      <w:pPr>
        <w:ind w:left="420" w:right="20" w:hanging="212"/>
        <w:spacing w:after="0" w:line="248" w:lineRule="auto"/>
        <w:tabs>
          <w:tab w:leader="none" w:pos="41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12121"/>
        </w:rPr>
        <w:t xml:space="preserve">Following positive results from exploratory Phase 2A studies in </w:t>
      </w:r>
      <w:r>
        <w:rPr>
          <w:rFonts w:ascii="Times New Roman" w:cs="Times New Roman" w:eastAsia="Times New Roman" w:hAnsi="Times New Roman"/>
          <w:sz w:val="13"/>
          <w:szCs w:val="13"/>
          <w:color w:val="000000"/>
        </w:rPr>
        <w:t>women’s health conditions,</w:t>
      </w:r>
      <w:r>
        <w:rPr>
          <w:rFonts w:ascii="Times New Roman" w:cs="Times New Roman" w:eastAsia="Times New Roman" w:hAnsi="Times New Roman"/>
          <w:sz w:val="13"/>
          <w:szCs w:val="13"/>
          <w:color w:val="212121"/>
        </w:rPr>
        <w:t xml:space="preserve"> including vasomotor symptoms </w:t>
      </w:r>
      <w:r>
        <w:rPr>
          <w:rFonts w:ascii="Times New Roman" w:cs="Times New Roman" w:eastAsia="Times New Roman" w:hAnsi="Times New Roman"/>
          <w:sz w:val="13"/>
          <w:szCs w:val="13"/>
          <w:color w:val="000000"/>
        </w:rPr>
        <w:t>(hot flashes)</w:t>
      </w:r>
      <w:r>
        <w:rPr>
          <w:rFonts w:ascii="Times New Roman" w:cs="Times New Roman" w:eastAsia="Times New Roman" w:hAnsi="Times New Roman"/>
          <w:sz w:val="13"/>
          <w:szCs w:val="13"/>
          <w:color w:val="212121"/>
        </w:rPr>
        <w:t xml:space="preserve"> due to menopause and </w:t>
      </w:r>
      <w:r>
        <w:rPr>
          <w:rFonts w:ascii="Times New Roman" w:cs="Times New Roman" w:eastAsia="Times New Roman" w:hAnsi="Times New Roman"/>
          <w:sz w:val="13"/>
          <w:szCs w:val="13"/>
          <w:color w:val="000000"/>
        </w:rPr>
        <w:t>premenstrual dysphoric disorder (PMDD)</w:t>
      </w:r>
      <w:r>
        <w:rPr>
          <w:rFonts w:ascii="Times New Roman" w:cs="Times New Roman" w:eastAsia="Times New Roman" w:hAnsi="Times New Roman"/>
          <w:sz w:val="13"/>
          <w:szCs w:val="13"/>
          <w:color w:val="212121"/>
        </w:rPr>
        <w:t xml:space="preserve">, </w:t>
      </w:r>
      <w:r>
        <w:rPr>
          <w:rFonts w:ascii="Times New Roman" w:cs="Times New Roman" w:eastAsia="Times New Roman" w:hAnsi="Times New Roman"/>
          <w:sz w:val="13"/>
          <w:szCs w:val="13"/>
          <w:color w:val="000000"/>
        </w:rPr>
        <w:t xml:space="preserve">Vistagen is preparing its U.S. Investigational New Drug Application (IND) to facilitate further Phase 2 clinical development of PH80 for treatment of </w:t>
      </w:r>
      <w:r>
        <w:rPr>
          <w:rFonts w:ascii="Times New Roman" w:cs="Times New Roman" w:eastAsia="Times New Roman" w:hAnsi="Times New Roman"/>
          <w:sz w:val="13"/>
          <w:szCs w:val="13"/>
          <w:color w:val="212121"/>
        </w:rPr>
        <w:t>vasomotor symptoms</w:t>
      </w:r>
      <w:r>
        <w:rPr>
          <w:rFonts w:ascii="Times New Roman" w:cs="Times New Roman" w:eastAsia="Times New Roman" w:hAnsi="Times New Roman"/>
          <w:sz w:val="13"/>
          <w:szCs w:val="13"/>
          <w:color w:val="000000"/>
        </w:rPr>
        <w:t xml:space="preserve"> (VMS), also known as hot flashes, </w:t>
      </w:r>
      <w:r>
        <w:rPr>
          <w:rFonts w:ascii="Times New Roman" w:cs="Times New Roman" w:eastAsia="Times New Roman" w:hAnsi="Times New Roman"/>
          <w:sz w:val="13"/>
          <w:szCs w:val="13"/>
          <w:color w:val="212121"/>
        </w:rPr>
        <w:t>due to menopause.</w:t>
      </w:r>
    </w:p>
    <w:p>
      <w:pPr>
        <w:spacing w:after="0" w:line="1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estimated 60% - 80% of menopausal women in the U.S. experience VMS, according to SWAN (Study of Women Across the Nation) and other published studies.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Itruvone for Major Depressive Disorder</w:t>
      </w:r>
    </w:p>
    <w:p>
      <w:pPr>
        <w:spacing w:after="0" w:line="12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12121"/>
        </w:rPr>
        <w:t xml:space="preserve">Following positive results from an exploratory Phase 2A, </w:t>
      </w:r>
      <w:r>
        <w:rPr>
          <w:rFonts w:ascii="Times New Roman" w:cs="Times New Roman" w:eastAsia="Times New Roman" w:hAnsi="Times New Roman"/>
          <w:sz w:val="13"/>
          <w:szCs w:val="13"/>
          <w:color w:val="000000"/>
        </w:rPr>
        <w:t>Vistagen is also planning for further Phase 2 development of itruvone</w:t>
      </w:r>
      <w:r>
        <w:rPr>
          <w:rFonts w:ascii="Times New Roman" w:cs="Times New Roman" w:eastAsia="Times New Roman" w:hAnsi="Times New Roman"/>
          <w:sz w:val="13"/>
          <w:szCs w:val="13"/>
          <w:color w:val="212121"/>
        </w:rPr>
        <w:t xml:space="preserve"> for Major Depressive Disorder (MDD) </w:t>
      </w:r>
      <w:r>
        <w:rPr>
          <w:rFonts w:ascii="Times New Roman" w:cs="Times New Roman" w:eastAsia="Times New Roman" w:hAnsi="Times New Roman"/>
          <w:sz w:val="13"/>
          <w:szCs w:val="13"/>
          <w:color w:val="000000"/>
        </w:rPr>
        <w:t>under its U.S. IND in MDD.</w:t>
      </w:r>
    </w:p>
    <w:p>
      <w:pPr>
        <w:spacing w:after="0" w:line="156" w:lineRule="exact"/>
        <w:rPr>
          <w:rFonts w:ascii="Times New Roman" w:cs="Times New Roman" w:eastAsia="Times New Roman" w:hAnsi="Times New Roman"/>
          <w:sz w:val="13"/>
          <w:szCs w:val="13"/>
          <w:color w:val="auto"/>
        </w:rPr>
      </w:pPr>
    </w:p>
    <w:p>
      <w:pPr>
        <w:ind w:left="420" w:hanging="212"/>
        <w:spacing w:after="0" w:line="256" w:lineRule="auto"/>
        <w:tabs>
          <w:tab w:leader="none" w:pos="4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Depression is a serious medical condition and a global public health concern that can arise at any time during a person's life. According to the World Health Organization (WHO), depression is the leading cause of disability worldwide, affecting over 250 million people. Statistics reported by the U.S. National Institute of Mental Health (NIMH) indicate that approximately 21 million adults in the U.S., or approximately 8.4% of all adults in the U.S., experienced at least one major depressive episode in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Updates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June, Vistagen announced the appointment of Elissa Cote as its Chief Corporate Development Officer, responsible for overseeing strategic, commercial, and business development functions.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Results for Fiscal Year 2026 First Quarter Ended June 30,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Research and development (R&amp;D) expense</w:t>
      </w:r>
    </w:p>
    <w:p>
      <w:pPr>
        <w:spacing w:after="0" w:line="159" w:lineRule="exact"/>
        <w:rPr>
          <w:sz w:val="20"/>
          <w:szCs w:val="20"/>
          <w:color w:val="auto"/>
        </w:rPr>
      </w:pPr>
    </w:p>
    <w:p>
      <w:pPr>
        <w:ind w:left="420" w:right="120" w:hanging="212"/>
        <w:spacing w:after="0" w:line="281" w:lineRule="auto"/>
        <w:tabs>
          <w:tab w:leader="none" w:pos="4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R&amp;D expense was $11.7 million for the three months ended June 30, 2025, as compared to $7.6 million for the three months ended June 30, 2024. The increase in R&amp;D expense was primarily due to an increase in research, development, contract manufacturing expenses, and headcount related to the U.S. registration-directed PALISADE Program for fasedienol in SAD.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General and administrative (G&amp;A) expense</w:t>
      </w:r>
    </w:p>
    <w:p>
      <w:pPr>
        <w:spacing w:after="0" w:line="168"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G&amp;A expense was $4.4 million for the three months ended June 30, 2025, as compared to $4.6 million for the three months ended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loss</w:t>
      </w:r>
    </w:p>
    <w:p>
      <w:pPr>
        <w:spacing w:after="0" w:line="168"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loss was $15.1 million for the three months ended June 30, 2025, as compared to $10.7 million for the three months ended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financial highlights</w:t>
      </w:r>
    </w:p>
    <w:p>
      <w:pPr>
        <w:spacing w:after="0" w:line="159"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cash equivalents, and marketable securities were $63.2 million as of June 30, 2025.</w:t>
      </w:r>
    </w:p>
    <w:p>
      <w:pPr>
        <w:sectPr>
          <w:pgSz w:w="11900" w:h="16838" w:orient="portrait"/>
          <w:cols w:equalWidth="0" w:num="1">
            <w:col w:w="11160"/>
          </w:cols>
          <w:pgMar w:left="300" w:top="98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Conference Call and Webcast</w:t>
      </w:r>
    </w:p>
    <w:p>
      <w:pPr>
        <w:spacing w:after="0" w:line="15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3"/>
          <w:szCs w:val="13"/>
          <w:color w:val="auto"/>
        </w:rPr>
        <w:t>Vistagen will host a conference call and live audio webcast today, August 7, 2025, at 5:00 p.m. Eastern Time to provide a corporate update of the Company’s progress. The conference call is being webcast live, and a link can be found under “Events” in the Investors section of Vistagen's website. Please click on the webcast link and follow the prompts for registration and access at least 10 minutes before the call. The webcast will be archived on Vistagen’s website shortly after the call and will be available for at least 90 days.</w:t>
      </w:r>
    </w:p>
    <w:p>
      <w:pPr>
        <w:spacing w:after="0" w:line="134" w:lineRule="exact"/>
        <w:rPr>
          <w:sz w:val="20"/>
          <w:szCs w:val="20"/>
          <w:color w:val="auto"/>
        </w:rPr>
      </w:pPr>
    </w:p>
    <w:p>
      <w:pPr>
        <w:ind w:right="1980"/>
        <w:spacing w:after="0" w:line="266" w:lineRule="auto"/>
        <w:rPr>
          <w:sz w:val="20"/>
          <w:szCs w:val="20"/>
          <w:color w:val="auto"/>
        </w:rPr>
      </w:pPr>
      <w:r>
        <w:rPr>
          <w:rFonts w:ascii="Times New Roman" w:cs="Times New Roman" w:eastAsia="Times New Roman" w:hAnsi="Times New Roman"/>
          <w:sz w:val="13"/>
          <w:szCs w:val="13"/>
          <w:color w:val="auto"/>
        </w:rPr>
        <w:t xml:space="preserve">For participants interested in participating in the call via dial-in, please follow the link below to pre-register. After registering, you will be provided with access details via email. </w:t>
      </w:r>
      <w:r>
        <w:rPr>
          <w:rFonts w:ascii="Times New Roman" w:cs="Times New Roman" w:eastAsia="Times New Roman" w:hAnsi="Times New Roman"/>
          <w:sz w:val="13"/>
          <w:szCs w:val="13"/>
          <w:color w:val="0000FF"/>
        </w:rPr>
        <w:t>https://registrations.events/direct/NTM6228373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Pherines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Vistagen’s neuroscience pipeline currently consists of five investigational pherine product candidates, each with a novel mechanism of action (MOA) and positive clinical data in their targeted indications. Pherines activate peripheral receptors in human nasal chemosensory neurons and are designed to rapidly activate nose-to-brain neurocircuits, believed to modulate brain areas, without requiring systemic absorption or uptake into the brain to achieve desired therapeutic benefits and differentiated safety.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Vistagen</w:t>
      </w:r>
    </w:p>
    <w:p>
      <w:pPr>
        <w:spacing w:after="0" w:line="168"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3"/>
          <w:szCs w:val="13"/>
          <w:color w:val="auto"/>
        </w:rPr>
        <w:t>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activate peripheral receptors on human nasal chemosensory neurons and are designed to rapidly trigger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w:t>
      </w:r>
    </w:p>
    <w:p>
      <w:pPr>
        <w:spacing w:after="0" w:line="13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3"/>
          <w:szCs w:val="13"/>
          <w:color w:val="auto"/>
        </w:rPr>
        <w:t>Vistagen is passionate about developing transformative treatment options to improve the lives of individuals underserved by the current standard of care for multiple highly prevalent indications, including social anxiety disorder, major depressive disorder, and multiple women’s health conditions, including vasomotor symptoms (hot flashes) associated with menopause. Connect at www.Vistagen.com.</w:t>
      </w:r>
    </w:p>
    <w:p>
      <w:pPr>
        <w:sectPr>
          <w:pgSz w:w="11900" w:h="16838" w:orient="portrait"/>
          <w:cols w:equalWidth="0" w:num="1">
            <w:col w:w="11300"/>
          </w:cols>
          <w:pgMar w:left="300" w:top="98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Forward-looking Statements</w:t>
      </w:r>
    </w:p>
    <w:p>
      <w:pPr>
        <w:spacing w:after="0" w:line="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3"/>
          <w:szCs w:val="13"/>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will successfully complete ongoing or future clinical trials within estimated timelines or at all, receive regulatory approval or be commercially successful, or that Vistagen will be able to successfully replicate the results of past studies of any of its product candidates. Other factors that may cause such a difference include, without limitation, risks and uncertainties relating to conducting and/or completing ongoing clinical trials, including PALISADE-3, PALISADE-4 and/or any other clinical trial conducted by Vistagen as a part of its PALISADE program, as currently expected or at all; completing IND-enabling programs for applicable product candidates, including itruvone and/or PH80; submission of a NDA to the FDA for any of Vistagen's product candidates, including fasedienol; the ability of any clinical trial information from the PALISADE program or otherwise submitted by Vistagen to the FDA to support a NDA; Vistagen's dependence on third-party collaborators for the development, regulatory approval, and/or commercialization of its product candidates and other aspects of its business, which are outside of Vistagen's full control; risks and uncertainties resulting from disruptions and personnel turnover, staff reductions or otherwise, at the FDA, other government agencies and comparable foreign regulatory authorities; risks associated with current and potential future healthcare reforms; the scope and enforceability of Vistagen’s patents,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2025, and Quarterly Report on Form 10-Q for the period ended June 30,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Inquiries: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Mark A. McPartland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markmcp@vistagen.com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Media Inquiries: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Michelle P. Wellington</w:t>
      </w:r>
    </w:p>
    <w:p>
      <w:pPr>
        <w:spacing w:after="0"/>
        <w:rPr>
          <w:sz w:val="20"/>
          <w:szCs w:val="20"/>
          <w:color w:val="auto"/>
        </w:rPr>
      </w:pPr>
      <w:r>
        <w:rPr>
          <w:rFonts w:ascii="Times New Roman" w:cs="Times New Roman" w:eastAsia="Times New Roman" w:hAnsi="Times New Roman"/>
          <w:sz w:val="13"/>
          <w:szCs w:val="13"/>
          <w:color w:val="0000FF"/>
        </w:rPr>
        <w:t>mwellington@vistagen.com</w:t>
      </w:r>
    </w:p>
    <w:p>
      <w:pPr>
        <w:sectPr>
          <w:pgSz w:w="11900" w:h="16838" w:orient="portrait"/>
          <w:cols w:equalWidth="0" w:num="1">
            <w:col w:w="11280"/>
          </w:cols>
          <w:pgMar w:left="300" w:top="987"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Marketable securities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Right-of-use asset - operating lease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2"/>
          <w:szCs w:val="12"/>
          <w:b w:val="1"/>
          <w:bCs w:val="1"/>
          <w:color w:val="auto"/>
        </w:rPr>
        <w:t>VISTAGEN THERAPEUTICS, INC.</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1"/>
          <w:szCs w:val="11"/>
          <w:b w:val="1"/>
          <w:bCs w:val="1"/>
          <w:color w:val="auto"/>
        </w:rPr>
        <w:t>CONDENSED CONSOLIDATED BALANCE SHEETS</w:t>
      </w:r>
    </w:p>
    <w:p>
      <w:pPr>
        <w:spacing w:after="0" w:line="18"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2"/>
          <w:szCs w:val="12"/>
          <w:b w:val="1"/>
          <w:bCs w:val="1"/>
          <w:color w:val="auto"/>
        </w:rPr>
        <w:t>(in thousands, except share and par value amounts)</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260" w:type="dxa"/>
            <w:vAlign w:val="bottom"/>
          </w:tcPr>
          <w:p>
            <w:pPr>
              <w:spacing w:after="0"/>
              <w:rPr>
                <w:sz w:val="12"/>
                <w:szCs w:val="12"/>
                <w:color w:val="auto"/>
              </w:rPr>
            </w:pP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March 31,</w:t>
            </w:r>
          </w:p>
        </w:tc>
      </w:tr>
      <w:tr>
        <w:trPr>
          <w:trHeight w:val="163"/>
        </w:trPr>
        <w:tc>
          <w:tcPr>
            <w:tcW w:w="2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55"/>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3080" w:type="dxa"/>
            <w:vAlign w:val="bottom"/>
            <w:gridSpan w:val="2"/>
          </w:tcPr>
          <w:p>
            <w:pPr>
              <w:jc w:val="right"/>
              <w:ind w:right="2640"/>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2"/>
        </w:trPr>
        <w:tc>
          <w:tcPr>
            <w:tcW w:w="3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48,985</w:t>
            </w:r>
          </w:p>
        </w:tc>
        <w:tc>
          <w:tcPr>
            <w:tcW w:w="10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67,131</w:t>
            </w:r>
          </w:p>
        </w:tc>
      </w:tr>
      <w:tr>
        <w:trPr>
          <w:trHeight w:val="171"/>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13,351</w:t>
            </w:r>
          </w:p>
        </w:tc>
      </w:tr>
      <w:tr>
        <w:trPr>
          <w:trHeight w:val="176"/>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1,594</w:t>
            </w:r>
          </w:p>
        </w:tc>
      </w:tr>
      <w:tr>
        <w:trPr>
          <w:trHeight w:val="155"/>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82,076</w:t>
            </w:r>
          </w:p>
        </w:tc>
      </w:tr>
      <w:tr>
        <w:trPr>
          <w:trHeight w:val="171"/>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r>
      <w:tr>
        <w:trPr>
          <w:trHeight w:val="171"/>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w:t>
            </w:r>
          </w:p>
        </w:tc>
      </w:tr>
      <w:tr>
        <w:trPr>
          <w:trHeight w:val="175"/>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w:t>
            </w:r>
          </w:p>
        </w:tc>
      </w:tr>
      <w:tr>
        <w:trPr>
          <w:trHeight w:val="156"/>
        </w:trPr>
        <w:tc>
          <w:tcPr>
            <w:tcW w:w="3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68,924</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-1090930</wp:posOffset>
            </wp:positionV>
            <wp:extent cx="7178040" cy="10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-873760</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-656590</wp:posOffset>
            </wp:positionV>
            <wp:extent cx="7178040"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-433705</wp:posOffset>
            </wp:positionV>
            <wp:extent cx="7178040" cy="10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-216535</wp:posOffset>
            </wp:positionV>
            <wp:extent cx="7178040" cy="108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5715</wp:posOffset>
            </wp:positionV>
            <wp:extent cx="717804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LIABILITIES AND STOCKHOLDERS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EQUITY</w:t>
      </w:r>
    </w:p>
    <w:p>
      <w:pPr>
        <w:spacing w:after="0" w:line="37" w:lineRule="exact"/>
        <w:rPr>
          <w:sz w:val="20"/>
          <w:szCs w:val="20"/>
          <w:color w:val="auto"/>
        </w:rPr>
      </w:pPr>
    </w:p>
    <w:p>
      <w:pPr>
        <w:sectPr>
          <w:pgSz w:w="11900" w:h="16838" w:orient="portrait"/>
          <w:cols w:equalWidth="0" w:num="2">
            <w:col w:w="3500" w:space="720"/>
            <w:col w:w="7080"/>
          </w:cols>
          <w:pgMar w:left="300" w:top="1151" w:right="299" w:bottom="1440" w:gutter="0" w:footer="0" w:header="0"/>
        </w:sect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expenses</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8,810</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Note payable</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 - current portion</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r>
      <w:tr>
        <w:trPr>
          <w:trHeight w:val="17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obligation - current portion</w:t>
            </w: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w:t>
            </w:r>
          </w:p>
        </w:tc>
      </w:tr>
      <w:tr>
        <w:trPr>
          <w:trHeight w:val="16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12,612</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 - non-current portion</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r>
      <w:tr>
        <w:trPr>
          <w:trHeight w:val="16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Operating lease obligation - non-current portion</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948</w:t>
            </w:r>
          </w:p>
        </w:tc>
      </w:tr>
      <w:tr>
        <w:trPr>
          <w:trHeight w:val="164"/>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13,951</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 $0.001 par value; 10,000,000 shares authorized at June 30, 2025 and March 31, 2025; no shares outstanding at June 30, 2025 and March 31, 2025</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$0.001 par value; 325,000,000 shares authorized at June 30, 2025 and March 31, 2025; 29,286,585 and 29,001,481 shares issued at June 30, 2025 and</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4"/>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March 31, 2025, respectively</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66"/>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483,430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481,956</w:t>
            </w:r>
          </w:p>
        </w:tc>
      </w:tr>
      <w:tr>
        <w:trPr>
          <w:trHeight w:val="175"/>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Treasury stock, at cost, 4,522 shares of common stock held at June 30, 2025 and March 31, 2025</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(3,968)</w:t>
            </w:r>
          </w:p>
        </w:tc>
      </w:tr>
      <w:tr>
        <w:trPr>
          <w:trHeight w:val="167"/>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71"/>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(422,727)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(407,632)</w:t>
            </w:r>
          </w:p>
        </w:tc>
      </w:tr>
      <w:tr>
        <w:trPr>
          <w:trHeight w:val="16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56,765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70,390</w:t>
            </w:r>
          </w:p>
        </w:tc>
      </w:tr>
      <w:tr>
        <w:trPr>
          <w:trHeight w:val="18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68,924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84,341</w:t>
            </w:r>
          </w:p>
        </w:tc>
      </w:tr>
    </w:tbl>
    <w:p>
      <w:pPr>
        <w:sectPr>
          <w:pgSz w:w="11900" w:h="16838" w:orient="portrait"/>
          <w:cols w:equalWidth="0" w:num="1">
            <w:col w:w="11300"/>
          </w:cols>
          <w:pgMar w:left="300" w:top="1151" w:right="29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2296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22960" cy="274320"/>
                    </a:xfrm>
                    <a:prstGeom prst="rect">
                      <a:avLst/>
                    </a:prstGeom>
                    <a:noFill/>
                  </pic:spPr>
                </pic:pic>
              </a:graphicData>
            </a:graphic>
          </wp:anchor>
        </w:drawing>
        <w:t>VISTAGEN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8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2"/>
          <w:szCs w:val="12"/>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6"/>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Sublicense and other revenue</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65"/>
        </w:trPr>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revenues</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7"/>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5"/>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7,648</w:t>
            </w:r>
          </w:p>
        </w:tc>
      </w:tr>
      <w:tr>
        <w:trPr>
          <w:trHeight w:val="167"/>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4,567</w:t>
            </w:r>
          </w:p>
        </w:tc>
      </w:tr>
      <w:tr>
        <w:trPr>
          <w:trHeight w:val="160"/>
        </w:trPr>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12,215</w:t>
            </w:r>
          </w:p>
        </w:tc>
      </w:tr>
      <w:tr>
        <w:trPr>
          <w:trHeight w:val="16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(12,131)</w:t>
            </w:r>
          </w:p>
        </w:tc>
      </w:tr>
      <w:tr>
        <w:trPr>
          <w:trHeight w:val="17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6"/>
        </w:trPr>
        <w:tc>
          <w:tcPr>
            <w:tcW w:w="6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 net</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w:t>
            </w:r>
          </w:p>
        </w:tc>
      </w:tr>
      <w:tr>
        <w:trPr>
          <w:trHeight w:val="171"/>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expense</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(10,733)</w:t>
            </w:r>
          </w:p>
        </w:tc>
      </w:tr>
      <w:tr>
        <w:trPr>
          <w:trHeight w:val="17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9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(15,095)</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(10,733)</w:t>
            </w:r>
          </w:p>
        </w:tc>
      </w:tr>
      <w:tr>
        <w:trPr>
          <w:trHeight w:val="16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gain (loss) on marketable securities</w:t>
            </w: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w:t>
            </w:r>
          </w:p>
        </w:tc>
      </w:tr>
      <w:tr>
        <w:trPr>
          <w:trHeight w:val="18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(10,731)</w:t>
            </w:r>
          </w:p>
        </w:tc>
      </w:tr>
      <w:tr>
        <w:trPr>
          <w:trHeight w:val="187"/>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common share</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31,930,665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30,603,435</w:t>
            </w: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740"/>
          </w:cols>
          <w:pgMar w:left="1080" w:top="1151" w:right="107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2025-08-07T16:02:42Z</dcterms:created>
  <dcterms:modified xsi:type="dcterms:W3CDTF">2025-08-07T16:02:42Z</dcterms:modified>
</cp:coreProperties>
</file>