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SECRETARY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02/02/2028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25% of the Shares subject to the Option shall vest on date of grant February 2, 2018, and 1/24th of the remaining Shares subject to the Option shall vest on each monthly anniversary of the grant date thereafter.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Jerrold D. Dotson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02/05/2018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2020-01-13T22:38:38Z</dcterms:created>
  <dcterms:modified xsi:type="dcterms:W3CDTF">2020-01-13T22:38:38Z</dcterms:modified>
</cp:coreProperties>
</file>