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4)*</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VistaGen Therapeutics,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(Name of Issuer)</w:t>
      </w:r>
    </w:p>
    <w:p>
      <w:pPr>
        <w:spacing w:after="0" w:line="278" w:lineRule="exact"/>
        <w:rPr>
          <w:sz w:val="24"/>
          <w:szCs w:val="24"/>
          <w:color w:val="auto"/>
        </w:rPr>
      </w:pPr>
    </w:p>
    <w:p>
      <w:pPr>
        <w:ind w:left="4260"/>
        <w:spacing w:after="0"/>
        <w:rPr>
          <w:sz w:val="20"/>
          <w:szCs w:val="20"/>
          <w:color w:val="auto"/>
        </w:rPr>
      </w:pPr>
      <w:r>
        <w:rPr>
          <w:rFonts w:ascii="Arial" w:cs="Arial" w:eastAsia="Arial" w:hAnsi="Arial"/>
          <w:sz w:val="22"/>
          <w:szCs w:val="22"/>
          <w:u w:val="single" w:color="auto"/>
          <w:color w:val="auto"/>
        </w:rPr>
        <w:t>Common Stock, $0.001 par value</w:t>
      </w:r>
    </w:p>
    <w:p>
      <w:pPr>
        <w:spacing w:after="0" w:line="22" w:lineRule="exact"/>
        <w:rPr>
          <w:sz w:val="24"/>
          <w:szCs w:val="24"/>
          <w:color w:val="auto"/>
        </w:rPr>
      </w:pPr>
    </w:p>
    <w:p>
      <w:pPr>
        <w:ind w:left="4480"/>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ind w:left="5200"/>
        <w:spacing w:after="0"/>
        <w:rPr>
          <w:sz w:val="20"/>
          <w:szCs w:val="20"/>
          <w:color w:val="auto"/>
        </w:rPr>
      </w:pPr>
      <w:r>
        <w:rPr>
          <w:rFonts w:ascii="Arial" w:cs="Arial" w:eastAsia="Arial" w:hAnsi="Arial"/>
          <w:sz w:val="22"/>
          <w:szCs w:val="22"/>
          <w:u w:val="single" w:color="auto"/>
          <w:color w:val="auto"/>
        </w:rPr>
        <w:t>92840H202</w:t>
      </w:r>
    </w:p>
    <w:p>
      <w:pPr>
        <w:spacing w:after="0" w:line="22"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December 31, 2019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760" w:hanging="242"/>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760" w:hanging="242"/>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760" w:hanging="242"/>
        <w:spacing w:after="0"/>
        <w:tabs>
          <w:tab w:leader="none" w:pos="7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 xml:space="preserve">Securities Exchange Act </w:t>
      </w:r>
      <w:r>
        <w:rPr>
          <w:rFonts w:ascii="Arial" w:cs="Arial" w:eastAsia="Arial" w:hAnsi="Arial"/>
          <w:sz w:val="22"/>
          <w:szCs w:val="22"/>
          <w:color w:val="auto"/>
        </w:rPr>
        <w:t>of 1934 (“Act”) or otherwise subject to the liabilities of that section of the Act but shall be subject to all</w:t>
      </w:r>
      <w:r>
        <w:rPr>
          <w:rFonts w:ascii="Arial" w:cs="Arial" w:eastAsia="Arial" w:hAnsi="Arial"/>
          <w:sz w:val="22"/>
          <w:szCs w:val="22"/>
          <w:i w:val="1"/>
          <w:iCs w:val="1"/>
          <w:color w:val="auto"/>
        </w:rPr>
        <w:t xml:space="preserve"> </w:t>
      </w:r>
      <w:r>
        <w:rPr>
          <w:rFonts w:ascii="Arial" w:cs="Arial" w:eastAsia="Arial" w:hAnsi="Arial"/>
          <w:sz w:val="22"/>
          <w:szCs w:val="22"/>
          <w:color w:val="auto"/>
        </w:rPr>
        <w:t>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0"/>
        </w:trPr>
        <w:tc>
          <w:tcPr>
            <w:tcW w:w="900" w:type="dxa"/>
            <w:vAlign w:val="bottom"/>
            <w:tcBorders>
              <w:top w:val="single" w:sz="8" w:color="auto"/>
              <w:left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20" w:type="dxa"/>
            <w:vAlign w:val="bottom"/>
            <w:tcBorders>
              <w:top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CUSIP No. 92840H202</w:t>
            </w: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2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rPr>
              <w:t>Moshe Arkin</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1,314,949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2.67%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40" w:firstLine="8"/>
        <w:spacing w:after="0" w:line="276"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520" w:firstLine="8"/>
        <w:spacing w:after="0" w:line="276" w:lineRule="auto"/>
        <w:tabs>
          <w:tab w:leader="none" w:pos="414" w:val="left"/>
        </w:tabs>
        <w:numPr>
          <w:ilvl w:val="0"/>
          <w:numId w:val="5"/>
        </w:numPr>
        <w:rPr>
          <w:rFonts w:ascii="Arial" w:cs="Arial" w:eastAsia="Arial" w:hAnsi="Arial"/>
          <w:sz w:val="22"/>
          <w:szCs w:val="22"/>
          <w:color w:val="auto"/>
        </w:rPr>
      </w:pPr>
      <w:r>
        <w:rPr>
          <w:rFonts w:ascii="Arial" w:cs="Arial" w:eastAsia="Arial" w:hAnsi="Arial"/>
          <w:sz w:val="22"/>
          <w:szCs w:val="22"/>
          <w:color w:val="auto"/>
        </w:rPr>
        <w:t>Based on 47,963,042 shares of Common Stock outstanding as of January 24, 2020 (as provided in the Issuer's Prospectus Supplement filed with the Securities and Exchange Commission on January 24, 2020).</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3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2420" w:type="dxa"/>
            <w:vAlign w:val="bottom"/>
            <w:gridSpan w:val="3"/>
          </w:tcPr>
          <w:p>
            <w:pPr>
              <w:ind w:left="20"/>
              <w:spacing w:after="0"/>
              <w:rPr>
                <w:sz w:val="20"/>
                <w:szCs w:val="20"/>
                <w:color w:val="auto"/>
              </w:rPr>
            </w:pPr>
            <w:r>
              <w:rPr>
                <w:rFonts w:ascii="Arial" w:cs="Arial" w:eastAsia="Arial" w:hAnsi="Arial"/>
                <w:sz w:val="18"/>
                <w:szCs w:val="18"/>
                <w:color w:val="auto"/>
                <w:w w:val="91"/>
              </w:rPr>
              <w:t>Sphera Funds Management Ltd.</w:t>
            </w: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1,314,949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2.67%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40" w:firstLine="8"/>
        <w:spacing w:after="0" w:line="276"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520" w:firstLine="8"/>
        <w:spacing w:after="0" w:line="276" w:lineRule="auto"/>
        <w:tabs>
          <w:tab w:leader="none" w:pos="414" w:val="left"/>
        </w:tabs>
        <w:numPr>
          <w:ilvl w:val="0"/>
          <w:numId w:val="7"/>
        </w:numPr>
        <w:rPr>
          <w:rFonts w:ascii="Arial" w:cs="Arial" w:eastAsia="Arial" w:hAnsi="Arial"/>
          <w:sz w:val="22"/>
          <w:szCs w:val="22"/>
          <w:color w:val="auto"/>
        </w:rPr>
      </w:pPr>
      <w:r>
        <w:rPr>
          <w:rFonts w:ascii="Arial" w:cs="Arial" w:eastAsia="Arial" w:hAnsi="Arial"/>
          <w:sz w:val="22"/>
          <w:szCs w:val="22"/>
          <w:color w:val="auto"/>
        </w:rPr>
        <w:t>Based on 47,963,042 shares of Common Stock outstanding as of January 24, 2020 (as provided in the Issuer's Prospectus Supplement filed with the Securities and Exchange Commission on January 24,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4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GP Ltd.</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60" w:type="dxa"/>
            <w:vAlign w:val="bottom"/>
            <w:tcBorders>
              <w:left w:val="single" w:sz="8" w:color="auto"/>
            </w:tcBorders>
            <w:gridSpan w:val="3"/>
            <w:vMerge w:val="continue"/>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right"/>
              <w:ind w:right="750"/>
              <w:spacing w:after="0" w:line="189" w:lineRule="exact"/>
              <w:rPr>
                <w:sz w:val="20"/>
                <w:szCs w:val="20"/>
                <w:color w:val="auto"/>
              </w:rPr>
            </w:pPr>
            <w:r>
              <w:rPr>
                <w:rFonts w:ascii="Arial" w:cs="Arial" w:eastAsia="Arial" w:hAnsi="Arial"/>
                <w:sz w:val="18"/>
                <w:szCs w:val="18"/>
                <w:b w:val="1"/>
                <w:bCs w:val="1"/>
                <w:color w:val="auto"/>
              </w:rPr>
              <w:t>6</w:t>
            </w:r>
          </w:p>
        </w:tc>
        <w:tc>
          <w:tcPr>
            <w:tcW w:w="5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0" w:type="dxa"/>
            <w:vAlign w:val="bottom"/>
            <w:tcBorders>
              <w:left w:val="single" w:sz="8" w:color="auto"/>
            </w:tcBorders>
          </w:tcPr>
          <w:p>
            <w:pPr>
              <w:spacing w:after="0"/>
              <w:rPr>
                <w:sz w:val="17"/>
                <w:szCs w:val="17"/>
                <w:color w:val="auto"/>
              </w:rPr>
            </w:pPr>
          </w:p>
        </w:tc>
        <w:tc>
          <w:tcPr>
            <w:tcW w:w="1160" w:type="dxa"/>
            <w:vAlign w:val="bottom"/>
            <w:gridSpan w:val="2"/>
          </w:tcPr>
          <w:p>
            <w:pPr>
              <w:jc w:val="center"/>
              <w:ind w:right="350"/>
              <w:spacing w:after="0" w:line="201" w:lineRule="exact"/>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20"/>
                <w:szCs w:val="20"/>
                <w:color w:val="auto"/>
              </w:rPr>
            </w:pPr>
          </w:p>
        </w:tc>
        <w:tc>
          <w:tcPr>
            <w:tcW w:w="2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2060" w:type="dxa"/>
            <w:vAlign w:val="bottom"/>
            <w:tcBorders>
              <w:left w:val="single" w:sz="8" w:color="auto"/>
            </w:tcBorders>
            <w:gridSpan w:val="3"/>
            <w:vMerge w:val="restart"/>
          </w:tcPr>
          <w:p>
            <w:pPr>
              <w:jc w:val="center"/>
              <w:ind w:left="370"/>
              <w:spacing w:after="0" w:line="201" w:lineRule="exact"/>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bottom w:val="single" w:sz="8" w:color="auto"/>
              <w:right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3660" w:type="dxa"/>
            <w:vAlign w:val="bottom"/>
            <w:tcBorders>
              <w:bottom w:val="single" w:sz="8" w:color="auto"/>
            </w:tcBorders>
          </w:tcPr>
          <w:p>
            <w:pPr>
              <w:spacing w:after="0"/>
              <w:rPr>
                <w:sz w:val="7"/>
                <w:szCs w:val="7"/>
                <w:color w:val="auto"/>
              </w:rPr>
            </w:pPr>
          </w:p>
        </w:tc>
        <w:tc>
          <w:tcPr>
            <w:tcW w:w="2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060" w:type="dxa"/>
            <w:vAlign w:val="bottom"/>
            <w:tcBorders>
              <w:left w:val="single" w:sz="8" w:color="auto"/>
            </w:tcBorders>
            <w:gridSpan w:val="3"/>
            <w:vMerge w:val="continue"/>
          </w:tcPr>
          <w:p>
            <w:pPr>
              <w:spacing w:after="0"/>
              <w:rPr>
                <w:sz w:val="8"/>
                <w:szCs w:val="8"/>
                <w:color w:val="auto"/>
              </w:rPr>
            </w:pPr>
          </w:p>
        </w:tc>
        <w:tc>
          <w:tcPr>
            <w:tcW w:w="74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5020" w:type="dxa"/>
            <w:vAlign w:val="bottom"/>
            <w:gridSpan w:val="2"/>
            <w:vMerge w:val="continue"/>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00" w:type="dxa"/>
            <w:vAlign w:val="bottom"/>
            <w:tcBorders>
              <w:left w:val="single" w:sz="8" w:color="auto"/>
            </w:tcBorders>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136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3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60" w:type="dxa"/>
            <w:vAlign w:val="bottom"/>
            <w:tcBorders>
              <w:left w:val="single" w:sz="8" w:color="auto"/>
            </w:tcBorders>
            <w:gridSpan w:val="3"/>
            <w:vMerge w:val="restart"/>
          </w:tcPr>
          <w:p>
            <w:pPr>
              <w:jc w:val="center"/>
              <w:ind w:left="370"/>
              <w:spacing w:after="0" w:line="157"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360" w:type="dxa"/>
            <w:vAlign w:val="bottom"/>
            <w:vMerge w:val="continue"/>
          </w:tcPr>
          <w:p>
            <w:pPr>
              <w:spacing w:after="0"/>
              <w:rPr>
                <w:sz w:val="12"/>
                <w:szCs w:val="12"/>
                <w:color w:val="auto"/>
              </w:rPr>
            </w:pPr>
          </w:p>
        </w:tc>
        <w:tc>
          <w:tcPr>
            <w:tcW w:w="3660" w:type="dxa"/>
            <w:vAlign w:val="bottom"/>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900" w:type="dxa"/>
            <w:vAlign w:val="bottom"/>
            <w:tcBorders>
              <w:left w:val="single" w:sz="8" w:color="auto"/>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gridSpan w:val="2"/>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1,314,949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2.67%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40" w:firstLine="8"/>
        <w:spacing w:after="0" w:line="276" w:lineRule="auto"/>
        <w:tabs>
          <w:tab w:leader="none" w:pos="306" w:val="left"/>
        </w:tabs>
        <w:numPr>
          <w:ilvl w:val="0"/>
          <w:numId w:val="8"/>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520" w:firstLine="8"/>
        <w:spacing w:after="0" w:line="276" w:lineRule="auto"/>
        <w:tabs>
          <w:tab w:leader="none" w:pos="414" w:val="left"/>
        </w:tabs>
        <w:numPr>
          <w:ilvl w:val="0"/>
          <w:numId w:val="9"/>
        </w:numPr>
        <w:rPr>
          <w:rFonts w:ascii="Arial" w:cs="Arial" w:eastAsia="Arial" w:hAnsi="Arial"/>
          <w:sz w:val="22"/>
          <w:szCs w:val="22"/>
          <w:color w:val="auto"/>
        </w:rPr>
      </w:pPr>
      <w:r>
        <w:rPr>
          <w:rFonts w:ascii="Arial" w:cs="Arial" w:eastAsia="Arial" w:hAnsi="Arial"/>
          <w:sz w:val="22"/>
          <w:szCs w:val="22"/>
          <w:color w:val="auto"/>
        </w:rPr>
        <w:t>Based on 47,963,042 shares of Common Stock outstanding as of January 24, 2020 (as provided in the Issuer's Prospectus Supplement filed with the Securities and Exchange Commission on January 24,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0"/>
        </w:trPr>
        <w:tc>
          <w:tcPr>
            <w:tcW w:w="2060" w:type="dxa"/>
            <w:vAlign w:val="bottom"/>
            <w:tcBorders>
              <w:top w:val="single" w:sz="8" w:color="auto"/>
              <w:left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CUSIP No. 92840H202</w:t>
            </w:r>
          </w:p>
        </w:tc>
        <w:tc>
          <w:tcPr>
            <w:tcW w:w="74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360" w:type="dxa"/>
            <w:vAlign w:val="bottom"/>
            <w:tcBorders>
              <w:top w:val="single" w:sz="8" w:color="auto"/>
              <w:right w:val="single" w:sz="8" w:color="auto"/>
            </w:tcBorders>
          </w:tcPr>
          <w:p>
            <w:pPr>
              <w:spacing w:after="0"/>
              <w:rPr>
                <w:sz w:val="23"/>
                <w:szCs w:val="23"/>
                <w:color w:val="auto"/>
              </w:rPr>
            </w:pPr>
          </w:p>
        </w:tc>
        <w:tc>
          <w:tcPr>
            <w:tcW w:w="3660" w:type="dxa"/>
            <w:vAlign w:val="bottom"/>
            <w:tcBorders>
              <w:right w:val="single" w:sz="8" w:color="auto"/>
            </w:tcBorders>
          </w:tcPr>
          <w:p>
            <w:pPr>
              <w:ind w:left="1660"/>
              <w:spacing w:after="0"/>
              <w:rPr>
                <w:sz w:val="20"/>
                <w:szCs w:val="20"/>
                <w:color w:val="auto"/>
              </w:rPr>
            </w:pPr>
            <w:r>
              <w:rPr>
                <w:rFonts w:ascii="Arial" w:cs="Arial" w:eastAsia="Arial" w:hAnsi="Arial"/>
                <w:sz w:val="18"/>
                <w:szCs w:val="18"/>
                <w:b w:val="1"/>
                <w:bCs w:val="1"/>
                <w:color w:val="auto"/>
              </w:rPr>
              <w:t>13G</w:t>
            </w:r>
          </w:p>
        </w:tc>
        <w:tc>
          <w:tcPr>
            <w:tcW w:w="2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Page 5 of 11 Pages</w:t>
            </w: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780" w:type="dxa"/>
            <w:vAlign w:val="bottom"/>
            <w:tcBorders>
              <w:bottom w:val="single" w:sz="8" w:color="auto"/>
              <w:right w:val="single" w:sz="8" w:color="auto"/>
            </w:tcBorders>
            <w:gridSpan w:val="4"/>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NAME OF REPORTING PERSONS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Sphera Global Healthcare Management LP</w:t>
            </w: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gridSpan w:val="4"/>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00" w:type="dxa"/>
            <w:vAlign w:val="bottom"/>
            <w:tcBorders>
              <w:left w:val="single" w:sz="8" w:color="auto"/>
            </w:tcBorders>
          </w:tcPr>
          <w:p>
            <w:pPr>
              <w:jc w:val="center"/>
              <w:ind w:left="630"/>
              <w:spacing w:after="0" w:line="196" w:lineRule="exact"/>
              <w:rPr>
                <w:sz w:val="20"/>
                <w:szCs w:val="20"/>
                <w:color w:val="auto"/>
              </w:rPr>
            </w:pPr>
            <w:r>
              <w:rPr>
                <w:rFonts w:ascii="Arial" w:cs="Arial" w:eastAsia="Arial" w:hAnsi="Arial"/>
                <w:sz w:val="18"/>
                <w:szCs w:val="18"/>
                <w:b w:val="1"/>
                <w:bCs w:val="1"/>
                <w:color w:val="auto"/>
                <w:w w:val="99"/>
              </w:rPr>
              <w:t>2</w:t>
            </w:r>
          </w:p>
        </w:tc>
        <w:tc>
          <w:tcPr>
            <w:tcW w:w="700" w:type="dxa"/>
            <w:vAlign w:val="bottom"/>
            <w:tcBorders>
              <w:right w:val="single" w:sz="8" w:color="auto"/>
            </w:tcBorders>
          </w:tcPr>
          <w:p>
            <w:pPr>
              <w:spacing w:after="0"/>
              <w:rPr>
                <w:sz w:val="17"/>
                <w:szCs w:val="17"/>
                <w:color w:val="auto"/>
              </w:rPr>
            </w:pPr>
          </w:p>
        </w:tc>
        <w:tc>
          <w:tcPr>
            <w:tcW w:w="744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CHECK THE APPROPRIATE BOX IF A MEMBER OF A GROUP  (See instructions)</w:t>
            </w:r>
          </w:p>
        </w:tc>
        <w:tc>
          <w:tcPr>
            <w:tcW w:w="2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1960" w:type="dxa"/>
            <w:vAlign w:val="bottom"/>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960" w:type="dxa"/>
            <w:vAlign w:val="bottom"/>
            <w:tcBorders>
              <w:bottom w:val="single" w:sz="8" w:color="auto"/>
            </w:tcBorders>
            <w:gridSpan w:val="2"/>
          </w:tcPr>
          <w:p>
            <w:pPr>
              <w:jc w:val="right"/>
              <w:ind w:right="1690"/>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3</w:t>
            </w:r>
          </w:p>
        </w:tc>
        <w:tc>
          <w:tcPr>
            <w:tcW w:w="700" w:type="dxa"/>
            <w:vAlign w:val="bottom"/>
            <w:tcBorders>
              <w:right w:val="single" w:sz="8" w:color="auto"/>
            </w:tcBorders>
          </w:tcPr>
          <w:p>
            <w:pPr>
              <w:spacing w:after="0"/>
              <w:rPr>
                <w:sz w:val="21"/>
                <w:szCs w:val="21"/>
                <w:color w:val="auto"/>
              </w:rPr>
            </w:pPr>
          </w:p>
        </w:tc>
        <w:tc>
          <w:tcPr>
            <w:tcW w:w="2420" w:type="dxa"/>
            <w:vAlign w:val="bottom"/>
            <w:tcBorders>
              <w:right w:val="single" w:sz="8" w:color="AAAAAA"/>
            </w:tcBorders>
            <w:gridSpan w:val="3"/>
            <w:shd w:val="clear" w:color="auto" w:fill="AAAAAA"/>
          </w:tcPr>
          <w:p>
            <w:pPr>
              <w:ind w:left="20"/>
              <w:spacing w:after="0"/>
              <w:rPr>
                <w:sz w:val="20"/>
                <w:szCs w:val="20"/>
                <w:color w:val="auto"/>
              </w:rPr>
            </w:pPr>
            <w:r>
              <w:rPr>
                <w:rFonts w:ascii="Arial" w:cs="Arial" w:eastAsia="Arial" w:hAnsi="Arial"/>
                <w:sz w:val="18"/>
                <w:szCs w:val="18"/>
                <w:color w:val="auto"/>
              </w:rPr>
              <w:t>SEC USE ONLY</w:t>
            </w:r>
          </w:p>
        </w:tc>
        <w:tc>
          <w:tcPr>
            <w:tcW w:w="1360" w:type="dxa"/>
            <w:vAlign w:val="bottom"/>
            <w:tcBorders>
              <w:right w:val="single" w:sz="8" w:color="AAAAAA"/>
            </w:tcBorders>
            <w:shd w:val="clear" w:color="auto" w:fill="AAAAAA"/>
          </w:tcPr>
          <w:p>
            <w:pPr>
              <w:spacing w:after="0"/>
              <w:rPr>
                <w:sz w:val="21"/>
                <w:szCs w:val="21"/>
                <w:color w:val="auto"/>
              </w:rPr>
            </w:pPr>
          </w:p>
        </w:tc>
        <w:tc>
          <w:tcPr>
            <w:tcW w:w="3660" w:type="dxa"/>
            <w:vAlign w:val="bottom"/>
            <w:tcBorders>
              <w:right w:val="single" w:sz="8" w:color="AAAAAA"/>
            </w:tcBorders>
            <w:shd w:val="clear" w:color="auto" w:fill="AAAAAA"/>
          </w:tcPr>
          <w:p>
            <w:pPr>
              <w:spacing w:after="0"/>
              <w:rPr>
                <w:sz w:val="21"/>
                <w:szCs w:val="21"/>
                <w:color w:val="auto"/>
              </w:rPr>
            </w:pPr>
          </w:p>
        </w:tc>
        <w:tc>
          <w:tcPr>
            <w:tcW w:w="2380" w:type="dxa"/>
            <w:vAlign w:val="bottom"/>
            <w:tcBorders>
              <w:right w:val="single" w:sz="8" w:color="auto"/>
            </w:tcBorders>
            <w:shd w:val="clear" w:color="auto" w:fill="AAAAAA"/>
          </w:tcPr>
          <w:p>
            <w:pPr>
              <w:spacing w:after="0"/>
              <w:rPr>
                <w:sz w:val="21"/>
                <w:szCs w:val="21"/>
                <w:color w:val="auto"/>
              </w:rPr>
            </w:pP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AAAAA"/>
            </w:tcBorders>
            <w:gridSpan w:val="2"/>
            <w:shd w:val="clear" w:color="auto" w:fill="AAAAAA"/>
          </w:tcPr>
          <w:p>
            <w:pPr>
              <w:spacing w:after="0"/>
              <w:rPr>
                <w:sz w:val="24"/>
                <w:szCs w:val="24"/>
                <w:color w:val="auto"/>
              </w:rPr>
            </w:pPr>
          </w:p>
        </w:tc>
        <w:tc>
          <w:tcPr>
            <w:tcW w:w="1220" w:type="dxa"/>
            <w:vAlign w:val="bottom"/>
            <w:tcBorders>
              <w:bottom w:val="single" w:sz="8" w:color="auto"/>
              <w:right w:val="single" w:sz="8" w:color="AAAAAA"/>
            </w:tcBorders>
            <w:shd w:val="clear" w:color="auto" w:fill="AAAAAA"/>
          </w:tcPr>
          <w:p>
            <w:pPr>
              <w:spacing w:after="0"/>
              <w:rPr>
                <w:sz w:val="24"/>
                <w:szCs w:val="24"/>
                <w:color w:val="auto"/>
              </w:rPr>
            </w:pPr>
          </w:p>
        </w:tc>
        <w:tc>
          <w:tcPr>
            <w:tcW w:w="1360" w:type="dxa"/>
            <w:vAlign w:val="bottom"/>
            <w:tcBorders>
              <w:bottom w:val="single" w:sz="8" w:color="auto"/>
              <w:right w:val="single" w:sz="8" w:color="AAAAAA"/>
            </w:tcBorders>
            <w:shd w:val="clear" w:color="auto" w:fill="AAAAAA"/>
          </w:tcPr>
          <w:p>
            <w:pPr>
              <w:spacing w:after="0"/>
              <w:rPr>
                <w:sz w:val="24"/>
                <w:szCs w:val="24"/>
                <w:color w:val="auto"/>
              </w:rPr>
            </w:pPr>
          </w:p>
        </w:tc>
        <w:tc>
          <w:tcPr>
            <w:tcW w:w="3660" w:type="dxa"/>
            <w:vAlign w:val="bottom"/>
            <w:tcBorders>
              <w:bottom w:val="single" w:sz="8" w:color="auto"/>
              <w:right w:val="single" w:sz="8" w:color="AAAAAA"/>
            </w:tcBorders>
            <w:shd w:val="clear" w:color="auto" w:fill="AAAAAA"/>
          </w:tcPr>
          <w:p>
            <w:pPr>
              <w:spacing w:after="0"/>
              <w:rPr>
                <w:sz w:val="24"/>
                <w:szCs w:val="24"/>
                <w:color w:val="auto"/>
              </w:rPr>
            </w:pPr>
          </w:p>
        </w:tc>
        <w:tc>
          <w:tcPr>
            <w:tcW w:w="2380" w:type="dxa"/>
            <w:vAlign w:val="bottom"/>
            <w:tcBorders>
              <w:bottom w:val="single" w:sz="8" w:color="auto"/>
              <w:right w:val="single" w:sz="8" w:color="auto"/>
            </w:tcBorders>
            <w:shd w:val="clear" w:color="auto" w:fill="AAAAAA"/>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4</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CITIZENSHIP OR PLACE OF ORGANIZATION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w w:val="95"/>
              </w:rPr>
              <w:t>Israel</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6"/>
              </w:rPr>
              <w:t>NUMBER OF</w:t>
            </w: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60" w:type="dxa"/>
            <w:vAlign w:val="bottom"/>
            <w:tcBorders>
              <w:left w:val="single" w:sz="8" w:color="auto"/>
            </w:tcBorders>
            <w:gridSpan w:val="3"/>
            <w:vMerge w:val="continue"/>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6</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900" w:type="dxa"/>
            <w:vAlign w:val="bottom"/>
            <w:tcBorders>
              <w:left w:val="single" w:sz="8" w:color="auto"/>
            </w:tcBorders>
          </w:tcPr>
          <w:p>
            <w:pPr>
              <w:spacing w:after="0"/>
              <w:rPr>
                <w:sz w:val="7"/>
                <w:szCs w:val="7"/>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1"/>
              </w:rPr>
              <w:t>SHARES</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900" w:type="dxa"/>
            <w:vAlign w:val="bottom"/>
            <w:tcBorders>
              <w:left w:val="single" w:sz="8" w:color="auto"/>
            </w:tcBorders>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136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3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rPr>
              <w:t>BENEFICIALLY</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60" w:type="dxa"/>
            <w:vAlign w:val="bottom"/>
            <w:tcBorders>
              <w:left w:val="single" w:sz="8" w:color="auto"/>
            </w:tcBorders>
            <w:gridSpan w:val="3"/>
            <w:vMerge w:val="restart"/>
          </w:tcPr>
          <w:p>
            <w:pPr>
              <w:jc w:val="center"/>
              <w:ind w:left="370"/>
              <w:spacing w:after="0"/>
              <w:rPr>
                <w:sz w:val="20"/>
                <w:szCs w:val="20"/>
                <w:color w:val="auto"/>
              </w:rPr>
            </w:pPr>
            <w:r>
              <w:rPr>
                <w:rFonts w:ascii="Arial" w:cs="Arial" w:eastAsia="Arial" w:hAnsi="Arial"/>
                <w:sz w:val="18"/>
                <w:szCs w:val="18"/>
                <w:color w:val="auto"/>
                <w:w w:val="97"/>
              </w:rPr>
              <w:t>OWNED BY</w:t>
            </w:r>
          </w:p>
        </w:tc>
        <w:tc>
          <w:tcPr>
            <w:tcW w:w="740" w:type="dxa"/>
            <w:vAlign w:val="bottom"/>
            <w:tcBorders>
              <w:right w:val="single" w:sz="8" w:color="auto"/>
            </w:tcBorders>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360" w:type="dxa"/>
            <w:vAlign w:val="bottom"/>
            <w:vMerge w:val="continue"/>
          </w:tcPr>
          <w:p>
            <w:pPr>
              <w:spacing w:after="0"/>
              <w:rPr>
                <w:sz w:val="7"/>
                <w:szCs w:val="7"/>
                <w:color w:val="auto"/>
              </w:rPr>
            </w:pPr>
          </w:p>
        </w:tc>
        <w:tc>
          <w:tcPr>
            <w:tcW w:w="3660" w:type="dxa"/>
            <w:vAlign w:val="bottom"/>
          </w:tcPr>
          <w:p>
            <w:pPr>
              <w:spacing w:after="0"/>
              <w:rPr>
                <w:sz w:val="7"/>
                <w:szCs w:val="7"/>
                <w:color w:val="auto"/>
              </w:rPr>
            </w:pPr>
          </w:p>
        </w:tc>
        <w:tc>
          <w:tcPr>
            <w:tcW w:w="2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0"/>
        </w:trPr>
        <w:tc>
          <w:tcPr>
            <w:tcW w:w="2060" w:type="dxa"/>
            <w:vAlign w:val="bottom"/>
            <w:tcBorders>
              <w:left w:val="single" w:sz="8" w:color="auto"/>
            </w:tcBorders>
            <w:gridSpan w:val="3"/>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vMerge w:val="restart"/>
          </w:tcPr>
          <w:p>
            <w:pPr>
              <w:jc w:val="right"/>
              <w:ind w:right="750"/>
              <w:spacing w:after="0"/>
              <w:rPr>
                <w:sz w:val="20"/>
                <w:szCs w:val="20"/>
                <w:color w:val="auto"/>
              </w:rPr>
            </w:pPr>
            <w:r>
              <w:rPr>
                <w:rFonts w:ascii="Arial" w:cs="Arial" w:eastAsia="Arial" w:hAnsi="Arial"/>
                <w:sz w:val="18"/>
                <w:szCs w:val="18"/>
                <w:b w:val="1"/>
                <w:bCs w:val="1"/>
                <w:color w:val="auto"/>
              </w:rPr>
              <w:t>7</w:t>
            </w:r>
          </w:p>
        </w:tc>
        <w:tc>
          <w:tcPr>
            <w:tcW w:w="5020" w:type="dxa"/>
            <w:vAlign w:val="bottom"/>
            <w:gridSpan w:val="2"/>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3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00" w:type="dxa"/>
            <w:vAlign w:val="bottom"/>
            <w:tcBorders>
              <w:left w:val="single" w:sz="8" w:color="auto"/>
            </w:tcBorders>
          </w:tcPr>
          <w:p>
            <w:pPr>
              <w:spacing w:after="0"/>
              <w:rPr>
                <w:sz w:val="14"/>
                <w:szCs w:val="14"/>
                <w:color w:val="auto"/>
              </w:rPr>
            </w:pPr>
          </w:p>
        </w:tc>
        <w:tc>
          <w:tcPr>
            <w:tcW w:w="1160" w:type="dxa"/>
            <w:vAlign w:val="bottom"/>
            <w:gridSpan w:val="2"/>
            <w:vMerge w:val="restart"/>
          </w:tcPr>
          <w:p>
            <w:pPr>
              <w:jc w:val="center"/>
              <w:ind w:right="350"/>
              <w:spacing w:after="0"/>
              <w:rPr>
                <w:sz w:val="20"/>
                <w:szCs w:val="20"/>
                <w:color w:val="auto"/>
              </w:rPr>
            </w:pPr>
            <w:r>
              <w:rPr>
                <w:rFonts w:ascii="Arial" w:cs="Arial" w:eastAsia="Arial" w:hAnsi="Arial"/>
                <w:sz w:val="18"/>
                <w:szCs w:val="18"/>
                <w:color w:val="auto"/>
                <w:w w:val="95"/>
              </w:rPr>
              <w:t>EACH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vMerge w:val="continue"/>
          </w:tcPr>
          <w:p>
            <w:pPr>
              <w:spacing w:after="0"/>
              <w:rPr>
                <w:sz w:val="14"/>
                <w:szCs w:val="14"/>
                <w:color w:val="auto"/>
              </w:rPr>
            </w:pPr>
          </w:p>
        </w:tc>
        <w:tc>
          <w:tcPr>
            <w:tcW w:w="5020" w:type="dxa"/>
            <w:vAlign w:val="bottom"/>
            <w:gridSpan w:val="2"/>
            <w:vMerge w:val="continue"/>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00" w:type="dxa"/>
            <w:vAlign w:val="bottom"/>
            <w:tcBorders>
              <w:left w:val="single" w:sz="8" w:color="auto"/>
            </w:tcBorders>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3660" w:type="dxa"/>
            <w:vAlign w:val="bottom"/>
          </w:tcPr>
          <w:p>
            <w:pPr>
              <w:spacing w:after="0"/>
              <w:rPr>
                <w:sz w:val="4"/>
                <w:szCs w:val="4"/>
                <w:color w:val="auto"/>
              </w:rPr>
            </w:pPr>
          </w:p>
        </w:tc>
        <w:tc>
          <w:tcPr>
            <w:tcW w:w="2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tcBorders>
            <w:gridSpan w:val="3"/>
          </w:tcPr>
          <w:p>
            <w:pPr>
              <w:jc w:val="center"/>
              <w:ind w:left="370"/>
              <w:spacing w:after="0"/>
              <w:rPr>
                <w:sz w:val="20"/>
                <w:szCs w:val="20"/>
                <w:color w:val="auto"/>
              </w:rPr>
            </w:pPr>
            <w:r>
              <w:rPr>
                <w:rFonts w:ascii="Arial" w:cs="Arial" w:eastAsia="Arial" w:hAnsi="Arial"/>
                <w:sz w:val="18"/>
                <w:szCs w:val="18"/>
                <w:color w:val="auto"/>
                <w:w w:val="93"/>
              </w:rPr>
              <w:t>REPORTING</w:t>
            </w:r>
          </w:p>
        </w:tc>
        <w:tc>
          <w:tcPr>
            <w:tcW w:w="74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60" w:type="dxa"/>
            <w:vAlign w:val="bottom"/>
          </w:tcPr>
          <w:p>
            <w:pPr>
              <w:spacing w:after="0"/>
              <w:rPr>
                <w:sz w:val="18"/>
                <w:szCs w:val="18"/>
                <w:color w:val="auto"/>
              </w:rPr>
            </w:pPr>
          </w:p>
        </w:tc>
        <w:tc>
          <w:tcPr>
            <w:tcW w:w="2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tcBorders>
              <w:left w:val="single" w:sz="8" w:color="auto"/>
            </w:tcBorders>
            <w:gridSpan w:val="3"/>
            <w:vMerge w:val="restart"/>
          </w:tcPr>
          <w:p>
            <w:pPr>
              <w:jc w:val="center"/>
              <w:ind w:left="370"/>
              <w:spacing w:after="0" w:line="190" w:lineRule="exact"/>
              <w:rPr>
                <w:sz w:val="20"/>
                <w:szCs w:val="20"/>
                <w:color w:val="auto"/>
              </w:rPr>
            </w:pPr>
            <w:r>
              <w:rPr>
                <w:rFonts w:ascii="Arial" w:cs="Arial" w:eastAsia="Arial" w:hAnsi="Arial"/>
                <w:sz w:val="18"/>
                <w:szCs w:val="18"/>
                <w:color w:val="auto"/>
                <w:w w:val="94"/>
              </w:rPr>
              <w:t>PERSON WITH</w:t>
            </w:r>
          </w:p>
        </w:tc>
        <w:tc>
          <w:tcPr>
            <w:tcW w:w="74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3660" w:type="dxa"/>
            <w:vAlign w:val="bottom"/>
          </w:tcPr>
          <w:p>
            <w:pPr>
              <w:spacing w:after="0"/>
              <w:rPr>
                <w:sz w:val="14"/>
                <w:szCs w:val="14"/>
                <w:color w:val="auto"/>
              </w:rPr>
            </w:pPr>
          </w:p>
        </w:tc>
        <w:tc>
          <w:tcPr>
            <w:tcW w:w="23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60" w:type="dxa"/>
            <w:vAlign w:val="bottom"/>
            <w:tcBorders>
              <w:left w:val="single" w:sz="8" w:color="auto"/>
            </w:tcBorders>
            <w:gridSpan w:val="3"/>
            <w:vMerge w:val="continue"/>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8</w:t>
            </w:r>
          </w:p>
        </w:tc>
        <w:tc>
          <w:tcPr>
            <w:tcW w:w="502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1,314,949 (*)</w:t>
            </w: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gridSpan w:val="2"/>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99"/>
              </w:rPr>
              <w:t>9</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1,314,949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10</w:t>
            </w:r>
          </w:p>
        </w:tc>
        <w:tc>
          <w:tcPr>
            <w:tcW w:w="700" w:type="dxa"/>
            <w:vAlign w:val="bottom"/>
            <w:tcBorders>
              <w:right w:val="single" w:sz="8" w:color="auto"/>
            </w:tcBorders>
          </w:tcPr>
          <w:p>
            <w:pPr>
              <w:spacing w:after="0"/>
              <w:rPr>
                <w:sz w:val="21"/>
                <w:szCs w:val="21"/>
                <w:color w:val="auto"/>
              </w:rPr>
            </w:pPr>
          </w:p>
        </w:tc>
        <w:tc>
          <w:tcPr>
            <w:tcW w:w="9820" w:type="dxa"/>
            <w:vAlign w:val="bottom"/>
            <w:tcBorders>
              <w:right w:val="single" w:sz="8" w:color="auto"/>
            </w:tcBorders>
            <w:gridSpan w:val="6"/>
          </w:tcPr>
          <w:p>
            <w:pPr>
              <w:ind w:left="2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66"/>
        </w:trPr>
        <w:tc>
          <w:tcPr>
            <w:tcW w:w="900" w:type="dxa"/>
            <w:vAlign w:val="bottom"/>
            <w:tcBorders>
              <w:left w:val="single" w:sz="8" w:color="auto"/>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10"/>
              <w:spacing w:after="0"/>
              <w:rPr>
                <w:sz w:val="20"/>
                <w:szCs w:val="20"/>
                <w:color w:val="auto"/>
              </w:rPr>
            </w:pPr>
            <w:r>
              <w:rPr>
                <w:rFonts w:ascii="Arial" w:cs="Arial" w:eastAsia="Arial" w:hAnsi="Arial"/>
                <w:sz w:val="18"/>
                <w:szCs w:val="18"/>
                <w:b w:val="1"/>
                <w:bCs w:val="1"/>
                <w:color w:val="auto"/>
                <w:w w:val="79"/>
              </w:rPr>
              <w:t>11</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rPr>
              <w:t>2.67% (*) (**)</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00" w:type="dxa"/>
            <w:vAlign w:val="bottom"/>
            <w:tcBorders>
              <w:left w:val="single" w:sz="8" w:color="auto"/>
            </w:tcBorders>
          </w:tcPr>
          <w:p>
            <w:pPr>
              <w:jc w:val="center"/>
              <w:ind w:left="630"/>
              <w:spacing w:after="0"/>
              <w:rPr>
                <w:sz w:val="20"/>
                <w:szCs w:val="20"/>
                <w:color w:val="auto"/>
              </w:rPr>
            </w:pPr>
            <w:r>
              <w:rPr>
                <w:rFonts w:ascii="Arial" w:cs="Arial" w:eastAsia="Arial" w:hAnsi="Arial"/>
                <w:sz w:val="18"/>
                <w:szCs w:val="18"/>
                <w:b w:val="1"/>
                <w:bCs w:val="1"/>
                <w:color w:val="auto"/>
                <w:w w:val="89"/>
              </w:rPr>
              <w:t>12</w:t>
            </w:r>
          </w:p>
        </w:tc>
        <w:tc>
          <w:tcPr>
            <w:tcW w:w="700" w:type="dxa"/>
            <w:vAlign w:val="bottom"/>
            <w:tcBorders>
              <w:right w:val="single" w:sz="8" w:color="auto"/>
            </w:tcBorders>
          </w:tcPr>
          <w:p>
            <w:pPr>
              <w:spacing w:after="0"/>
              <w:rPr>
                <w:sz w:val="21"/>
                <w:szCs w:val="21"/>
                <w:color w:val="auto"/>
              </w:rPr>
            </w:pPr>
          </w:p>
        </w:tc>
        <w:tc>
          <w:tcPr>
            <w:tcW w:w="7440" w:type="dxa"/>
            <w:vAlign w:val="bottom"/>
            <w:gridSpan w:val="5"/>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23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9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9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right="140" w:firstLine="8"/>
        <w:spacing w:after="0" w:line="276" w:lineRule="auto"/>
        <w:tabs>
          <w:tab w:leader="none" w:pos="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Reflects updated holdings as of the date of this filing. The beneficial ownership of the securities reported herein is described in Item 4(a).</w:t>
      </w:r>
    </w:p>
    <w:p>
      <w:pPr>
        <w:spacing w:after="0" w:line="228" w:lineRule="exact"/>
        <w:rPr>
          <w:sz w:val="20"/>
          <w:szCs w:val="20"/>
          <w:color w:val="auto"/>
        </w:rPr>
      </w:pPr>
    </w:p>
    <w:p>
      <w:pPr>
        <w:ind w:right="520" w:firstLine="8"/>
        <w:spacing w:after="0" w:line="276" w:lineRule="auto"/>
        <w:tabs>
          <w:tab w:leader="none" w:pos="414" w:val="left"/>
        </w:tabs>
        <w:numPr>
          <w:ilvl w:val="0"/>
          <w:numId w:val="11"/>
        </w:numPr>
        <w:rPr>
          <w:rFonts w:ascii="Arial" w:cs="Arial" w:eastAsia="Arial" w:hAnsi="Arial"/>
          <w:sz w:val="22"/>
          <w:szCs w:val="22"/>
          <w:color w:val="auto"/>
        </w:rPr>
      </w:pPr>
      <w:r>
        <w:rPr>
          <w:rFonts w:ascii="Arial" w:cs="Arial" w:eastAsia="Arial" w:hAnsi="Arial"/>
          <w:sz w:val="22"/>
          <w:szCs w:val="22"/>
          <w:color w:val="auto"/>
        </w:rPr>
        <w:t>Based on 47,963,042 shares of Common Stock outstanding as of January 24, 2020 (as provided in the Issuer's Prospectus Supplement filed with the Securities and Exchange Commission on January 24, 2020).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5" w:name="page6"/>
    <w:bookmarkEnd w:id="5"/>
    <w:p>
      <w:pPr>
        <w:spacing w:after="0"/>
        <w:tabs>
          <w:tab w:leader="none" w:pos="88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Issuer</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VistaGen Therapeutics, Inc.</w:t>
      </w:r>
    </w:p>
    <w:p>
      <w:pPr>
        <w:spacing w:after="0" w:line="281" w:lineRule="exact"/>
        <w:rPr>
          <w:sz w:val="20"/>
          <w:szCs w:val="20"/>
          <w:color w:val="auto"/>
        </w:rPr>
      </w:pPr>
    </w:p>
    <w:p>
      <w:pPr>
        <w:ind w:left="1420" w:hanging="512"/>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343 Allerton Avenue, South San Francisco, California 94080</w:t>
      </w:r>
    </w:p>
    <w:p>
      <w:pPr>
        <w:spacing w:after="0" w:line="277" w:lineRule="exact"/>
        <w:rPr>
          <w:sz w:val="20"/>
          <w:szCs w:val="20"/>
          <w:color w:val="auto"/>
        </w:rPr>
      </w:pPr>
    </w:p>
    <w:p>
      <w:pPr>
        <w:spacing w:after="0"/>
        <w:tabs>
          <w:tab w:leader="none" w:pos="88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w:t>
      </w:r>
    </w:p>
    <w:p>
      <w:pPr>
        <w:spacing w:after="0" w:line="281" w:lineRule="exact"/>
        <w:rPr>
          <w:sz w:val="20"/>
          <w:szCs w:val="20"/>
          <w:color w:val="auto"/>
        </w:rPr>
      </w:pPr>
    </w:p>
    <w:p>
      <w:pPr>
        <w:ind w:left="1400" w:hanging="568"/>
        <w:spacing w:after="0"/>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6 Hachoshlim St., Herzelia,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21 Ha'arba'ah Street, Tel Aviv 64739,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1"/>
          <w:szCs w:val="21"/>
          <w:color w:val="auto"/>
        </w:rPr>
        <w:t>Sphera Global Healthcare GP Ltd. – 21 Ha'arba'ah Street, Tel Aviv 64739, Israel</w:t>
      </w:r>
    </w:p>
    <w:p>
      <w:pPr>
        <w:spacing w:after="0" w:line="299"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Sphera Global Healthcare Management LP – 21 Ha'arba'ah Street, Tel Aviv 64739, Israel</w:t>
      </w:r>
    </w:p>
    <w:p>
      <w:pPr>
        <w:spacing w:after="0" w:line="315" w:lineRule="exact"/>
        <w:rPr>
          <w:sz w:val="20"/>
          <w:szCs w:val="20"/>
          <w:color w:val="auto"/>
        </w:rPr>
      </w:pPr>
    </w:p>
    <w:p>
      <w:pPr>
        <w:ind w:left="1400" w:hanging="568"/>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 – Israel</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 – Israel</w:t>
      </w:r>
    </w:p>
    <w:p>
      <w:pPr>
        <w:spacing w:after="0" w:line="281" w:lineRule="exact"/>
        <w:rPr>
          <w:sz w:val="20"/>
          <w:szCs w:val="20"/>
          <w:color w:val="auto"/>
        </w:rPr>
      </w:pPr>
    </w:p>
    <w:p>
      <w:pPr>
        <w:ind w:left="1400" w:hanging="568"/>
        <w:spacing w:after="0"/>
        <w:tabs>
          <w:tab w:leader="none" w:pos="14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Common Stock, $0.001 par value</w:t>
      </w:r>
    </w:p>
    <w:p>
      <w:pPr>
        <w:spacing w:after="0" w:line="281" w:lineRule="exact"/>
        <w:rPr>
          <w:sz w:val="20"/>
          <w:szCs w:val="20"/>
          <w:color w:val="auto"/>
        </w:rPr>
      </w:pPr>
    </w:p>
    <w:p>
      <w:pPr>
        <w:ind w:left="1420" w:hanging="588"/>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92840H202</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Not applicable.</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6" w:name="page7"/>
    <w:bookmarkEnd w:id="6"/>
    <w:p>
      <w:pPr>
        <w:spacing w:after="0"/>
        <w:tabs>
          <w:tab w:leader="none" w:pos="140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83" w:lineRule="exact"/>
        <w:rPr>
          <w:sz w:val="20"/>
          <w:szCs w:val="20"/>
          <w:color w:val="auto"/>
        </w:rPr>
      </w:pPr>
    </w:p>
    <w:p>
      <w:pPr>
        <w:ind w:left="1400" w:hanging="591"/>
        <w:spacing w:after="0"/>
        <w:tabs>
          <w:tab w:leader="none" w:pos="14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9 of cover page of each reporting person.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The securities reported herein are beneficially owned as follows:</w:t>
      </w:r>
    </w:p>
    <w:p>
      <w:pPr>
        <w:spacing w:after="0" w:line="254" w:lineRule="exact"/>
        <w:rPr>
          <w:sz w:val="20"/>
          <w:szCs w:val="20"/>
          <w:color w:val="auto"/>
        </w:rPr>
      </w:pPr>
    </w:p>
    <w:p>
      <w:pPr>
        <w:jc w:val="both"/>
        <w:ind w:left="1780" w:hanging="381"/>
        <w:spacing w:after="0" w:line="259" w:lineRule="auto"/>
        <w:tabs>
          <w:tab w:leader="none" w:pos="1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500,000 1.5 Warrants, 294,100 Warrants and 520,849 Warrants A1 representing together a total of 2.67% of the total shares of Common Stock outstanding (including the warrants held by the Reporting Persons), are held directly by Sphera Global Healthcare Master Fund, which has delegated its investment management authority to Sphera Global Healthcare Management Ltd. (the "Management Company").</w:t>
      </w:r>
    </w:p>
    <w:p>
      <w:pPr>
        <w:spacing w:after="0" w:line="220" w:lineRule="exact"/>
        <w:rPr>
          <w:sz w:val="20"/>
          <w:szCs w:val="20"/>
          <w:color w:val="auto"/>
        </w:rPr>
      </w:pPr>
    </w:p>
    <w:p>
      <w:pPr>
        <w:jc w:val="both"/>
        <w:ind w:left="1420" w:right="20"/>
        <w:spacing w:after="0" w:line="301" w:lineRule="auto"/>
        <w:rPr>
          <w:sz w:val="20"/>
          <w:szCs w:val="20"/>
          <w:color w:val="auto"/>
        </w:rPr>
      </w:pPr>
      <w:r>
        <w:rPr>
          <w:rFonts w:ascii="Arial" w:cs="Arial" w:eastAsia="Arial" w:hAnsi="Arial"/>
          <w:sz w:val="21"/>
          <w:szCs w:val="21"/>
          <w:color w:val="auto"/>
        </w:rPr>
        <w:t>The Management Company is managed, controlled, and operated by its general partner, Sphera Global Healthcare GP Ltd., which is controlled jointly by Sphera Funds Management Ltd. and Moshe Arkin.</w:t>
      </w:r>
    </w:p>
    <w:p>
      <w:pPr>
        <w:spacing w:after="0" w:line="205" w:lineRule="exact"/>
        <w:rPr>
          <w:sz w:val="20"/>
          <w:szCs w:val="20"/>
          <w:color w:val="auto"/>
        </w:rPr>
      </w:pPr>
    </w:p>
    <w:p>
      <w:pPr>
        <w:jc w:val="both"/>
        <w:ind w:left="1420"/>
        <w:spacing w:after="0" w:line="259" w:lineRule="auto"/>
        <w:rPr>
          <w:sz w:val="20"/>
          <w:szCs w:val="20"/>
          <w:color w:val="auto"/>
        </w:rPr>
      </w:pPr>
      <w:r>
        <w:rPr>
          <w:rFonts w:ascii="Arial" w:cs="Arial" w:eastAsia="Arial" w:hAnsi="Arial"/>
          <w:sz w:val="22"/>
          <w:szCs w:val="22"/>
          <w:color w:val="auto"/>
        </w:rPr>
        <w:t>This Statement shall not be construed as an admission by any of the Reporting Persons that it is the beneficial owner of any of the securities covered by this Statement, and each Reporting Person disclaims beneficial ownership of any such securities. In addition, the Reporting Persons and other entities named in this Schedule 13G may be deemed to constitute a "group" for purposes of Section 13(d) of the Securities Exchange Act of 1934. Neither the filing of this Schedule 13G nor any of its contents shall be deemed to constitute an admission that a group exists for purposes of Section 13(d) of the Securities Exchange Act of 1934 or for any other purpose, and each of the Reporting Persons and other entities named in this Schedule 13G disclaims the existence of any such group.</w:t>
      </w:r>
    </w:p>
    <w:p>
      <w:pPr>
        <w:spacing w:after="0" w:line="241" w:lineRule="exact"/>
        <w:rPr>
          <w:sz w:val="20"/>
          <w:szCs w:val="20"/>
          <w:color w:val="auto"/>
        </w:rPr>
      </w:pPr>
    </w:p>
    <w:p>
      <w:pPr>
        <w:ind w:left="1400" w:hanging="636"/>
        <w:spacing w:after="0"/>
        <w:tabs>
          <w:tab w:leader="none" w:pos="14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86"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See row 11 of cover page of each reporting person</w:t>
      </w:r>
    </w:p>
    <w:p>
      <w:pPr>
        <w:spacing w:after="0" w:line="281" w:lineRule="exact"/>
        <w:rPr>
          <w:sz w:val="20"/>
          <w:szCs w:val="20"/>
          <w:color w:val="auto"/>
        </w:rPr>
      </w:pPr>
    </w:p>
    <w:p>
      <w:pPr>
        <w:ind w:left="1400" w:hanging="636"/>
        <w:spacing w:after="0"/>
        <w:tabs>
          <w:tab w:leader="none" w:pos="14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920" w:hanging="521"/>
        <w:spacing w:after="0"/>
        <w:tabs>
          <w:tab w:leader="none" w:pos="19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5 of cover page of each reporting person</w:t>
      </w:r>
    </w:p>
    <w:p>
      <w:pPr>
        <w:spacing w:after="0" w:line="281" w:lineRule="exact"/>
        <w:rPr>
          <w:sz w:val="20"/>
          <w:szCs w:val="20"/>
          <w:color w:val="auto"/>
        </w:rPr>
      </w:pPr>
    </w:p>
    <w:p>
      <w:pPr>
        <w:ind w:left="1920" w:hanging="521"/>
        <w:spacing w:after="0"/>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6 of cover page of each reporting person and note in Item 4(a) above</w:t>
      </w:r>
    </w:p>
    <w:p>
      <w:pPr>
        <w:spacing w:after="0" w:line="281" w:lineRule="exact"/>
        <w:rPr>
          <w:sz w:val="20"/>
          <w:szCs w:val="20"/>
          <w:color w:val="auto"/>
        </w:rPr>
      </w:pPr>
    </w:p>
    <w:p>
      <w:pPr>
        <w:ind w:left="1920" w:hanging="521"/>
        <w:spacing w:after="0"/>
        <w:tabs>
          <w:tab w:leader="none" w:pos="1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7 of cover page of each reporting person</w:t>
      </w:r>
    </w:p>
    <w:p>
      <w:pPr>
        <w:spacing w:after="0" w:line="281" w:lineRule="exact"/>
        <w:rPr>
          <w:sz w:val="20"/>
          <w:szCs w:val="20"/>
          <w:color w:val="auto"/>
        </w:rPr>
      </w:pPr>
    </w:p>
    <w:p>
      <w:pPr>
        <w:ind w:left="1920" w:hanging="521"/>
        <w:spacing w:after="0"/>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86"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See row 8 of cover page of each reporting person and note in Item 4(a) above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spacing w:after="0"/>
        <w:tabs>
          <w:tab w:leader="none" w:pos="14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Moshe Arkin</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Funds Management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GP Ltd.</w:t>
      </w:r>
    </w:p>
    <w:p>
      <w:pPr>
        <w:spacing w:after="0" w:line="287"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Sphera Global Healthcare Management LP</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71"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90"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391" w:right="539" w:bottom="1440" w:gutter="0" w:footer="0" w:header="0"/>
        </w:sectPr>
      </w:pPr>
    </w:p>
    <w:bookmarkStart w:id="8" w:name="page9"/>
    <w:bookmarkEnd w:id="8"/>
    <w:p>
      <w:pPr>
        <w:spacing w:after="0"/>
        <w:tabs>
          <w:tab w:leader="none" w:pos="14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90"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38"/>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February 11, 2020</w:t>
      </w: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Moshe Arkin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Moshe 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Moshe Arkin</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Funds Management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66040</wp:posOffset>
            </wp:positionV>
            <wp:extent cx="12693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GP Ltd.</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Ori Goldfarb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Ori Goldfarb</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Sphera Global Healthcare Management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Doron Breen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74930</wp:posOffset>
            </wp:positionV>
            <wp:extent cx="12693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Doron Breen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Partner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sectPr>
      </w:pPr>
    </w:p>
    <w:bookmarkStart w:id="10" w:name="page11"/>
    <w:bookmarkEnd w:id="10"/>
    <w:p>
      <w:pPr>
        <w:spacing w:after="0"/>
        <w:tabs>
          <w:tab w:leader="none" w:pos="1620" w:val="left"/>
        </w:tabs>
        <w:rPr>
          <w:sz w:val="20"/>
          <w:szCs w:val="20"/>
          <w:color w:val="auto"/>
        </w:rPr>
      </w:pPr>
      <w:r>
        <w:rPr>
          <w:rFonts w:ascii="Arial" w:cs="Arial" w:eastAsia="Arial" w:hAnsi="Arial"/>
          <w:sz w:val="22"/>
          <w:szCs w:val="22"/>
          <w:b w:val="1"/>
          <w:bCs w:val="1"/>
          <w:color w:val="auto"/>
        </w:rPr>
        <w:t>EXHIBIT NO.</w:t>
      </w:r>
      <w:r>
        <w:rPr>
          <w:sz w:val="20"/>
          <w:szCs w:val="20"/>
          <w:color w:val="auto"/>
        </w:rPr>
        <w:tab/>
      </w:r>
      <w:r>
        <w:rPr>
          <w:rFonts w:ascii="Arial" w:cs="Arial" w:eastAsia="Arial" w:hAnsi="Arial"/>
          <w:sz w:val="21"/>
          <w:szCs w:val="21"/>
          <w:b w:val="1"/>
          <w:bCs w:val="1"/>
          <w:color w:val="auto"/>
        </w:rPr>
        <w:t>DESCRIPTION</w:t>
      </w:r>
    </w:p>
    <w:p>
      <w:pPr>
        <w:spacing w:after="0" w:line="287" w:lineRule="exact"/>
        <w:rPr>
          <w:sz w:val="20"/>
          <w:szCs w:val="20"/>
          <w:color w:val="auto"/>
        </w:rPr>
      </w:pPr>
    </w:p>
    <w:p>
      <w:pPr>
        <w:ind w:left="1020" w:hanging="1012"/>
        <w:spacing w:after="0" w:line="277" w:lineRule="auto"/>
        <w:tabs>
          <w:tab w:leader="none" w:pos="10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Joint Filing Agreement by and among the Reporting Persons, dated as of June 22, 2016 (incorporated herein by reference to Exhibit 1 to the Schedule 13G filed on June 22, 2016).</w:t>
      </w: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sectPr>
      <w:pgSz w:w="11900" w:h="16838" w:orient="portrait"/>
      <w:cols w:equalWidth="0" w:num="1">
        <w:col w:w="11100"/>
      </w:cols>
      <w:pgMar w:left="240" w:top="39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2"/>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lowerLetter"/>
      <w:start w:val="3"/>
    </w:lvl>
  </w:abstractNum>
  <w:abstractNum w:abstractNumId="14">
    <w:nsid w:val="7C83E458"/>
    <w:multiLevelType w:val="hybridMultilevel"/>
    <w:lvl w:ilvl="0">
      <w:lvlJc w:val="left"/>
      <w:lvlText w:val="(%1)"/>
      <w:numFmt w:val="lowerLetter"/>
      <w:start w:val="4"/>
    </w:lvl>
  </w:abstractNum>
  <w:abstractNum w:abstractNumId="15">
    <w:nsid w:val="257130A3"/>
    <w:multiLevelType w:val="hybridMultilevel"/>
    <w:lvl w:ilvl="0">
      <w:lvlJc w:val="left"/>
      <w:lvlText w:val="(%1)"/>
      <w:numFmt w:val="lowerLetter"/>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lowerLetter"/>
      <w:start w:val="3"/>
    </w:lvl>
    <w:lvl w:ilvl="1">
      <w:lvlJc w:val="left"/>
      <w:lvlText w:val="(%2)"/>
      <w:numFmt w:val="lowerLetter"/>
      <w:start w:val="9"/>
    </w:lvl>
  </w:abstractNum>
  <w:abstractNum w:abstractNumId="20">
    <w:nsid w:val="721DA317"/>
    <w:multiLevelType w:val="hybridMultilevel"/>
    <w:lvl w:ilvl="0">
      <w:lvlJc w:val="left"/>
      <w:lvlText w:val="(%1)"/>
      <w:numFmt w:val="lowerRoman"/>
      <w:start w:val="2"/>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2020-02-11T11:14:40Z</dcterms:created>
  <dcterms:modified xsi:type="dcterms:W3CDTF">2020-02-11T11:14:40Z</dcterms:modified>
</cp:coreProperties>
</file>