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1551940"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51940" cy="737235"/>
                    </a:xfrm>
                    <a:prstGeom prst="rect">
                      <a:avLst/>
                    </a:prstGeom>
                    <a:noFill/>
                  </pic:spPr>
                </pic:pic>
              </a:graphicData>
            </a:graphic>
          </wp:anchor>
        </w:drawing>
      </w:r>
    </w:p>
    <w:p>
      <w:pPr>
        <w:spacing w:after="0" w:line="241"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May 4, 2016</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VistaGen Therapeutics, Inc.</w:t>
      </w:r>
    </w:p>
    <w:p>
      <w:pPr>
        <w:spacing w:after="0" w:line="27"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(File No. 333-210152)</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4"/>
          <w:szCs w:val="24"/>
          <w:color w:val="auto"/>
        </w:rPr>
      </w:pPr>
    </w:p>
    <w:p>
      <w:pPr>
        <w:jc w:val="both"/>
        <w:spacing w:after="0" w:line="279" w:lineRule="auto"/>
        <w:rPr>
          <w:sz w:val="20"/>
          <w:szCs w:val="20"/>
          <w:color w:val="auto"/>
        </w:rPr>
      </w:pPr>
      <w:r>
        <w:rPr>
          <w:rFonts w:ascii="Arial" w:cs="Arial" w:eastAsia="Arial" w:hAnsi="Arial"/>
          <w:sz w:val="17"/>
          <w:szCs w:val="17"/>
          <w:color w:val="auto"/>
        </w:rPr>
        <w:t>VistaGen Therapeutics, Inc. (the “</w:t>
      </w:r>
      <w:r>
        <w:rPr>
          <w:rFonts w:ascii="Arial" w:cs="Arial" w:eastAsia="Arial" w:hAnsi="Arial"/>
          <w:sz w:val="17"/>
          <w:szCs w:val="17"/>
          <w:i w:val="1"/>
          <w:iCs w:val="1"/>
          <w:color w:val="auto"/>
        </w:rPr>
        <w:t>Company</w:t>
      </w:r>
      <w:r>
        <w:rPr>
          <w:rFonts w:ascii="Arial" w:cs="Arial" w:eastAsia="Arial" w:hAnsi="Arial"/>
          <w:sz w:val="17"/>
          <w:szCs w:val="17"/>
          <w:color w:val="auto"/>
        </w:rPr>
        <w:t>”) hereby requests acceleration of the effectiveness of the Registration Statement on Form S-1 (File No. 333-210152) (the “</w:t>
      </w:r>
      <w:r>
        <w:rPr>
          <w:rFonts w:ascii="Arial" w:cs="Arial" w:eastAsia="Arial" w:hAnsi="Arial"/>
          <w:sz w:val="17"/>
          <w:szCs w:val="17"/>
          <w:i w:val="1"/>
          <w:iCs w:val="1"/>
          <w:color w:val="auto"/>
        </w:rPr>
        <w:t>Registration Statement</w:t>
      </w:r>
      <w:r>
        <w:rPr>
          <w:rFonts w:ascii="Arial" w:cs="Arial" w:eastAsia="Arial" w:hAnsi="Arial"/>
          <w:sz w:val="17"/>
          <w:szCs w:val="17"/>
          <w:color w:val="auto"/>
        </w:rPr>
        <w:t>”) to 5:00 PM, Washington D.C. time, on May 5, 2016, or as soon as is practicable thereafter. The undersigned confirms that it is aware of its responsibilities under the Securities Act of 1933, as amended, and the Securities Exchange Act of 1934, as amended, as they relate to the proposed public offering of the securities registered pursuant to the aforementioned Registration Statement.</w:t>
      </w:r>
    </w:p>
    <w:p>
      <w:pPr>
        <w:spacing w:after="0" w:line="19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Company acknowledges that the adequacy and accuracy of the disclosure in the Registration Statement is the responsibility of the Company. The Company further acknowledges that:</w:t>
      </w:r>
    </w:p>
    <w:p>
      <w:pPr>
        <w:spacing w:after="0" w:line="197" w:lineRule="exact"/>
        <w:rPr>
          <w:sz w:val="24"/>
          <w:szCs w:val="24"/>
          <w:color w:val="auto"/>
        </w:rPr>
      </w:pPr>
    </w:p>
    <w:p>
      <w:pPr>
        <w:ind w:left="1460" w:hanging="759"/>
        <w:spacing w:after="0" w:line="277" w:lineRule="auto"/>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Registration Statement effective, it does not foreclose the Commission from taking any action with respect to the Registration Statement;</w:t>
      </w:r>
    </w:p>
    <w:p>
      <w:pPr>
        <w:spacing w:after="0" w:line="170" w:lineRule="exact"/>
        <w:rPr>
          <w:rFonts w:ascii="Arial" w:cs="Arial" w:eastAsia="Arial" w:hAnsi="Arial"/>
          <w:sz w:val="18"/>
          <w:szCs w:val="18"/>
          <w:color w:val="auto"/>
        </w:rPr>
      </w:pPr>
    </w:p>
    <w:p>
      <w:pPr>
        <w:ind w:left="1460" w:hanging="759"/>
        <w:spacing w:after="0" w:line="342" w:lineRule="auto"/>
        <w:tabs>
          <w:tab w:leader="none" w:pos="1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action of the Commission or the staff, acting pursuant to delegated authority, in declaring the Registration Statement effective, does not relieve the Company from its full responsibility for the adequacy and accuracy of the disclosure in the Registration Statement; and</w:t>
      </w:r>
    </w:p>
    <w:p>
      <w:pPr>
        <w:spacing w:after="0" w:line="123" w:lineRule="exact"/>
        <w:rPr>
          <w:rFonts w:ascii="Arial" w:cs="Arial" w:eastAsia="Arial" w:hAnsi="Arial"/>
          <w:sz w:val="16"/>
          <w:szCs w:val="16"/>
          <w:color w:val="auto"/>
        </w:rPr>
      </w:pPr>
    </w:p>
    <w:p>
      <w:pPr>
        <w:ind w:left="1460" w:hanging="759"/>
        <w:spacing w:after="0" w:line="277" w:lineRule="auto"/>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9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Upon grant of our request to accelerate effectiveness, we would appreciate your communicating with the Company’s counsel, Daniel W. Rumsey, via telephone at (619) 795-1134, to confirm the exact time at which the Registration Statement was declared effective.</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Shawn K. Singh</w:t>
      </w:r>
    </w:p>
    <w:p>
      <w:pPr>
        <w:spacing w:after="0" w:line="9"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right="8960" w:firstLine="8"/>
        <w:spacing w:after="0" w:line="258" w:lineRule="auto"/>
        <w:tabs>
          <w:tab w:leader="none" w:pos="705" w:val="left"/>
        </w:tabs>
        <w:numPr>
          <w:ilvl w:val="0"/>
          <w:numId w:val="2"/>
        </w:numPr>
        <w:rPr>
          <w:rFonts w:ascii="Arial" w:cs="Arial" w:eastAsia="Arial" w:hAnsi="Arial"/>
          <w:sz w:val="18"/>
          <w:szCs w:val="18"/>
          <w:color w:val="auto"/>
        </w:rPr>
      </w:pPr>
      <w:r>
        <w:rPr>
          <w:rFonts w:ascii="Arial" w:cs="Arial" w:eastAsia="Arial" w:hAnsi="Arial"/>
          <w:sz w:val="18"/>
          <w:szCs w:val="18"/>
          <w:color w:val="auto"/>
        </w:rPr>
        <w:t>Daniel W. Rumsey, Esq. Managing Partner</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Disclosure Law Group, a Professional Corporation</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2020-01-20T10:58:31Z</dcterms:created>
  <dcterms:modified xsi:type="dcterms:W3CDTF">2020-01-20T10:58:31Z</dcterms:modified>
</cp:coreProperties>
</file>