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STEMPOINT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1,593,428.00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1,790,182.00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1,790,182.00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47" w:orient="portrait"/>
          <w:cols w:equalWidth="0" w:num="2">
            <w:col w:w="1100" w:space="60"/>
            <w:col w:w="9880"/>
          </w:cols>
          <w:pgMar w:left="320" w:top="111" w:right="53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Comments: ITEM 5, Sole Voting Power includes 616,749 warrants beneficially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owned by the reporting person. ITEM 7, Sole Dispositive Power includes 616,749 warrants beneficially owned by the reporting person.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STEMPOINT CAPITAL MANAGEMENT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1,593,428.00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1,790,182.00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1,790,182.00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47" w:orient="portrait"/>
          <w:cols w:equalWidth="0" w:num="1">
            <w:col w:w="11040"/>
          </w:cols>
          <w:pgMar w:left="320" w:top="111" w:right="5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6.5 %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Comments: ITEM 5, Sole Voting Power includes 616,749 warrants beneficially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owned by the reporting person. ITEM 7, Sole Dispositive Power includes 616,749 warrants beneficially owned by the reporting person.</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92840H400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MICHELLE ROSS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40"/>
          </w:cols>
          <w:pgMar w:left="320" w:top="612" w:right="539" w:bottom="524"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1,593,428.00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1,790,182.00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1,790,182.00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9880"/>
          </w:cols>
          <w:pgMar w:left="320" w:top="612" w:right="539" w:bottom="524"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Comments: ITEM 5, Sole Voting Power includes 616,749 warrants beneficially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owned by the reporting person. ITEM 7, Sole Dispositive Power includes 616,749 warrants beneficially owned by the reporting person.</w:t>
      </w:r>
    </w:p>
    <w:p>
      <w:pPr>
        <w:sectPr>
          <w:pgSz w:w="11900" w:h="16838" w:orient="portrait"/>
          <w:cols w:equalWidth="0" w:num="1">
            <w:col w:w="11040"/>
          </w:cols>
          <w:pgMar w:left="320" w:top="612" w:right="539" w:bottom="524"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060"/>
          </w:cols>
          <w:pgMar w:left="360" w:top="110" w:right="479" w:bottom="0" w:gutter="0" w:footer="0" w:header="0"/>
        </w:sect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Vistagen Therapeutics,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343 ALLERTON AVENUE, SOUTH SAN FRANCISCO, CALIFORNIA, 94080.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This filing is being jointly filed by StemPoint Capital, LP, StemPoint Capital Management GP, LLC and Michelle Ross (the "Reporting Persons").</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business address of each Reporting Person is: 520 Madison Ave 19th Floor New York, NY 10022</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38" w:orient="portrait"/>
          <w:cols w:equalWidth="0" w:num="2">
            <w:col w:w="620" w:space="300"/>
            <w:col w:w="10140"/>
          </w:cols>
          <w:pgMar w:left="360" w:top="110" w:right="479" w:bottom="0" w:gutter="0" w:footer="0" w:header="0"/>
          <w:type w:val="continuous"/>
        </w:sectPr>
      </w:pPr>
    </w:p>
    <w:p>
      <w:pPr>
        <w:spacing w:after="0" w:line="33" w:lineRule="exact"/>
        <w:rPr>
          <w:sz w:val="20"/>
          <w:szCs w:val="20"/>
          <w:color w:val="auto"/>
        </w:rPr>
      </w:pPr>
    </w:p>
    <w:p>
      <w:pPr>
        <w:ind w:left="920" w:right="10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StemPoint Capital, LP is a limited partnership organized under the laws of the State of Delaware. StemPoint Capital Management GP, LLC is a limited liability company organized under the laws of the State of Delaware. Michelle Ross is a citizen of the United States of America.</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92840H400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0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20" w:hanging="912"/>
        <w:spacing w:after="0" w:line="244"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Items 5-9 of each cover page are incorporated by reference. Each Reporting Person may be deemed to be the beneficial owner of 1,790,182 Shares, which amount consists of 1,173,433 of Shares and 616,749 Shares issuable upon the exercise of Warrants.</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Reporting Person may be deemed to beneficially own 6.5% of the Shares, which is calculated based on</w:t>
      </w:r>
    </w:p>
    <w:p>
      <w:pPr>
        <w:spacing w:after="0" w:line="14" w:lineRule="exact"/>
        <w:rPr>
          <w:rFonts w:ascii="Times New Roman" w:cs="Times New Roman" w:eastAsia="Times New Roman" w:hAnsi="Times New Roman"/>
          <w:sz w:val="22"/>
          <w:szCs w:val="22"/>
          <w:color w:val="auto"/>
        </w:rPr>
      </w:pPr>
    </w:p>
    <w:p>
      <w:pPr>
        <w:ind w:left="920" w:hanging="912"/>
        <w:spacing w:after="0" w:line="193" w:lineRule="auto"/>
        <w:tabs>
          <w:tab w:leader="none" w:pos="920" w:val="left"/>
        </w:tabs>
        <w:numPr>
          <w:ilvl w:val="0"/>
          <w:numId w:val="9"/>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27,023,038 Shares outstanding as of September 30, 2023, as reported in the Issuer's quarterly report on Form 10-Q for the quarterly period ended September 30, 2023 filed with the SEC on November 9, 2023, plus the total number of Shares that the Reporting Persons have the right to acquire upon exercise of Warrants, subject to the Beneficial Ownership Limitation, which amount has been added to the shares outstanding in accordance with Rule 13d-3(d)(i)</w:t>
      </w:r>
    </w:p>
    <w:p>
      <w:pPr>
        <w:spacing w:after="0" w:line="1" w:lineRule="exact"/>
        <w:rPr>
          <w:rFonts w:ascii="Times New Roman" w:cs="Times New Roman" w:eastAsia="Times New Roman" w:hAnsi="Times New Roman"/>
          <w:sz w:val="42"/>
          <w:szCs w:val="42"/>
          <w:color w:val="auto"/>
          <w:vertAlign w:val="subscript"/>
        </w:rPr>
      </w:pPr>
    </w:p>
    <w:p>
      <w:pPr>
        <w:ind w:left="920"/>
        <w:spacing w:after="0"/>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2"/>
          <w:szCs w:val="22"/>
          <w:color w:val="auto"/>
        </w:rPr>
        <w:t>(1) under the Act. %</w:t>
      </w:r>
    </w:p>
    <w:p>
      <w:pPr>
        <w:spacing w:after="0" w:line="20"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60"/>
          </w:cols>
          <w:pgMar w:left="360" w:top="110" w:right="47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Times New Roman" w:cs="Times New Roman" w:eastAsia="Times New Roman" w:hAnsi="Times New Roman"/>
          <w:sz w:val="22"/>
          <w:szCs w:val="22"/>
          <w:color w:val="auto"/>
        </w:rPr>
        <w:t>Sole power to vote or direct the vote: 1,593,428 Comment: Sole Voting Power includes 616,749 warrants beneficially owned by the Reporting Persons</w:t>
      </w:r>
    </w:p>
    <w:p>
      <w:pPr>
        <w:spacing w:after="0" w:line="238" w:lineRule="exact"/>
        <w:rPr>
          <w:sz w:val="20"/>
          <w:szCs w:val="20"/>
          <w:color w:val="auto"/>
        </w:rPr>
      </w:pPr>
    </w:p>
    <w:p>
      <w:pPr>
        <w:ind w:right="6240" w:firstLine="6"/>
        <w:spacing w:after="0" w:line="509" w:lineRule="auto"/>
        <w:tabs>
          <w:tab w:leader="none" w:pos="318"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Shared power to vote or direct the vote: -0-</w:t>
      </w:r>
    </w:p>
    <w:p>
      <w:pPr>
        <w:spacing w:after="0" w:line="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Sole power to dispose or direct the disposition of: 1,790,182 Comment: Sole Dispositive Power includes 616,749 warrants beneficially owned by the Reporting Persons.</w:t>
      </w:r>
    </w:p>
    <w:p>
      <w:pPr>
        <w:spacing w:after="0" w:line="239" w:lineRule="exact"/>
        <w:rPr>
          <w:sz w:val="20"/>
          <w:szCs w:val="20"/>
          <w:color w:val="auto"/>
        </w:rPr>
      </w:pPr>
    </w:p>
    <w:p>
      <w:pPr>
        <w:ind w:right="5120" w:firstLine="6"/>
        <w:spacing w:after="0" w:line="500"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Shared power to dispose or direct the disposition of: -0-Ownership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289"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STEMPOINT CAPITAL LP</w:t>
      </w:r>
    </w:p>
    <w:p>
      <w:pPr>
        <w:spacing w:after="0" w:line="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19"/>
          <w:szCs w:val="19"/>
          <w:color w:val="auto"/>
        </w:rPr>
        <w:t>STEMPOINT</w:t>
      </w:r>
      <w:r>
        <w:rPr>
          <w:rFonts w:ascii="Times New Roman" w:cs="Times New Roman" w:eastAsia="Times New Roman" w:hAnsi="Times New Roman"/>
          <w:sz w:val="37"/>
          <w:szCs w:val="37"/>
          <w:color w:val="auto"/>
          <w:vertAlign w:val="subscript"/>
        </w:rPr>
        <w:t>LLC</w:t>
      </w:r>
      <w:r>
        <w:rPr>
          <w:rFonts w:ascii="Times New Roman" w:cs="Times New Roman" w:eastAsia="Times New Roman" w:hAnsi="Times New Roman"/>
          <w:sz w:val="19"/>
          <w:szCs w:val="19"/>
          <w:color w:val="auto"/>
        </w:rPr>
        <w:t xml:space="preserve"> CAPITAL MANAGEMENT GP</w:t>
      </w:r>
    </w:p>
    <w:p>
      <w:pPr>
        <w:spacing w:after="0" w:line="16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ITS GENERAL PARTNER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02/12/2024</w:t>
      </w:r>
    </w:p>
    <w:p>
      <w:pPr>
        <w:spacing w:after="0" w:line="152"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SEAN C. TAN</w:t>
      </w:r>
    </w:p>
    <w:p>
      <w:pPr>
        <w:spacing w:after="0" w:line="4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02/12/2024</w:t>
      </w:r>
    </w:p>
    <w:p>
      <w:pPr>
        <w:spacing w:after="0" w:line="15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2"/>
          <w:szCs w:val="22"/>
          <w:color w:val="auto"/>
        </w:rPr>
        <w:t>STEMPOINT CAPITAL MANAGEMENT GP LLC</w:t>
      </w:r>
    </w:p>
    <w:p>
      <w:pPr>
        <w:spacing w:after="0" w:line="152"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SEAN C. TAN</w:t>
      </w:r>
    </w:p>
    <w:p>
      <w:pPr>
        <w:spacing w:after="0" w:line="4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02/12/2024</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MICHELLE ROSS</w:t>
      </w:r>
    </w:p>
    <w:p>
      <w:pPr>
        <w:spacing w:after="0" w:line="152"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MICHELLE ROSS</w:t>
      </w:r>
    </w:p>
    <w:p>
      <w:pPr>
        <w:spacing w:after="0" w:line="4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Name/Title: MANAGING PARTNER</w:t>
      </w:r>
    </w:p>
    <w:p>
      <w:pPr>
        <w:spacing w:after="0" w:line="44" w:lineRule="exact"/>
        <w:rPr>
          <w:sz w:val="20"/>
          <w:szCs w:val="20"/>
          <w:color w:val="auto"/>
        </w:rPr>
      </w:pPr>
    </w:p>
    <w:p>
      <w:pPr>
        <w:ind w:left="350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02/12/2024</w:t>
      </w:r>
    </w:p>
    <w:sectPr>
      <w:pgSz w:w="11900" w:h="16838" w:orient="portrait"/>
      <w:cols w:equalWidth="0" w:num="1">
        <w:col w:w="11140"/>
      </w:cols>
      <w:pgMar w:left="360" w:top="112" w:right="399" w:bottom="28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1)"/>
      <w:numFmt w:val="lowerLetter"/>
      <w:start w:val="3"/>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2024-03-19T15:23:01Z</dcterms:created>
  <dcterms:modified xsi:type="dcterms:W3CDTF">2024-03-19T15:23:01Z</dcterms:modified>
</cp:coreProperties>
</file>