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-233680</wp:posOffset>
            </wp:positionV>
            <wp:extent cx="130810" cy="1308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810" cy="13081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4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7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5266690</wp:posOffset>
            </wp:positionH>
            <wp:positionV relativeFrom="paragraph">
              <wp:posOffset>-626110</wp:posOffset>
            </wp:positionV>
            <wp:extent cx="58420" cy="6394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3980815</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-1635760</wp:posOffset>
            </wp:positionH>
            <wp:positionV relativeFrom="paragraph">
              <wp:posOffset>23495</wp:posOffset>
            </wp:positionV>
            <wp:extent cx="7046595" cy="49218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6595" cy="4921885"/>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60" w:space="300"/>
            <w:col w:w="8520"/>
          </w:cols>
          <w:pgMar w:left="460" w:top="217" w:right="35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Curley Joanne</w:t>
        </w:r>
      </w:hyperlink>
    </w:p>
    <w:p>
      <w:pPr>
        <w:spacing w:after="0" w:line="291" w:lineRule="exact"/>
        <w:rPr>
          <w:sz w:val="24"/>
          <w:szCs w:val="24"/>
          <w:color w:val="auto"/>
        </w:rPr>
      </w:pPr>
    </w:p>
    <w:tbl>
      <w:tblPr>
        <w:tblLayout w:type="fixed"/>
        <w:tblInd w:w="80" w:type="dxa"/>
        <w:tblCellMar>
          <w:top w:w="0" w:type="dxa"/>
          <w:left w:w="0" w:type="dxa"/>
          <w:bottom w:w="0" w:type="dxa"/>
          <w:right w:w="0" w:type="dxa"/>
        </w:tblCellMar>
      </w:tblPr>
      <w:tr>
        <w:trPr>
          <w:trHeight w:val="169"/>
        </w:trPr>
        <w:tc>
          <w:tcPr>
            <w:tcW w:w="20" w:type="dxa"/>
            <w:vAlign w:val="bottom"/>
          </w:tcPr>
          <w:p>
            <w:pPr>
              <w:spacing w:after="0"/>
              <w:rPr>
                <w:sz w:val="14"/>
                <w:szCs w:val="14"/>
                <w:color w:val="auto"/>
              </w:rPr>
            </w:pPr>
          </w:p>
        </w:tc>
        <w:tc>
          <w:tcPr>
            <w:tcW w:w="1100" w:type="dxa"/>
            <w:vAlign w:val="bottom"/>
          </w:tcPr>
          <w:p>
            <w:pPr>
              <w:ind w:left="20"/>
              <w:spacing w:after="0"/>
              <w:rPr>
                <w:sz w:val="20"/>
                <w:szCs w:val="20"/>
                <w:color w:val="auto"/>
              </w:rPr>
            </w:pPr>
            <w:r>
              <w:rPr>
                <w:rFonts w:ascii="Arial" w:cs="Arial" w:eastAsia="Arial" w:hAnsi="Arial"/>
                <w:sz w:val="13"/>
                <w:szCs w:val="13"/>
                <w:color w:val="auto"/>
              </w:rPr>
              <w:t>(Last)</w:t>
            </w:r>
          </w:p>
        </w:tc>
        <w:tc>
          <w:tcPr>
            <w:tcW w:w="1080" w:type="dxa"/>
            <w:vAlign w:val="bottom"/>
          </w:tcPr>
          <w:p>
            <w:pPr>
              <w:ind w:left="140"/>
              <w:spacing w:after="0"/>
              <w:rPr>
                <w:sz w:val="20"/>
                <w:szCs w:val="20"/>
                <w:color w:val="auto"/>
              </w:rPr>
            </w:pPr>
            <w:r>
              <w:rPr>
                <w:rFonts w:ascii="Arial" w:cs="Arial" w:eastAsia="Arial" w:hAnsi="Arial"/>
                <w:sz w:val="13"/>
                <w:szCs w:val="13"/>
                <w:color w:val="auto"/>
              </w:rPr>
              <w:t>(First)</w:t>
            </w:r>
          </w:p>
        </w:tc>
        <w:tc>
          <w:tcPr>
            <w:tcW w:w="1480" w:type="dxa"/>
            <w:vAlign w:val="bottom"/>
          </w:tcPr>
          <w:p>
            <w:pPr>
              <w:ind w:left="280"/>
              <w:spacing w:after="0"/>
              <w:rPr>
                <w:sz w:val="20"/>
                <w:szCs w:val="20"/>
                <w:color w:val="auto"/>
              </w:rPr>
            </w:pPr>
            <w:r>
              <w:rPr>
                <w:rFonts w:ascii="Arial" w:cs="Arial" w:eastAsia="Arial" w:hAnsi="Arial"/>
                <w:sz w:val="13"/>
                <w:szCs w:val="13"/>
                <w:color w:val="auto"/>
              </w:rPr>
              <w:t>(Middle)</w:t>
            </w: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366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0000FF"/>
              </w:rPr>
              <w:t>C/O VISTAGEN THERAPEUTICS, INC.</w:t>
            </w: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1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343 ALLERTON AVENUE</w:t>
            </w:r>
          </w:p>
        </w:tc>
        <w:tc>
          <w:tcPr>
            <w:tcW w:w="14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0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1480" w:type="dxa"/>
            <w:vAlign w:val="bottom"/>
            <w:tcBorders>
              <w:bottom w:val="single" w:sz="8" w:color="9A9A9A"/>
            </w:tcBorders>
          </w:tcPr>
          <w:p>
            <w:pPr>
              <w:spacing w:after="0"/>
              <w:rPr>
                <w:sz w:val="12"/>
                <w:szCs w:val="12"/>
                <w:color w:val="auto"/>
              </w:rPr>
            </w:pPr>
          </w:p>
        </w:tc>
        <w:tc>
          <w:tcPr>
            <w:tcW w:w="0" w:type="dxa"/>
            <w:vAlign w:val="bottom"/>
          </w:tcPr>
          <w:p>
            <w:pPr>
              <w:spacing w:after="0"/>
              <w:rPr>
                <w:sz w:val="1"/>
                <w:szCs w:val="1"/>
                <w:color w:val="auto"/>
              </w:rPr>
            </w:pPr>
          </w:p>
        </w:tc>
      </w:tr>
      <w:tr>
        <w:trPr>
          <w:trHeight w:val="259"/>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8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110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SOUTH SAN</w:t>
            </w:r>
          </w:p>
        </w:tc>
        <w:tc>
          <w:tcPr>
            <w:tcW w:w="108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CA</w:t>
            </w:r>
          </w:p>
        </w:tc>
        <w:tc>
          <w:tcPr>
            <w:tcW w:w="1480" w:type="dxa"/>
            <w:vAlign w:val="bottom"/>
            <w:vMerge w:val="restart"/>
          </w:tcPr>
          <w:p>
            <w:pPr>
              <w:ind w:left="280"/>
              <w:spacing w:after="0"/>
              <w:rPr>
                <w:sz w:val="20"/>
                <w:szCs w:val="20"/>
                <w:color w:val="auto"/>
              </w:rPr>
            </w:pPr>
            <w:r>
              <w:rPr>
                <w:rFonts w:ascii="Times New Roman" w:cs="Times New Roman" w:eastAsia="Times New Roman" w:hAnsi="Times New Roman"/>
                <w:sz w:val="17"/>
                <w:szCs w:val="17"/>
                <w:color w:val="0000FF"/>
              </w:rPr>
              <w:t>94080</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10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FRANCISCO</w:t>
            </w:r>
          </w:p>
        </w:tc>
        <w:tc>
          <w:tcPr>
            <w:tcW w:w="1080" w:type="dxa"/>
            <w:vAlign w:val="bottom"/>
            <w:vMerge w:val="continue"/>
          </w:tcPr>
          <w:p>
            <w:pPr>
              <w:spacing w:after="0"/>
              <w:rPr>
                <w:sz w:val="9"/>
                <w:szCs w:val="9"/>
                <w:color w:val="auto"/>
              </w:rPr>
            </w:pPr>
          </w:p>
        </w:tc>
        <w:tc>
          <w:tcPr>
            <w:tcW w:w="14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1100" w:type="dxa"/>
            <w:vAlign w:val="bottom"/>
            <w:vMerge w:val="continue"/>
          </w:tcPr>
          <w:p>
            <w:pPr>
              <w:spacing w:after="0"/>
              <w:rPr>
                <w:sz w:val="8"/>
                <w:szCs w:val="8"/>
                <w:color w:val="auto"/>
              </w:rPr>
            </w:pPr>
          </w:p>
        </w:tc>
        <w:tc>
          <w:tcPr>
            <w:tcW w:w="1080" w:type="dxa"/>
            <w:vAlign w:val="bottom"/>
          </w:tcPr>
          <w:p>
            <w:pPr>
              <w:spacing w:after="0"/>
              <w:rPr>
                <w:sz w:val="8"/>
                <w:szCs w:val="8"/>
                <w:color w:val="auto"/>
              </w:rPr>
            </w:pPr>
          </w:p>
        </w:tc>
        <w:tc>
          <w:tcPr>
            <w:tcW w:w="14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0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1480" w:type="dxa"/>
            <w:vAlign w:val="bottom"/>
            <w:tcBorders>
              <w:bottom w:val="single" w:sz="8" w:color="9A9A9A"/>
            </w:tcBorders>
          </w:tcPr>
          <w:p>
            <w:pPr>
              <w:spacing w:after="0"/>
              <w:rPr>
                <w:sz w:val="12"/>
                <w:szCs w:val="12"/>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1100" w:type="dxa"/>
            <w:vAlign w:val="bottom"/>
          </w:tcPr>
          <w:p>
            <w:pPr>
              <w:ind w:left="20"/>
              <w:spacing w:after="0"/>
              <w:rPr>
                <w:sz w:val="20"/>
                <w:szCs w:val="20"/>
                <w:color w:val="auto"/>
              </w:rPr>
            </w:pPr>
            <w:r>
              <w:rPr>
                <w:rFonts w:ascii="Arial" w:cs="Arial" w:eastAsia="Arial" w:hAnsi="Arial"/>
                <w:sz w:val="13"/>
                <w:szCs w:val="13"/>
                <w:color w:val="auto"/>
              </w:rPr>
              <w:t>(City)</w:t>
            </w:r>
          </w:p>
        </w:tc>
        <w:tc>
          <w:tcPr>
            <w:tcW w:w="1080" w:type="dxa"/>
            <w:vAlign w:val="bottom"/>
          </w:tcPr>
          <w:p>
            <w:pPr>
              <w:ind w:left="140"/>
              <w:spacing w:after="0"/>
              <w:rPr>
                <w:sz w:val="20"/>
                <w:szCs w:val="20"/>
                <w:color w:val="auto"/>
              </w:rPr>
            </w:pPr>
            <w:r>
              <w:rPr>
                <w:rFonts w:ascii="Arial" w:cs="Arial" w:eastAsia="Arial" w:hAnsi="Arial"/>
                <w:sz w:val="13"/>
                <w:szCs w:val="13"/>
                <w:color w:val="auto"/>
              </w:rPr>
              <w:t>(State)</w:t>
            </w:r>
          </w:p>
        </w:tc>
        <w:tc>
          <w:tcPr>
            <w:tcW w:w="1480" w:type="dxa"/>
            <w:vAlign w:val="bottom"/>
          </w:tcPr>
          <w:p>
            <w:pPr>
              <w:ind w:left="28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1"/>
        </w:trPr>
        <w:tc>
          <w:tcPr>
            <w:tcW w:w="80" w:type="dxa"/>
            <w:vAlign w:val="bottom"/>
          </w:tcPr>
          <w:p>
            <w:pPr>
              <w:spacing w:after="0"/>
              <w:rPr>
                <w:sz w:val="12"/>
                <w:szCs w:val="12"/>
                <w:color w:val="auto"/>
              </w:rPr>
            </w:pPr>
          </w:p>
        </w:tc>
        <w:tc>
          <w:tcPr>
            <w:tcW w:w="3760" w:type="dxa"/>
            <w:vAlign w:val="bottom"/>
            <w:gridSpan w:val="3"/>
          </w:tcPr>
          <w:p>
            <w:pPr>
              <w:spacing w:after="0" w:line="142"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Vistagen Therapeutics,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VTGN</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4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120" w:type="dxa"/>
            <w:vAlign w:val="bottom"/>
          </w:tcPr>
          <w:p>
            <w:pPr>
              <w:spacing w:after="0"/>
              <w:rPr>
                <w:sz w:val="3"/>
                <w:szCs w:val="3"/>
                <w:color w:val="auto"/>
              </w:rPr>
            </w:pPr>
          </w:p>
        </w:tc>
        <w:tc>
          <w:tcPr>
            <w:tcW w:w="1520" w:type="dxa"/>
            <w:vAlign w:val="bottom"/>
          </w:tcPr>
          <w:p>
            <w:pPr>
              <w:spacing w:after="0"/>
              <w:rPr>
                <w:sz w:val="3"/>
                <w:szCs w:val="3"/>
                <w:color w:val="auto"/>
              </w:rPr>
            </w:pPr>
          </w:p>
        </w:tc>
        <w:tc>
          <w:tcPr>
            <w:tcW w:w="184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7"/>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120" w:type="dxa"/>
            <w:vAlign w:val="bottom"/>
            <w:tcBorders>
              <w:bottom w:val="single" w:sz="8" w:color="0000EE"/>
            </w:tcBorders>
          </w:tcPr>
          <w:p>
            <w:pPr>
              <w:spacing w:after="0"/>
              <w:rPr>
                <w:sz w:val="3"/>
                <w:szCs w:val="3"/>
                <w:color w:val="auto"/>
              </w:rPr>
            </w:pPr>
          </w:p>
        </w:tc>
        <w:tc>
          <w:tcPr>
            <w:tcW w:w="15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660" w:type="dxa"/>
            <w:vAlign w:val="bottom"/>
            <w:vMerge w:val="restart"/>
          </w:tcPr>
          <w:p>
            <w:pPr>
              <w:ind w:left="80"/>
              <w:spacing w:after="0" w:line="159" w:lineRule="exact"/>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2"/>
                <w:szCs w:val="12"/>
                <w:color w:val="000000"/>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8"/>
        </w:trPr>
        <w:tc>
          <w:tcPr>
            <w:tcW w:w="8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2120" w:type="dxa"/>
            <w:vAlign w:val="bottom"/>
            <w:tcBorders>
              <w:bottom w:val="single" w:sz="8" w:color="2C2C2C"/>
            </w:tcBorders>
          </w:tcPr>
          <w:p>
            <w:pPr>
              <w:spacing w:after="0"/>
              <w:rPr>
                <w:sz w:val="11"/>
                <w:szCs w:val="11"/>
                <w:color w:val="auto"/>
              </w:rPr>
            </w:pPr>
          </w:p>
        </w:tc>
        <w:tc>
          <w:tcPr>
            <w:tcW w:w="1520" w:type="dxa"/>
            <w:vAlign w:val="bottom"/>
            <w:tcBorders>
              <w:bottom w:val="single" w:sz="8" w:color="2C2C2C"/>
            </w:tcBorders>
          </w:tcPr>
          <w:p>
            <w:pPr>
              <w:spacing w:after="0"/>
              <w:rPr>
                <w:sz w:val="11"/>
                <w:szCs w:val="11"/>
                <w:color w:val="auto"/>
              </w:rPr>
            </w:pPr>
          </w:p>
        </w:tc>
        <w:tc>
          <w:tcPr>
            <w:tcW w:w="180" w:type="dxa"/>
            <w:vAlign w:val="bottom"/>
          </w:tcPr>
          <w:p>
            <w:pPr>
              <w:spacing w:after="0"/>
              <w:rPr>
                <w:sz w:val="11"/>
                <w:szCs w:val="11"/>
                <w:color w:val="auto"/>
              </w:rPr>
            </w:pPr>
          </w:p>
        </w:tc>
        <w:tc>
          <w:tcPr>
            <w:tcW w:w="166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93"/>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0" w:type="dxa"/>
            <w:vAlign w:val="bottom"/>
          </w:tcPr>
          <w:p>
            <w:pPr>
              <w:spacing w:after="0"/>
              <w:rPr>
                <w:sz w:val="16"/>
                <w:szCs w:val="16"/>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17"/>
        </w:trPr>
        <w:tc>
          <w:tcPr>
            <w:tcW w:w="232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03/04/2024</w:t>
            </w:r>
          </w:p>
        </w:tc>
        <w:tc>
          <w:tcPr>
            <w:tcW w:w="1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8"/>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2120" w:type="dxa"/>
            <w:vAlign w:val="bottom"/>
            <w:tcBorders>
              <w:bottom w:val="single" w:sz="8" w:color="2C2C2C"/>
            </w:tcBorders>
          </w:tcPr>
          <w:p>
            <w:pPr>
              <w:spacing w:after="0"/>
              <w:rPr>
                <w:sz w:val="8"/>
                <w:szCs w:val="8"/>
                <w:color w:val="auto"/>
              </w:rPr>
            </w:pPr>
          </w:p>
        </w:tc>
        <w:tc>
          <w:tcPr>
            <w:tcW w:w="1520" w:type="dxa"/>
            <w:vAlign w:val="bottom"/>
            <w:tcBorders>
              <w:bottom w:val="single" w:sz="8" w:color="2C2C2C"/>
            </w:tcBorders>
          </w:tcPr>
          <w:p>
            <w:pPr>
              <w:spacing w:after="0"/>
              <w:rPr>
                <w:sz w:val="8"/>
                <w:szCs w:val="8"/>
                <w:color w:val="auto"/>
              </w:rPr>
            </w:pPr>
          </w:p>
        </w:tc>
        <w:tc>
          <w:tcPr>
            <w:tcW w:w="18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193"/>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30" w:lineRule="auto"/>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0"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34"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11" w:lineRule="exact"/>
        <w:rPr>
          <w:sz w:val="24"/>
          <w:szCs w:val="24"/>
          <w:color w:val="auto"/>
        </w:rPr>
      </w:pPr>
    </w:p>
    <w:p>
      <w:pPr>
        <w:ind w:left="320" w:right="640"/>
        <w:spacing w:after="0" w:line="246"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93" w:lineRule="exact"/>
        <w:rPr>
          <w:sz w:val="24"/>
          <w:szCs w:val="24"/>
          <w:color w:val="auto"/>
        </w:rPr>
      </w:pPr>
    </w:p>
    <w:p>
      <w:pPr>
        <w:sectPr>
          <w:pgSz w:w="11900" w:h="16838" w:orient="portrait"/>
          <w:cols w:equalWidth="0" w:num="2">
            <w:col w:w="3760" w:space="80"/>
            <w:col w:w="724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6"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tcPr>
          <w:p>
            <w:pPr>
              <w:ind w:left="80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520" w:type="dxa"/>
            <w:vAlign w:val="bottom"/>
          </w:tcPr>
          <w:p>
            <w:pPr>
              <w:spacing w:after="0"/>
              <w:rPr>
                <w:sz w:val="11"/>
                <w:szCs w:val="11"/>
                <w:color w:val="auto"/>
              </w:rPr>
            </w:pPr>
          </w:p>
        </w:tc>
        <w:tc>
          <w:tcPr>
            <w:tcW w:w="182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52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29"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52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5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52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4"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4"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1"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5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Owned</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4)</w:t>
            </w: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Following</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Reported</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(Instr. 4)</w:t>
            </w: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41"/>
        </w:trPr>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Pr>
          <w:p>
            <w:pPr>
              <w:spacing w:after="0"/>
              <w:rPr>
                <w:sz w:val="3"/>
                <w:szCs w:val="3"/>
                <w:color w:val="auto"/>
              </w:rPr>
            </w:pPr>
          </w:p>
        </w:tc>
        <w:tc>
          <w:tcPr>
            <w:tcW w:w="9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60" w:type="dxa"/>
            <w:vAlign w:val="bottom"/>
          </w:tcPr>
          <w:p>
            <w:pPr>
              <w:spacing w:after="0"/>
              <w:rPr>
                <w:sz w:val="3"/>
                <w:szCs w:val="3"/>
                <w:color w:val="auto"/>
              </w:rPr>
            </w:pPr>
          </w:p>
        </w:tc>
      </w:tr>
      <w:tr>
        <w:trPr>
          <w:trHeight w:val="167"/>
        </w:trPr>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2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41"/>
        </w:trPr>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r>
      <w:tr>
        <w:trPr>
          <w:trHeight w:val="181"/>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93"/>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ind w:left="26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4.85</w:t>
            </w:r>
          </w:p>
        </w:tc>
        <w:tc>
          <w:tcPr>
            <w:tcW w:w="1080" w:type="dxa"/>
            <w:vAlign w:val="bottom"/>
          </w:tcPr>
          <w:p>
            <w:pPr>
              <w:jc w:val="right"/>
              <w:ind w:right="180"/>
              <w:spacing w:after="0"/>
              <w:rPr>
                <w:sz w:val="20"/>
                <w:szCs w:val="20"/>
                <w:color w:val="auto"/>
              </w:rPr>
            </w:pPr>
            <w:r>
              <w:rPr>
                <w:rFonts w:ascii="Times New Roman" w:cs="Times New Roman" w:eastAsia="Times New Roman" w:hAnsi="Times New Roman"/>
                <w:sz w:val="13"/>
                <w:szCs w:val="13"/>
                <w:color w:val="0000FF"/>
              </w:rPr>
              <w:t>03/04/2024</w:t>
            </w:r>
          </w:p>
        </w:tc>
        <w:tc>
          <w:tcPr>
            <w:tcW w:w="1100" w:type="dxa"/>
            <w:vAlign w:val="bottom"/>
          </w:tcPr>
          <w:p>
            <w:pPr>
              <w:spacing w:after="0"/>
              <w:rPr>
                <w:sz w:val="16"/>
                <w:szCs w:val="16"/>
                <w:color w:val="auto"/>
              </w:rPr>
            </w:pPr>
          </w:p>
        </w:tc>
        <w:tc>
          <w:tcPr>
            <w:tcW w:w="7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52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12,500</w:t>
            </w:r>
          </w:p>
        </w:tc>
        <w:tc>
          <w:tcPr>
            <w:tcW w:w="280" w:type="dxa"/>
            <w:vAlign w:val="bottom"/>
          </w:tcPr>
          <w:p>
            <w:pPr>
              <w:spacing w:after="0"/>
              <w:rPr>
                <w:sz w:val="16"/>
                <w:szCs w:val="16"/>
                <w:color w:val="auto"/>
              </w:rPr>
            </w:pPr>
          </w:p>
        </w:tc>
        <w:tc>
          <w:tcPr>
            <w:tcW w:w="800" w:type="dxa"/>
            <w:vAlign w:val="bottom"/>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72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03/04/2034</w:t>
            </w: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spacing w:after="0" w:line="194" w:lineRule="exact"/>
              <w:rPr>
                <w:sz w:val="20"/>
                <w:szCs w:val="20"/>
                <w:color w:val="auto"/>
              </w:rPr>
            </w:pPr>
            <w:r>
              <w:rPr>
                <w:rFonts w:ascii="Times New Roman" w:cs="Times New Roman" w:eastAsia="Times New Roman" w:hAnsi="Times New Roman"/>
                <w:sz w:val="17"/>
                <w:szCs w:val="17"/>
                <w:color w:val="0000FF"/>
              </w:rPr>
              <w:t>12,500</w:t>
            </w:r>
          </w:p>
        </w:tc>
        <w:tc>
          <w:tcPr>
            <w:tcW w:w="680" w:type="dxa"/>
            <w:vAlign w:val="bottom"/>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940" w:type="dxa"/>
            <w:vAlign w:val="bottom"/>
          </w:tcPr>
          <w:p>
            <w:pPr>
              <w:ind w:left="300"/>
              <w:spacing w:after="0"/>
              <w:rPr>
                <w:sz w:val="20"/>
                <w:szCs w:val="20"/>
                <w:color w:val="auto"/>
              </w:rPr>
            </w:pPr>
            <w:r>
              <w:rPr>
                <w:rFonts w:ascii="Times New Roman" w:cs="Times New Roman" w:eastAsia="Times New Roman" w:hAnsi="Times New Roman"/>
                <w:sz w:val="13"/>
                <w:szCs w:val="13"/>
                <w:color w:val="0000FF"/>
              </w:rPr>
              <w:t>12,500</w:t>
            </w:r>
          </w:p>
        </w:tc>
        <w:tc>
          <w:tcPr>
            <w:tcW w:w="72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16"/>
                <w:szCs w:val="16"/>
                <w:color w:val="auto"/>
              </w:rPr>
            </w:pPr>
          </w:p>
        </w:tc>
      </w:tr>
      <w:tr>
        <w:trPr>
          <w:trHeight w:val="104"/>
        </w:trPr>
        <w:tc>
          <w:tcPr>
            <w:tcW w:w="680" w:type="dxa"/>
            <w:vAlign w:val="bottom"/>
          </w:tcPr>
          <w:p>
            <w:pPr>
              <w:ind w:left="60"/>
              <w:spacing w:after="0" w:line="105" w:lineRule="exact"/>
              <w:rPr>
                <w:sz w:val="20"/>
                <w:szCs w:val="20"/>
                <w:color w:val="auto"/>
              </w:rPr>
            </w:pPr>
            <w:r>
              <w:rPr>
                <w:rFonts w:ascii="Times New Roman" w:cs="Times New Roman" w:eastAsia="Times New Roman" w:hAnsi="Times New Roman"/>
                <w:sz w:val="12"/>
                <w:szCs w:val="12"/>
                <w:color w:val="0000FF"/>
              </w:rPr>
              <w:t>(Right to</w:t>
            </w:r>
          </w:p>
        </w:tc>
        <w:tc>
          <w:tcPr>
            <w:tcW w:w="7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0" w:type="dxa"/>
            <w:vAlign w:val="bottom"/>
          </w:tcPr>
          <w:p>
            <w:pPr>
              <w:spacing w:after="0"/>
              <w:rPr>
                <w:sz w:val="9"/>
                <w:szCs w:val="9"/>
                <w:color w:val="auto"/>
              </w:rPr>
            </w:pPr>
          </w:p>
        </w:tc>
        <w:tc>
          <w:tcPr>
            <w:tcW w:w="720" w:type="dxa"/>
            <w:vAlign w:val="bottom"/>
          </w:tcPr>
          <w:p>
            <w:pPr>
              <w:spacing w:after="0"/>
              <w:rPr>
                <w:sz w:val="9"/>
                <w:szCs w:val="9"/>
                <w:color w:val="auto"/>
              </w:rPr>
            </w:pPr>
          </w:p>
        </w:tc>
        <w:tc>
          <w:tcPr>
            <w:tcW w:w="680" w:type="dxa"/>
            <w:vAlign w:val="bottom"/>
          </w:tcPr>
          <w:p>
            <w:pPr>
              <w:ind w:left="160"/>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540" w:type="dxa"/>
            <w:vAlign w:val="bottom"/>
          </w:tcPr>
          <w:p>
            <w:pPr>
              <w:spacing w:after="0"/>
              <w:rPr>
                <w:sz w:val="9"/>
                <w:szCs w:val="9"/>
                <w:color w:val="auto"/>
              </w:rPr>
            </w:pPr>
          </w:p>
        </w:tc>
        <w:tc>
          <w:tcPr>
            <w:tcW w:w="680" w:type="dxa"/>
            <w:vAlign w:val="bottom"/>
          </w:tcPr>
          <w:p>
            <w:pPr>
              <w:spacing w:after="0"/>
              <w:rPr>
                <w:sz w:val="9"/>
                <w:szCs w:val="9"/>
                <w:color w:val="auto"/>
              </w:rPr>
            </w:pPr>
          </w:p>
        </w:tc>
        <w:tc>
          <w:tcPr>
            <w:tcW w:w="940" w:type="dxa"/>
            <w:vAlign w:val="bottom"/>
          </w:tcPr>
          <w:p>
            <w:pPr>
              <w:spacing w:after="0"/>
              <w:rPr>
                <w:sz w:val="9"/>
                <w:szCs w:val="9"/>
                <w:color w:val="auto"/>
              </w:rPr>
            </w:pPr>
          </w:p>
        </w:tc>
        <w:tc>
          <w:tcPr>
            <w:tcW w:w="720" w:type="dxa"/>
            <w:vAlign w:val="bottom"/>
          </w:tcPr>
          <w:p>
            <w:pPr>
              <w:spacing w:after="0"/>
              <w:rPr>
                <w:sz w:val="9"/>
                <w:szCs w:val="9"/>
                <w:color w:val="auto"/>
              </w:rPr>
            </w:pPr>
          </w:p>
        </w:tc>
        <w:tc>
          <w:tcPr>
            <w:tcW w:w="760" w:type="dxa"/>
            <w:vAlign w:val="bottom"/>
          </w:tcPr>
          <w:p>
            <w:pPr>
              <w:spacing w:after="0"/>
              <w:rPr>
                <w:sz w:val="9"/>
                <w:szCs w:val="9"/>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5"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40" w:right="280" w:firstLine="2"/>
        <w:spacing w:after="0" w:line="255"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stock options granted pursuant to the Issuer's Amended and Restated 2019 Omnibus Equity Incentive Plan, as amended, which vest in twelve equal monthly installments, beginning on the date of the grant.</w:t>
      </w:r>
    </w:p>
    <w:p>
      <w:pPr>
        <w:spacing w:after="0" w:line="28"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14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6"/>
              </w:rPr>
              <w:t>/s/ Cynthia Anderson,</w:t>
            </w:r>
          </w:p>
        </w:tc>
        <w:tc>
          <w:tcPr>
            <w:tcW w:w="740" w:type="dxa"/>
            <w:vAlign w:val="bottom"/>
          </w:tcPr>
          <w:p>
            <w:pPr>
              <w:spacing w:after="0"/>
              <w:rPr>
                <w:sz w:val="16"/>
                <w:szCs w:val="16"/>
                <w:color w:val="auto"/>
              </w:rPr>
            </w:pP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03/06/2024</w:t>
            </w:r>
          </w:p>
        </w:tc>
        <w:tc>
          <w:tcPr>
            <w:tcW w:w="0" w:type="dxa"/>
            <w:vAlign w:val="bottom"/>
          </w:tcPr>
          <w:p>
            <w:pPr>
              <w:spacing w:after="0"/>
              <w:rPr>
                <w:sz w:val="1"/>
                <w:szCs w:val="1"/>
                <w:color w:val="auto"/>
              </w:rPr>
            </w:pPr>
          </w:p>
        </w:tc>
      </w:tr>
      <w:tr>
        <w:trPr>
          <w:trHeight w:val="88"/>
        </w:trPr>
        <w:tc>
          <w:tcPr>
            <w:tcW w:w="1120" w:type="dxa"/>
            <w:vAlign w:val="bottom"/>
            <w:vMerge w:val="restart"/>
          </w:tcPr>
          <w:p>
            <w:pPr>
              <w:spacing w:after="0" w:line="186" w:lineRule="exact"/>
              <w:rPr>
                <w:sz w:val="20"/>
                <w:szCs w:val="20"/>
                <w:color w:val="auto"/>
              </w:rPr>
            </w:pPr>
            <w:r>
              <w:rPr>
                <w:rFonts w:ascii="Times New Roman" w:cs="Times New Roman" w:eastAsia="Times New Roman" w:hAnsi="Times New Roman"/>
                <w:sz w:val="17"/>
                <w:szCs w:val="17"/>
                <w:color w:val="0000FF"/>
                <w:w w:val="96"/>
              </w:rPr>
              <w:t>Attorney-in-Fact</w:t>
            </w:r>
          </w:p>
        </w:tc>
        <w:tc>
          <w:tcPr>
            <w:tcW w:w="1080" w:type="dxa"/>
            <w:vAlign w:val="bottom"/>
            <w:gridSpan w:val="2"/>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1120" w:type="dxa"/>
            <w:vAlign w:val="bottom"/>
            <w:tcBorders>
              <w:bottom w:val="single" w:sz="8" w:color="auto"/>
            </w:tcBorders>
            <w:vMerge w:val="continue"/>
          </w:tcPr>
          <w:p>
            <w:pPr>
              <w:spacing w:after="0"/>
              <w:rPr>
                <w:sz w:val="7"/>
                <w:szCs w:val="7"/>
                <w:color w:val="auto"/>
              </w:rPr>
            </w:pPr>
          </w:p>
        </w:tc>
        <w:tc>
          <w:tcPr>
            <w:tcW w:w="1080" w:type="dxa"/>
            <w:vAlign w:val="bottom"/>
            <w:gridSpan w:val="2"/>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6"/>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600" w:firstLine="2"/>
        <w:spacing w:after="0" w:line="336"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7" w:right="359" w:bottom="1440" w:gutter="0" w:footer="0" w:header="0"/>
          <w:type w:val="continuous"/>
        </w:sectPr>
      </w:pPr>
    </w:p>
    <w:bookmarkStart w:id="1" w:name="page2"/>
    <w:bookmarkEnd w:id="1"/>
    <w:p>
      <w:pPr>
        <w:jc w:val="center"/>
        <w:spacing w:after="0"/>
        <w:rPr>
          <w:sz w:val="20"/>
          <w:szCs w:val="20"/>
          <w:color w:val="auto"/>
        </w:rPr>
      </w:pPr>
      <w:r>
        <w:rPr>
          <w:rFonts w:ascii="Times New Roman" w:cs="Times New Roman" w:eastAsia="Times New Roman" w:hAnsi="Times New Roman"/>
          <w:sz w:val="21"/>
          <w:szCs w:val="21"/>
          <w:b w:val="1"/>
          <w:bCs w:val="1"/>
          <w:color w:val="auto"/>
        </w:rPr>
        <w:t>POWER OF ATTORNEY</w:t>
      </w:r>
    </w:p>
    <w:p>
      <w:pPr>
        <w:spacing w:after="0" w:line="200" w:lineRule="exact"/>
        <w:rPr>
          <w:sz w:val="20"/>
          <w:szCs w:val="20"/>
          <w:color w:val="auto"/>
        </w:rPr>
      </w:pPr>
    </w:p>
    <w:p>
      <w:pPr>
        <w:spacing w:after="0" w:line="260" w:lineRule="exact"/>
        <w:rPr>
          <w:sz w:val="20"/>
          <w:szCs w:val="20"/>
          <w:color w:val="auto"/>
        </w:rPr>
      </w:pPr>
    </w:p>
    <w:p>
      <w:pPr>
        <w:ind w:right="600" w:firstLine="619"/>
        <w:spacing w:after="0" w:line="256" w:lineRule="auto"/>
        <w:rPr>
          <w:sz w:val="20"/>
          <w:szCs w:val="20"/>
          <w:color w:val="auto"/>
        </w:rPr>
      </w:pPr>
      <w:r>
        <w:rPr>
          <w:rFonts w:ascii="Times New Roman" w:cs="Times New Roman" w:eastAsia="Times New Roman" w:hAnsi="Times New Roman"/>
          <w:sz w:val="21"/>
          <w:szCs w:val="21"/>
          <w:color w:val="auto"/>
        </w:rPr>
        <w:t>Know all by these presents, that the undersigned hereby constitutes and appoints each of Shawn K. Singh and Cynthia Anderson, signing singly, the undersigned's true and lawful attorney-in-fact to:</w:t>
      </w:r>
    </w:p>
    <w:p>
      <w:pPr>
        <w:spacing w:after="0" w:line="181" w:lineRule="exact"/>
        <w:rPr>
          <w:sz w:val="20"/>
          <w:szCs w:val="20"/>
          <w:color w:val="auto"/>
        </w:rPr>
      </w:pPr>
    </w:p>
    <w:p>
      <w:pPr>
        <w:jc w:val="both"/>
        <w:ind w:right="520" w:firstLine="622"/>
        <w:spacing w:after="0" w:line="243" w:lineRule="auto"/>
        <w:tabs>
          <w:tab w:leader="none" w:pos="911"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execute for and on behalf of the undersigned, in the undersigned's capacity as an officer and/or director of VistaGen Therapeutics, Inc. (the "</w:t>
      </w:r>
      <w:r>
        <w:rPr>
          <w:rFonts w:ascii="Times New Roman" w:cs="Times New Roman" w:eastAsia="Times New Roman" w:hAnsi="Times New Roman"/>
          <w:sz w:val="21"/>
          <w:szCs w:val="21"/>
          <w:b w:val="1"/>
          <w:bCs w:val="1"/>
          <w:i w:val="1"/>
          <w:iCs w:val="1"/>
          <w:color w:val="auto"/>
        </w:rPr>
        <w:t>Company</w:t>
      </w:r>
      <w:r>
        <w:rPr>
          <w:rFonts w:ascii="Times New Roman" w:cs="Times New Roman" w:eastAsia="Times New Roman" w:hAnsi="Times New Roman"/>
          <w:sz w:val="21"/>
          <w:szCs w:val="21"/>
          <w:color w:val="auto"/>
        </w:rPr>
        <w:t>"), Forms 3, 4 and 5 (including amendments thereto) in accordance with Section 16(a) of the Securities Exchange Act of 1934, and the rules and regulations thereunder;</w:t>
      </w:r>
    </w:p>
    <w:p>
      <w:pPr>
        <w:spacing w:after="0" w:line="194" w:lineRule="exact"/>
        <w:rPr>
          <w:rFonts w:ascii="Times New Roman" w:cs="Times New Roman" w:eastAsia="Times New Roman" w:hAnsi="Times New Roman"/>
          <w:sz w:val="21"/>
          <w:szCs w:val="21"/>
          <w:color w:val="auto"/>
        </w:rPr>
      </w:pPr>
    </w:p>
    <w:p>
      <w:pPr>
        <w:jc w:val="both"/>
        <w:ind w:right="300" w:firstLine="622"/>
        <w:spacing w:after="0" w:line="243" w:lineRule="auto"/>
        <w:tabs>
          <w:tab w:leader="none" w:pos="911"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do and perform any and all acts for and on behalf of the undersigned which may be necessary or desirable to complete and execute any such Forms 3, 4 or 5 and timely file such forms (including amendments thereto) and application with the United States Securities and Exchange Commission and any stock exchange or similar authority; and</w:t>
      </w:r>
    </w:p>
    <w:p>
      <w:pPr>
        <w:spacing w:after="0" w:line="194" w:lineRule="exact"/>
        <w:rPr>
          <w:rFonts w:ascii="Times New Roman" w:cs="Times New Roman" w:eastAsia="Times New Roman" w:hAnsi="Times New Roman"/>
          <w:sz w:val="21"/>
          <w:szCs w:val="21"/>
          <w:color w:val="auto"/>
        </w:rPr>
      </w:pPr>
    </w:p>
    <w:p>
      <w:pPr>
        <w:ind w:right="140" w:firstLine="622"/>
        <w:spacing w:after="0" w:line="239" w:lineRule="auto"/>
        <w:tabs>
          <w:tab w:leader="none" w:pos="911"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199" w:lineRule="exact"/>
        <w:rPr>
          <w:sz w:val="20"/>
          <w:szCs w:val="20"/>
          <w:color w:val="auto"/>
        </w:rPr>
      </w:pPr>
    </w:p>
    <w:p>
      <w:pPr>
        <w:ind w:firstLine="619"/>
        <w:spacing w:after="0" w:line="248" w:lineRule="auto"/>
        <w:rPr>
          <w:sz w:val="20"/>
          <w:szCs w:val="20"/>
          <w:color w:val="auto"/>
        </w:rPr>
      </w:pPr>
      <w:r>
        <w:rPr>
          <w:rFonts w:ascii="Times New Roman" w:cs="Times New Roman" w:eastAsia="Times New Roman" w:hAnsi="Times New Roman"/>
          <w:sz w:val="20"/>
          <w:szCs w:val="20"/>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Securities Exchange Act of 1934.</w:t>
      </w:r>
    </w:p>
    <w:p>
      <w:pPr>
        <w:spacing w:after="0" w:line="193" w:lineRule="exact"/>
        <w:rPr>
          <w:sz w:val="20"/>
          <w:szCs w:val="20"/>
          <w:color w:val="auto"/>
        </w:rPr>
      </w:pPr>
    </w:p>
    <w:p>
      <w:pPr>
        <w:ind w:right="80" w:firstLine="619"/>
        <w:spacing w:after="0" w:line="235" w:lineRule="auto"/>
        <w:rPr>
          <w:sz w:val="20"/>
          <w:szCs w:val="20"/>
          <w:color w:val="auto"/>
        </w:rPr>
      </w:pPr>
      <w:r>
        <w:rPr>
          <w:rFonts w:ascii="Times New Roman" w:cs="Times New Roman" w:eastAsia="Times New Roman" w:hAnsi="Times New Roman"/>
          <w:sz w:val="21"/>
          <w:szCs w:val="21"/>
          <w:color w:val="auto"/>
        </w:rPr>
        <w:t>The undersigned agrees that each such attorney-in-fact herein may rely entirely on information furnished orally or in writing by the undersigned to such attorney-in-fact. The undersigned also agrees to indemnify and hold harmless the Company and each such attorney-in-fact against any losses, claims, damages or liabilities (or actions in these respects) that arise out of or are based upon any untrue statements or omission of necessary facts in the information provided by the undersigned to such attorney-in fact for purposes of executing, acknowledging, delivering or filing Forms 3, 4 or 5 (including amendments thereto) and agrees to reimburse the Company and such attorney-in-fact for any legal or other expenses reasonably incurred in connection with investigating or defending against any such loss, claim, damage, liability or action.</w:t>
      </w:r>
    </w:p>
    <w:p>
      <w:pPr>
        <w:spacing w:after="0" w:line="202" w:lineRule="exact"/>
        <w:rPr>
          <w:sz w:val="20"/>
          <w:szCs w:val="20"/>
          <w:color w:val="auto"/>
        </w:rPr>
      </w:pPr>
    </w:p>
    <w:p>
      <w:pPr>
        <w:ind w:right="340" w:firstLine="619"/>
        <w:spacing w:after="0" w:line="250" w:lineRule="auto"/>
        <w:rPr>
          <w:sz w:val="20"/>
          <w:szCs w:val="20"/>
          <w:color w:val="auto"/>
        </w:rPr>
      </w:pPr>
      <w:r>
        <w:rPr>
          <w:rFonts w:ascii="Times New Roman" w:cs="Times New Roman" w:eastAsia="Times New Roman" w:hAnsi="Times New Roman"/>
          <w:sz w:val="20"/>
          <w:szCs w:val="20"/>
          <w:color w:val="auto"/>
        </w:rPr>
        <w:t>This Power of Attorney supersedes any power of attorney previously executed by the undersigned regarding the purposes outlined in the first paragraph hereof ("</w:t>
      </w:r>
      <w:r>
        <w:rPr>
          <w:rFonts w:ascii="Times New Roman" w:cs="Times New Roman" w:eastAsia="Times New Roman" w:hAnsi="Times New Roman"/>
          <w:sz w:val="20"/>
          <w:szCs w:val="20"/>
          <w:b w:val="1"/>
          <w:bCs w:val="1"/>
          <w:i w:val="1"/>
          <w:iCs w:val="1"/>
          <w:color w:val="auto"/>
        </w:rPr>
        <w:t>Prior Powers of Attorney</w:t>
      </w:r>
      <w:r>
        <w:rPr>
          <w:rFonts w:ascii="Times New Roman" w:cs="Times New Roman" w:eastAsia="Times New Roman" w:hAnsi="Times New Roman"/>
          <w:sz w:val="20"/>
          <w:szCs w:val="20"/>
          <w:color w:val="auto"/>
        </w:rPr>
        <w:t>"), and the authority of the attorneys-in-fact named in any Prior Powers of Attorney is hereby revoked. This Power of Attorney shall remain in full force and effect until the undersigned is no longer required to file Forms 3, 4 or 5 with respect to the undersigned's holdings of and transactions in securities issued by the Company, unless earlier (a) revoked by the undersigned in a signed writing delivered to the foregoing attorneys-in-fact or (b) superseded by a new power of attorney regarding the purposes outlined in the first paragraph hereof dated as of a later date.</w:t>
      </w:r>
    </w:p>
    <w:p>
      <w:pPr>
        <w:spacing w:after="0" w:line="187" w:lineRule="exact"/>
        <w:rPr>
          <w:sz w:val="20"/>
          <w:szCs w:val="20"/>
          <w:color w:val="auto"/>
        </w:rPr>
      </w:pPr>
    </w:p>
    <w:p>
      <w:pPr>
        <w:ind w:right="940" w:firstLine="619"/>
        <w:spacing w:after="0" w:line="256" w:lineRule="auto"/>
        <w:rPr>
          <w:sz w:val="20"/>
          <w:szCs w:val="20"/>
          <w:color w:val="auto"/>
        </w:rPr>
      </w:pPr>
      <w:r>
        <w:rPr>
          <w:rFonts w:ascii="Times New Roman" w:cs="Times New Roman" w:eastAsia="Times New Roman" w:hAnsi="Times New Roman"/>
          <w:sz w:val="21"/>
          <w:szCs w:val="21"/>
          <w:color w:val="auto"/>
        </w:rPr>
        <w:t>IN WITNESS WHEREOF, the undersigned has caused this Power of Attorney to be executed as of this 8th day of September,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2360295</wp:posOffset>
            </wp:positionH>
            <wp:positionV relativeFrom="paragraph">
              <wp:posOffset>401320</wp:posOffset>
            </wp:positionV>
            <wp:extent cx="330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330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21"/>
          <w:szCs w:val="21"/>
          <w:u w:val="single" w:color="auto"/>
          <w:color w:val="auto"/>
        </w:rPr>
        <w:t>/s/ Joanne Curley</w:t>
      </w:r>
    </w:p>
    <w:p>
      <w:pPr>
        <w:spacing w:after="0" w:line="13"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21"/>
          <w:szCs w:val="21"/>
          <w:color w:val="auto"/>
        </w:rPr>
        <w:t>Joanne Curley</w:t>
      </w:r>
    </w:p>
    <w:sectPr>
      <w:pgSz w:w="11900" w:h="16838" w:orient="portrait"/>
      <w:cols w:equalWidth="0" w:num="1">
        <w:col w:w="10980"/>
      </w:cols>
      <w:pgMar w:left="460" w:top="110"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857670" TargetMode="External"/><Relationship Id="rId13" Type="http://schemas.openxmlformats.org/officeDocument/2006/relationships/hyperlink" Target="http://www.sec.gov/cgi-bin/browse-edgar?action=getcompany&amp;CIK=000141168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2024-03-06T17:04:01Z</dcterms:created>
  <dcterms:modified xsi:type="dcterms:W3CDTF">2024-03-06T17:04:01Z</dcterms:modified>
</cp:coreProperties>
</file>