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11,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619" w:firstLine="737"/>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36"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34" w:lineRule="auto"/>
        <w:rPr>
          <w:sz w:val="20"/>
          <w:szCs w:val="20"/>
          <w:color w:val="auto"/>
        </w:rPr>
      </w:pPr>
      <w:r>
        <w:rPr>
          <w:rFonts w:ascii="Courier New" w:cs="Courier New" w:eastAsia="Courier New" w:hAnsi="Courier New"/>
          <w:sz w:val="18"/>
          <w:szCs w:val="18"/>
          <w:color w:val="auto"/>
        </w:rPr>
        <w:t>__________</w:t>
      </w:r>
    </w:p>
    <w:p>
      <w:pPr>
        <w:spacing w:after="0" w:line="4" w:lineRule="exact"/>
        <w:rPr>
          <w:sz w:val="24"/>
          <w:szCs w:val="24"/>
          <w:color w:val="auto"/>
        </w:rPr>
      </w:pPr>
    </w:p>
    <w:p>
      <w:pPr>
        <w:ind w:right="2199" w:firstLine="737"/>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740"/>
        <w:spacing w:after="0" w:line="234" w:lineRule="auto"/>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38" w:lineRule="auto"/>
        <w:rPr>
          <w:sz w:val="20"/>
          <w:szCs w:val="20"/>
          <w:color w:val="auto"/>
        </w:rPr>
      </w:pPr>
      <w:r>
        <w:rPr>
          <w:rFonts w:ascii="Courier New" w:cs="Courier New" w:eastAsia="Courier New" w:hAnsi="Courier New"/>
          <w:sz w:val="18"/>
          <w:szCs w:val="18"/>
          <w:color w:val="auto"/>
        </w:rPr>
        <w:t>not be deemed to be filed for the purpose of Section 18 of the Securities</w:t>
      </w: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 of that</w:t>
      </w:r>
    </w:p>
    <w:p>
      <w:pPr>
        <w:spacing w:after="0" w:line="237" w:lineRule="auto"/>
        <w:rPr>
          <w:sz w:val="20"/>
          <w:szCs w:val="20"/>
          <w:color w:val="auto"/>
        </w:rPr>
      </w:pPr>
      <w:r>
        <w:rPr>
          <w:rFonts w:ascii="Courier New" w:cs="Courier New" w:eastAsia="Courier New" w:hAnsi="Courier New"/>
          <w:sz w:val="18"/>
          <w:szCs w:val="18"/>
          <w:color w:val="auto"/>
        </w:rPr>
        <w:t>section of the Act but shall be subject to all other provisions of the Act</w:t>
      </w:r>
    </w:p>
    <w:p>
      <w:pPr>
        <w:spacing w:after="0"/>
        <w:rPr>
          <w:sz w:val="20"/>
          <w:szCs w:val="20"/>
          <w:color w:val="auto"/>
        </w:rPr>
      </w:pPr>
      <w:r>
        <w:rPr>
          <w:rFonts w:ascii="Courier New" w:cs="Courier New" w:eastAsia="Courier New" w:hAnsi="Courier New"/>
          <w:sz w:val="18"/>
          <w:szCs w:val="18"/>
          <w:color w:val="auto"/>
        </w:rPr>
        <w:t>(however, see the Notes).</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500,000</w:t>
      </w:r>
    </w:p>
    <w:p>
      <w:pPr>
        <w:sectPr>
          <w:pgSz w:w="11900" w:h="16838" w:orient="portrait"/>
          <w:cols w:equalWidth="0" w:num="1">
            <w:col w:w="10219"/>
          </w:cols>
          <w:pgMar w:left="240" w:top="144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94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94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19"/>
          </w:cols>
          <w:pgMar w:left="240" w:top="946"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9.99</w:t>
      </w:r>
    </w:p>
    <w:p>
      <w:pPr>
        <w:sectPr>
          <w:pgSz w:w="11900" w:h="16838" w:orient="portrait"/>
          <w:cols w:equalWidth="0" w:num="1">
            <w:col w:w="10219"/>
          </w:cols>
          <w:pgMar w:left="240" w:top="3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219"/>
          </w:cols>
          <w:pgMar w:left="240" w:top="946" w:right="1440" w:bottom="537"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ectPr>
          <w:pgSz w:w="11900" w:h="16838" w:orient="portrait"/>
          <w:cols w:equalWidth="0" w:num="1">
            <w:col w:w="10219"/>
          </w:cols>
          <w:pgMar w:left="240" w:top="136" w:right="1440" w:bottom="133"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 Allerton Avenue</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38" w:lineRule="auto"/>
        <w:rPr>
          <w:sz w:val="20"/>
          <w:szCs w:val="20"/>
          <w:color w:val="auto"/>
        </w:rPr>
      </w:pPr>
      <w:r>
        <w:rPr>
          <w:rFonts w:ascii="Courier New" w:cs="Courier New" w:eastAsia="Courier New" w:hAnsi="Courier New"/>
          <w:sz w:val="18"/>
          <w:szCs w:val="18"/>
          <w:color w:val="auto"/>
        </w:rPr>
        <w:t>Sabby Volatility Warrant Master Fund, Ltd.</w:t>
      </w: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7" w:lineRule="auto"/>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38" w:lineRule="auto"/>
        <w:rPr>
          <w:sz w:val="20"/>
          <w:szCs w:val="20"/>
          <w:color w:val="auto"/>
        </w:rPr>
      </w:pPr>
      <w:r>
        <w:rPr>
          <w:rFonts w:ascii="Courier New" w:cs="Courier New" w:eastAsia="Courier New" w:hAnsi="Courier New"/>
          <w:sz w:val="18"/>
          <w:szCs w:val="18"/>
          <w:color w:val="auto"/>
        </w:rPr>
        <w:t>c/o Sabby Management, LLC</w:t>
      </w:r>
    </w:p>
    <w:p>
      <w:pPr>
        <w:spacing w:after="0"/>
        <w:rPr>
          <w:sz w:val="20"/>
          <w:szCs w:val="20"/>
          <w:color w:val="auto"/>
        </w:rPr>
      </w:pPr>
      <w:r>
        <w:rPr>
          <w:rFonts w:ascii="Courier New" w:cs="Courier New" w:eastAsia="Courier New" w:hAnsi="Courier New"/>
          <w:sz w:val="18"/>
          <w:szCs w:val="18"/>
          <w:color w:val="auto"/>
        </w:rPr>
        <w:t>10 Mountainview Road, Suite 205</w:t>
      </w:r>
    </w:p>
    <w:p>
      <w:pPr>
        <w:spacing w:after="0" w:line="237" w:lineRule="auto"/>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ectPr>
          <w:pgSz w:w="11900" w:h="16838" w:orient="portrait"/>
          <w:cols w:equalWidth="0" w:num="1">
            <w:col w:w="10219"/>
          </w:cols>
          <w:pgMar w:left="240" w:top="339"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Sabby Healthcare Master Fund, Ltd. - Cayman Islands</w:t>
      </w:r>
    </w:p>
    <w:p>
      <w:pPr>
        <w:spacing w:after="0" w:line="4"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 par value $0.001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If This Statement is filed pursuant to Section 240.13d-1(b) or 240.13d-2(b), or (c), check whether the person filing is 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An investment adviser in accordance with Section 240.13d-1(b)(1)(ii)(E);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ectPr>
          <w:pgSz w:w="11900" w:h="16838" w:orient="portrait"/>
          <w:cols w:equalWidth="0" w:num="1">
            <w:col w:w="10219"/>
          </w:cols>
          <w:pgMar w:left="240" w:top="744"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 of 1940 (15 U.S.C.</w:t>
      </w:r>
    </w:p>
    <w:p>
      <w:pPr>
        <w:spacing w:after="0" w:line="233" w:lineRule="auto"/>
        <w:rPr>
          <w:sz w:val="20"/>
          <w:szCs w:val="20"/>
          <w:color w:val="auto"/>
        </w:rPr>
      </w:pPr>
      <w:r>
        <w:rPr>
          <w:rFonts w:ascii="Courier New" w:cs="Courier New" w:eastAsia="Courier New" w:hAnsi="Courier New"/>
          <w:sz w:val="18"/>
          <w:szCs w:val="18"/>
          <w:color w:val="auto"/>
        </w:rPr>
        <w:t>80a-3);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A non-U.S. institution in accordance with Section 240.13d-1(b)(1)(ii)(J);</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Group, in accordance with Section 240.13d-1(b)(1)(ii)(K). If filing as 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10"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Amount beneficially owned:</w:t>
      </w:r>
    </w:p>
    <w:p>
      <w:pPr>
        <w:spacing w:after="0" w:line="202"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Sabby Healthcare Master Fund, Ltd. -</w:t>
      </w:r>
      <w:r>
        <w:rPr>
          <w:sz w:val="20"/>
          <w:szCs w:val="20"/>
          <w:color w:val="auto"/>
        </w:rPr>
        <w:tab/>
      </w:r>
      <w:r>
        <w:rPr>
          <w:rFonts w:ascii="Courier New" w:cs="Courier New" w:eastAsia="Courier New" w:hAnsi="Courier New"/>
          <w:sz w:val="16"/>
          <w:szCs w:val="16"/>
          <w:color w:val="auto"/>
        </w:rPr>
        <w:t>500,000</w:t>
      </w:r>
    </w:p>
    <w:p>
      <w:pPr>
        <w:spacing w:after="0" w:line="201"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261,267</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761,267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Hal Mintz -</w:t>
      </w:r>
      <w:r>
        <w:rPr>
          <w:sz w:val="20"/>
          <w:szCs w:val="20"/>
          <w:color w:val="auto"/>
        </w:rPr>
        <w:tab/>
      </w:r>
      <w:r>
        <w:rPr>
          <w:rFonts w:ascii="Courier New" w:cs="Courier New" w:eastAsia="Courier New" w:hAnsi="Courier New"/>
          <w:sz w:val="16"/>
          <w:szCs w:val="16"/>
          <w:color w:val="auto"/>
        </w:rPr>
        <w:t>761,267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 - 6.56%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- 3.43%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0" w:gutter="0" w:footer="0" w:header="0"/>
        </w:sectPr>
      </w:pPr>
    </w:p>
    <w:bookmarkStart w:id="11" w:name="page12"/>
    <w:bookmarkEnd w:id="11"/>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500,000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500,000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261,267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261,267</w:t>
      </w:r>
    </w:p>
    <w:p>
      <w:pPr>
        <w:sectPr>
          <w:pgSz w:w="11900" w:h="16838" w:orient="portrait"/>
          <w:cols w:equalWidth="0" w:num="1">
            <w:col w:w="10219"/>
          </w:cols>
          <w:pgMar w:left="240" w:top="144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761,267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761,267</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761,267</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36"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761,267</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As calculated in accordance with Rule 13d-3 of the Securities Exchange Act of 1934, as amended, (i) Sabby Healthcare Master Fund, Ltd. and</w:t>
      </w:r>
    </w:p>
    <w:p>
      <w:pPr>
        <w:spacing w:after="0" w:line="6"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Sabby Volatility Master Fund, Ltd. beneficially own 500,000 and 261,267 shares of the Issuer's common stock (Common Stock), respectively, representing approximately 6.56% and 3.43% of the Common Stock, respectively, and (ii) Sabby Management, LLC and Hal Mintz each beneficially own 761,267 shares of the Common Stock, representing approximately 9.99%</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of the Common Stock. Sabby Management, LLC and Hal Mintz do not directly own any shares of Common Stock, but each indirectly owns 761,267 shares of Common Stock. Sabby Management, LLC, a Delaware limited liability company, indirectly owns 761,267 shares of Common Stock because it serves as the investment manager of Sabby Healthcare Master Fund, Ltd. and</w:t>
      </w:r>
    </w:p>
    <w:p>
      <w:pPr>
        <w:spacing w:after="0" w:line="6"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Sabby Volatility Warrant Master Fund, Ltd., Cayman Islands companies. Mr. Mintz indirectly owns 761,267 shares of Common Stock in his capacity as manager of Sabby Management, LLC.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6.</w:t>
      </w: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ectPr>
          <w:pgSz w:w="11900" w:h="16838" w:orient="portrait"/>
          <w:cols w:equalWidth="0" w:num="1">
            <w:col w:w="10219"/>
          </w:cols>
          <w:pgMar w:left="240" w:top="136" w:right="1440" w:bottom="335"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10.</w:t>
      </w:r>
    </w:p>
    <w:p>
      <w:pPr>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13, 2016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sectPr>
          <w:pgSz w:w="11900" w:h="16838" w:orient="portrait"/>
          <w:cols w:equalWidth="0" w:num="1">
            <w:col w:w="10219"/>
          </w:cols>
          <w:pgMar w:left="240" w:top="541" w:right="1440" w:bottom="0" w:gutter="0" w:footer="0" w:header="0"/>
        </w:sectPr>
      </w:pPr>
    </w:p>
    <w:bookmarkStart w:id="15" w:name="page16"/>
    <w:bookmarkEnd w:id="15"/>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The undersigned hereby agree that this Statement on Schedule 13G with respect to the beneficial ownership of shares of Common Stock of Rexahn Pharmaceuticals, Inc. is filed jointly, on behalf of each of them.</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13,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Ltd.,</w:t>
      </w:r>
    </w:p>
    <w:p>
      <w:pPr>
        <w:spacing w:after="0" w:line="20" w:lineRule="exact"/>
        <w:rPr>
          <w:sz w:val="20"/>
          <w:szCs w:val="20"/>
          <w:color w:val="auto"/>
        </w:rPr>
      </w:pPr>
      <w:r>
        <w:rPr>
          <w:sz w:val="20"/>
          <w:szCs w:val="20"/>
          <w:color w:val="auto"/>
        </w:rPr>
        <w:br w:type="column"/>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Authorized Person of TDF Management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Director</w:t>
      </w:r>
    </w:p>
    <w:p>
      <w:pPr>
        <w:spacing w:after="0" w:line="200" w:lineRule="exact"/>
        <w:rPr>
          <w:sz w:val="20"/>
          <w:szCs w:val="20"/>
          <w:color w:val="auto"/>
        </w:rPr>
      </w:pPr>
    </w:p>
    <w:p>
      <w:pPr>
        <w:sectPr>
          <w:pgSz w:w="11900" w:h="16838" w:orient="portrait"/>
          <w:cols w:equalWidth="0" w:num="2">
            <w:col w:w="540" w:space="0"/>
            <w:col w:w="9679"/>
          </w:cols>
          <w:pgMar w:left="240" w:top="344"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Authorized Person of TDF Management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ectPr>
          <w:pgSz w:w="11900" w:h="16838" w:orient="portrait"/>
          <w:cols w:equalWidth="0" w:num="1">
            <w:col w:w="10219"/>
          </w:cols>
          <w:pgMar w:left="240" w:top="3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Hal Mintz</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Hal Mintz</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2020-01-20T13:02:28Z</dcterms:created>
  <dcterms:modified xsi:type="dcterms:W3CDTF">2020-01-20T13:02:28Z</dcterms:modified>
</cp:coreProperties>
</file>