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February 28, 2012</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384 Oyster Point Blvd, No. 8,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650-244-9990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February 28, 2012 (the "Closing Date"), VistaGen Therapeutics, Inc. (the "Company") consummated a private placement of convertible promissory notes to certain accredited investors in the aggregate principal amount of $500,000 (the "Notes") (the "Note Offering"). Noble Financial Capital Markets served as the lead placement agent for the Company in connection with the Note Offering.</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Notes were issued pursuant to a Convertible Note and Warrant Purchase Agreement ("Purchase Agreement") entered into by the Company and the signatories thereto (the "Purchasers"). Each Note acquired pursuant to the Purchase Agreement accrues interest at the rate of 12% per annum to be paid in kind quarterly, and shall mature on the earlier to occur of twenty-four months from the date of issuance or consummation of an equity, equity-based or series of equity -based financingsresulting in gross proceeds of at least $4.0 million ("Qualified Financing"). The Notes rank pari-passu with respect to certain other promissory notes of the Company, if issued, in an aggregate principal amount not to exceed $3.0 million, inclusive of the Notes.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holder of each Note may voluntarily convert the outstanding principal amount of the Notes, together with all accrued and unpaid interest thereon ("Outstanding Balance") into that number of shares of the Company's Common Stock equal to the Outstanding Balance, divided by $3.00 (the "Conversion Shares"). In addition, in the event the Company consummates a Qualified Financing, and the price per unit of the securities sold, or share of Common Stock issuable in connection with such Qualified Financing, is at least $2.00, the Outstanding Balance shall automatically convert into such securities, the amount of which shall be determined according to a formula set forth in the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Each Purchaser was issued a warrant to purchase, for $2.75 per share, that number of shares of the Company's Common Stock equal to 150% of the total principal amount of the Notes purchased by such Purchaser, divided by $2.75 ("Warrants"), resulting in the potential issuance of an aggregate of 272,724 shares of the Company's Common Stock upon exercise of the Warrants (the "Warrant Shares"). The Warrants terminate, if not exercised, five years from the date of issuance.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Registration Rights.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entered into a Registration Rights Agreement with each of the Purchasers pursuant to which the Company agreed to register for resale the Conversion Shares and the Warrant Shares. The Company agreed to file a registration statement no later than ninety days from the Closing Date. To the extent the Company fails to file the registration statement on a timely basis or if the registration statement is not declared effective by the agreed upon effectiveness deadline, the Company agreed to make certain payments to each of the Purchasers.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intends to use the proceeds from the issuance of the Notes for general working capital purposes. The Company may issue up to $2.5 million principal amount in additional Notes to fund its short-term working capital requirements. There is no assurance that the Company will be able to successfully place such additional Notes, or otherwise secure additional financing on acceptable terms,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Important Notice Regarding the Transaction Documents.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foregoing descriptions of the Purchase Agreement, the Notes, the Warrants, the Registration Rights Agreement, and the transactions contemplated thereby (together, the "Transaction Documents") are not complete and are subject to and qualified in their entirety by reference to the Transaction Documents attached hereto as exhibits and incorporated herein by reference.</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Transaction Documents have been included to provide investors and security holders with information regarding their respective terms. They are not intended to provide any other financial information about the Company or its subsidiaries and affiliates. The representations, warranties and covenants contained in the Transaction Documents were made only for purposes of the Transaction Documents and as of specific dates; were solely for the benefit of the parties to such Transaction Documents; and may be subject to standards of materiality applicable to the contracting parties that differ from those applicable to investors. Investors should not rely on the representations, warranties and covenants or any description thereof as characterizations of the actual state of facts or condition of the Company or its subsidiaries or affiliates. Moreover, information concerning the subject matter of the representations, warranties and covenants may change after the date of the Transaction Documents, which subsequent information may or may not be fully reflected in public disclosures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information contained in Item 2.03 is hereby incorporated by reference. The Notes and Warrants were offered and sold in transactions exempt from registration under the Securities Act of 1933, as amended ("Securities Act"), in reliance on Section 4(2) thereof and Rule 506 of Regulation D thereunder. Each of the Purchasers represented that it was an "accredited investor" as defined in Regulation 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March 2,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74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40" w:type="dxa"/>
            <w:vAlign w:val="bottom"/>
          </w:tcPr>
          <w:p>
            <w:pPr>
              <w:spacing w:after="0"/>
              <w:rPr>
                <w:sz w:val="10"/>
                <w:szCs w:val="10"/>
                <w:color w:val="auto"/>
              </w:rPr>
            </w:pPr>
          </w:p>
        </w:tc>
      </w:tr>
      <w:tr>
        <w:trPr>
          <w:trHeight w:val="307"/>
        </w:trPr>
        <w:tc>
          <w:tcPr>
            <w:tcW w:w="1200" w:type="dxa"/>
            <w:vAlign w:val="bottom"/>
            <w:gridSpan w:val="2"/>
          </w:tcPr>
          <w:p>
            <w:pPr>
              <w:spacing w:after="0"/>
              <w:rPr>
                <w:sz w:val="20"/>
                <w:szCs w:val="20"/>
                <w:color w:val="auto"/>
              </w:rPr>
            </w:pPr>
            <w:r>
              <w:rPr>
                <w:rFonts w:ascii="Arial" w:cs="Arial" w:eastAsia="Arial" w:hAnsi="Arial"/>
                <w:sz w:val="18"/>
                <w:szCs w:val="18"/>
                <w:color w:val="auto"/>
              </w:rPr>
              <w:t>EX-10.1</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w w:val="89"/>
              </w:rPr>
              <w:t>Form of Note and Warrant Purchase Agreement</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EX-10.2</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Form of Convertible Promissory Note</w:t>
            </w: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EX-10.3</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Form of Warrant</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EX-10.4</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Form of Registration Rights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-629920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-629920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-629920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-629920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CONVERTIBLE NOTE AND WARRANT PURCHASE AGREEMENT</w:t>
      </w:r>
    </w:p>
    <w:p>
      <w:pPr>
        <w:spacing w:after="0" w:line="25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This Convertible Note and Warrant Purchase Agreement, dated as of February 28, 2012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by and among VistaGen Therapeutics, Inc.,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other signatories hereto (each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83" w:lineRule="exact"/>
        <w:rPr>
          <w:sz w:val="20"/>
          <w:szCs w:val="20"/>
          <w:color w:val="auto"/>
        </w:rPr>
      </w:pPr>
    </w:p>
    <w:p>
      <w:pPr>
        <w:jc w:val="both"/>
        <w:ind w:right="20" w:firstLine="656"/>
        <w:spacing w:after="0" w:line="264" w:lineRule="auto"/>
        <w:tabs>
          <w:tab w:leader="none" w:pos="103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herein, Lenders are willing to purchase from Company and Company is willing to issue and sell to Lenders, Convertible Promissory Notes in the principal amount of up to Three Million Dollars ($3,000,000), substantially in the form attached hereto as Exhibit A (each a “</w:t>
      </w:r>
      <w:r>
        <w:rPr>
          <w:rFonts w:ascii="Arial" w:cs="Arial" w:eastAsia="Arial" w:hAnsi="Arial"/>
          <w:sz w:val="18"/>
          <w:szCs w:val="18"/>
          <w:u w:val="single" w:color="auto"/>
          <w:color w:val="auto"/>
        </w:rPr>
        <w:t>Note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firstLine="656"/>
        <w:spacing w:after="0" w:line="312" w:lineRule="auto"/>
        <w:tabs>
          <w:tab w:leader="none" w:pos="1029"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additional consideration for the issuance of the Notes by the Company, the Company is issuing to the Lenders warrants, in substantially the form attached hereto as Exhibit B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that number of shares of the Company’s common stock, $0.001 par value per share, equal to 150% of the total principal amount of Notes purchased pursuant to this Agreement by each Lender, divided by $2.75 (the “</w:t>
      </w:r>
      <w:r>
        <w:rPr>
          <w:rFonts w:ascii="Arial" w:cs="Arial" w:eastAsia="Arial" w:hAnsi="Arial"/>
          <w:sz w:val="16"/>
          <w:szCs w:val="16"/>
          <w:u w:val="single" w:color="auto"/>
          <w:color w:val="auto"/>
        </w:rPr>
        <w:t>Warrant Shares</w:t>
      </w:r>
      <w:r>
        <w:rPr>
          <w:rFonts w:ascii="Arial" w:cs="Arial" w:eastAsia="Arial" w:hAnsi="Arial"/>
          <w:sz w:val="16"/>
          <w:szCs w:val="16"/>
          <w:color w:val="auto"/>
        </w:rPr>
        <w:t>”); and</w:t>
      </w:r>
    </w:p>
    <w:p>
      <w:pPr>
        <w:spacing w:after="0" w:line="200" w:lineRule="exact"/>
        <w:rPr>
          <w:rFonts w:ascii="Arial" w:cs="Arial" w:eastAsia="Arial" w:hAnsi="Arial"/>
          <w:sz w:val="16"/>
          <w:szCs w:val="16"/>
          <w:color w:val="auto"/>
        </w:rPr>
      </w:pPr>
    </w:p>
    <w:p>
      <w:pPr>
        <w:jc w:val="both"/>
        <w:ind w:firstLine="656"/>
        <w:spacing w:after="0" w:line="257" w:lineRule="auto"/>
        <w:tabs>
          <w:tab w:leader="none" w:pos="1029"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connection with purchase of Notes and Warrants pursuant to this Agreement, the parties hereto are executing and delivering a Registration Rights Agreement, in substantially the form attached hereto as Exhibit C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pursuant to which the Company has agreed to provide certain registration rights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the rules and regulations promulgated thereunder. This Agreement, the Notes, the Warrants, the Registration Rights Agreement and the Escrow Agreement (as defined herein) are referred to herein collectively as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representations, warranties, and conditions set forth below,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hereby agree as follows:</w:t>
      </w:r>
    </w:p>
    <w:p>
      <w:pPr>
        <w:spacing w:after="0" w:line="220" w:lineRule="exact"/>
        <w:rPr>
          <w:sz w:val="20"/>
          <w:szCs w:val="20"/>
          <w:color w:val="auto"/>
        </w:rPr>
      </w:pPr>
    </w:p>
    <w:p>
      <w:pPr>
        <w:jc w:val="both"/>
        <w:ind w:firstLine="656"/>
        <w:spacing w:after="0" w:line="289" w:lineRule="auto"/>
        <w:tabs>
          <w:tab w:leader="none" w:pos="999"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Issuance and Sale of the Note and Warrants</w:t>
      </w:r>
      <w:r>
        <w:rPr>
          <w:rFonts w:ascii="Arial" w:cs="Arial" w:eastAsia="Arial" w:hAnsi="Arial"/>
          <w:sz w:val="16"/>
          <w:szCs w:val="16"/>
          <w:color w:val="auto"/>
        </w:rPr>
        <w:t>. In reliance upon the representations, warranties and covenants of the parties set forth herein, the Company agrees to issue, sell and deliver to each Lender, and each Lender agrees, severally and not jointly, to purchase from the Company a Note in the principal amount set forth below Lender’s name on the signature page hereto, which Note shall include a Warrant exercisable for that number of Warrant Shares set forth below Lender’s name on the signature page hereto. The purchase price for the Note and Warrant shall be equal to the principal amount indicated on the face of the Note and set forth below Lender’s name on the signature page hereto. The Company and the Lender are executing and delivering this Agreement and issuing the Notes and Warrants in accordance with and in reliance upon the exemption from securities registration afforded by Section 4(2) of the Securities Act of 1933, as amended, and the rules and regulations promulgated thereunder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including Regulation D (“</w:t>
      </w:r>
      <w:r>
        <w:rPr>
          <w:rFonts w:ascii="Arial" w:cs="Arial" w:eastAsia="Arial" w:hAnsi="Arial"/>
          <w:sz w:val="16"/>
          <w:szCs w:val="16"/>
          <w:u w:val="single" w:color="auto"/>
          <w:color w:val="auto"/>
        </w:rPr>
        <w:t>Regulation D</w:t>
      </w:r>
      <w:r>
        <w:rPr>
          <w:rFonts w:ascii="Arial" w:cs="Arial" w:eastAsia="Arial" w:hAnsi="Arial"/>
          <w:sz w:val="16"/>
          <w:szCs w:val="16"/>
          <w:color w:val="auto"/>
        </w:rPr>
        <w:t>”), and/or upon such other exemption from the registration requirements of the Securities Act as may be available with respect to any or all of the investments to be made hereunder. The Notes, the Warrants and the Warrant Shares are sometimes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w:t>
      </w:r>
    </w:p>
    <w:p>
      <w:pPr>
        <w:spacing w:after="0" w:line="220" w:lineRule="exact"/>
        <w:rPr>
          <w:rFonts w:ascii="Arial" w:cs="Arial" w:eastAsia="Arial" w:hAnsi="Arial"/>
          <w:sz w:val="16"/>
          <w:szCs w:val="16"/>
          <w:color w:val="auto"/>
        </w:rPr>
      </w:pPr>
    </w:p>
    <w:p>
      <w:pPr>
        <w:jc w:val="both"/>
        <w:ind w:firstLine="656"/>
        <w:spacing w:after="0" w:line="270" w:lineRule="auto"/>
        <w:tabs>
          <w:tab w:leader="none" w:pos="999"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Closing; Delivery</w:t>
      </w:r>
      <w:r>
        <w:rPr>
          <w:rFonts w:ascii="Arial" w:cs="Arial" w:eastAsia="Arial" w:hAnsi="Arial"/>
          <w:sz w:val="17"/>
          <w:szCs w:val="17"/>
          <w:color w:val="auto"/>
        </w:rPr>
        <w:t>. The Company will deliver to Lenders the Notes against receipt by the Company of the purchase price for the Notes in an aggregate purchase price of up to Three Million Dollars ($3,000,000)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Each Warrant shall be issued within three (3) business days following the receipt by the Company of the purchase price for the Note. The initial closing (the “</w:t>
      </w:r>
      <w:r>
        <w:rPr>
          <w:rFonts w:ascii="Arial" w:cs="Arial" w:eastAsia="Arial" w:hAnsi="Arial"/>
          <w:sz w:val="17"/>
          <w:szCs w:val="17"/>
          <w:u w:val="single" w:color="auto"/>
          <w:color w:val="auto"/>
        </w:rPr>
        <w:t>Initial Closing</w:t>
      </w:r>
      <w:r>
        <w:rPr>
          <w:rFonts w:ascii="Arial" w:cs="Arial" w:eastAsia="Arial" w:hAnsi="Arial"/>
          <w:sz w:val="17"/>
          <w:szCs w:val="17"/>
          <w:color w:val="auto"/>
        </w:rPr>
        <w:t>”) of the purchase and sale of the Notes and Warrants to be acquired by the Lenders from the Company under this Agreement shall take place at such time as Lenders have executed this Agreement to purchase at least Five Hundred Thousand Dollars ($500,000) principal amount of Notes (the “</w:t>
      </w:r>
      <w:r>
        <w:rPr>
          <w:rFonts w:ascii="Arial" w:cs="Arial" w:eastAsia="Arial" w:hAnsi="Arial"/>
          <w:sz w:val="17"/>
          <w:szCs w:val="17"/>
          <w:u w:val="single" w:color="auto"/>
          <w:color w:val="auto"/>
        </w:rPr>
        <w:t>Closing</w:t>
      </w:r>
      <w:r>
        <w:rPr>
          <w:rFonts w:ascii="Arial" w:cs="Arial" w:eastAsia="Arial" w:hAnsi="Arial"/>
          <w:sz w:val="17"/>
          <w:szCs w:val="17"/>
          <w:color w:val="auto"/>
        </w:rPr>
        <w:t>”), and all of the conditions set forth in Sections 5 and 6 hereof and applicable to the Closing shall have been fulfilled or waived in accordance herewith (the “</w:t>
      </w:r>
      <w:r>
        <w:rPr>
          <w:rFonts w:ascii="Arial" w:cs="Arial" w:eastAsia="Arial" w:hAnsi="Arial"/>
          <w:sz w:val="17"/>
          <w:szCs w:val="17"/>
          <w:u w:val="single" w:color="auto"/>
          <w:color w:val="auto"/>
        </w:rPr>
        <w:t>Closing Date</w:t>
      </w:r>
      <w:r>
        <w:rPr>
          <w:rFonts w:ascii="Arial" w:cs="Arial" w:eastAsia="Arial" w:hAnsi="Arial"/>
          <w:sz w:val="17"/>
          <w:szCs w:val="17"/>
          <w:color w:val="auto"/>
        </w:rPr>
        <w:t>”). At the Initial Closing, each Lender shall deliver its Purchase Price by wire transfer to an escrow account designated by the escrow agent in the Escrow Agreement substantially in the form attached hereto as Exhibit D (“</w:t>
      </w:r>
      <w:r>
        <w:rPr>
          <w:rFonts w:ascii="Arial" w:cs="Arial" w:eastAsia="Arial" w:hAnsi="Arial"/>
          <w:sz w:val="17"/>
          <w:szCs w:val="17"/>
          <w:u w:val="single" w:color="auto"/>
          <w:color w:val="auto"/>
        </w:rPr>
        <w:t>Escrow Agreement</w:t>
      </w:r>
      <w:r>
        <w:rPr>
          <w:rFonts w:ascii="Arial" w:cs="Arial" w:eastAsia="Arial" w:hAnsi="Arial"/>
          <w:sz w:val="17"/>
          <w:szCs w:val="17"/>
          <w:color w:val="auto"/>
        </w:rPr>
        <w:t>”). After the Initial Closing, the Company may conduct any number of additional closings (each, an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Closing</w:t>
      </w:r>
      <w:r>
        <w:rPr>
          <w:rFonts w:ascii="Arial" w:cs="Arial" w:eastAsia="Arial" w:hAnsi="Arial"/>
          <w:sz w:val="17"/>
          <w:szCs w:val="17"/>
          <w:color w:val="auto"/>
        </w:rPr>
        <w:t>”) until $3,000,000 principal amount of Notes have been issued and sold to the Lenders. At each Additional Closing, each Lender shall deliver its Purchase Price by wire transfer to an escrow account designated by the escrow agent.</w:t>
      </w:r>
    </w:p>
    <w:p>
      <w:pPr>
        <w:spacing w:after="0" w:line="231" w:lineRule="exact"/>
        <w:rPr>
          <w:rFonts w:ascii="Arial" w:cs="Arial" w:eastAsia="Arial" w:hAnsi="Arial"/>
          <w:sz w:val="17"/>
          <w:szCs w:val="17"/>
          <w:color w:val="auto"/>
        </w:rPr>
      </w:pPr>
    </w:p>
    <w:p>
      <w:pPr>
        <w:jc w:val="both"/>
        <w:ind w:firstLine="656"/>
        <w:spacing w:after="0" w:line="264" w:lineRule="auto"/>
        <w:tabs>
          <w:tab w:leader="none" w:pos="101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Subject to any exceptions set forth in schedules attached hereto, and except as set forth in Commission Documents, as such term is defined in Section 3(g) below, which schedules and Commission Documents are incorporated herein by this reference, the Company hereby represents and warrants to each Lender that:</w:t>
      </w:r>
    </w:p>
    <w:p>
      <w:pPr>
        <w:spacing w:after="0" w:line="235" w:lineRule="exact"/>
        <w:rPr>
          <w:sz w:val="20"/>
          <w:szCs w:val="20"/>
          <w:color w:val="auto"/>
        </w:rPr>
      </w:pPr>
    </w:p>
    <w:p>
      <w:pPr>
        <w:jc w:val="both"/>
        <w:ind w:firstLine="656"/>
        <w:spacing w:after="0" w:line="253" w:lineRule="auto"/>
        <w:tabs>
          <w:tab w:leader="none" w:pos="10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Organization and Standing</w:t>
      </w:r>
      <w:r>
        <w:rPr>
          <w:rFonts w:ascii="Arial" w:cs="Arial" w:eastAsia="Arial" w:hAnsi="Arial"/>
          <w:sz w:val="18"/>
          <w:szCs w:val="18"/>
          <w:color w:val="auto"/>
        </w:rPr>
        <w:t>. The Company is a corporation duly organized, validly existing and in good standing under the laws of the State of Nevada and has all requisite corporate power and authority to carry on its business as now conducted and proposed to be conducted. The Company does not have any Subsidiaries (as defined in Section 3(h)) or own securities of any kind in any other entity. The Company and each such Subsidiary (as defined in Section 3(h)) is duly qualified as a foreign corporation to do business and is in good standing in every jurisdiction in which the nature of the business conducted or property owned by it makes such qualification necessary except for any jurisdiction(s) (alone or in the aggregate) in which the failure to be so qualified will not have a Material Adverse Effect. For the purposes of this Agreement,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material adverse effect on the business, operations, properties, prospects, or financial condition of the Company and its Subsidiaries and/or any condition, circumstance, or situation that would prohibit or otherwise materially interfere with the ability of the Company to perform any of its obligations under this Agreement in any material respect.</w:t>
      </w:r>
    </w:p>
    <w:p>
      <w:pPr>
        <w:spacing w:after="0" w:line="251" w:lineRule="exact"/>
        <w:rPr>
          <w:rFonts w:ascii="Arial" w:cs="Arial" w:eastAsia="Arial" w:hAnsi="Arial"/>
          <w:sz w:val="18"/>
          <w:szCs w:val="18"/>
          <w:color w:val="auto"/>
        </w:rPr>
      </w:pPr>
    </w:p>
    <w:p>
      <w:pPr>
        <w:jc w:val="both"/>
        <w:ind w:firstLine="656"/>
        <w:spacing w:after="0" w:line="259"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Corporate Power</w:t>
      </w:r>
      <w:r>
        <w:rPr>
          <w:rFonts w:ascii="Arial" w:cs="Arial" w:eastAsia="Arial" w:hAnsi="Arial"/>
          <w:sz w:val="18"/>
          <w:szCs w:val="18"/>
          <w:color w:val="auto"/>
        </w:rPr>
        <w:t>. The Company has all requisite legal and corporate power to enter into, execute and deliver the Transaction Documents. This Agreement, and, upon issuance, the Notes and Warrants will be, valid and binding obligations of the Company, enforceable in accordance with their respective terms, except as the same may be limited by bankruptcy, insolvency, moratorium, and other laws of general application affecting the enforcement of creditors’ rights.</w:t>
      </w:r>
    </w:p>
    <w:p>
      <w:pPr>
        <w:spacing w:after="0" w:line="240" w:lineRule="exact"/>
        <w:rPr>
          <w:rFonts w:ascii="Arial" w:cs="Arial" w:eastAsia="Arial" w:hAnsi="Arial"/>
          <w:sz w:val="18"/>
          <w:szCs w:val="18"/>
          <w:color w:val="auto"/>
        </w:rPr>
      </w:pPr>
    </w:p>
    <w:p>
      <w:pPr>
        <w:jc w:val="both"/>
        <w:ind w:firstLine="656"/>
        <w:spacing w:after="0" w:line="297" w:lineRule="auto"/>
        <w:tabs>
          <w:tab w:leader="none" w:pos="1064"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All corporate and legal action on the part of the Company, its officers, directors and shareholders necessary for the execution and delivery of the Transaction Documents, the sale and issuance of the Note and the Warrants, and the performance of the Company’s obligations hereunder and under the other Transaction Documents, have been taken. When paid for and issued in accordance with the terms hereof, the Notes shall be validly issued and outstanding, free and clear of all liens, encumbrances and rights of refusal of any kind. When the Warrant Shares are issued and paid for in accordance with the terms of this Agreement, such Warrant Shares will be duly authorized by all necessary corporate action and validly issued and outstanding, fully paid</w:t>
      </w:r>
    </w:p>
    <w:p>
      <w:pPr>
        <w:sectPr>
          <w:pgSz w:w="11900" w:h="16838" w:orient="portrait"/>
          <w:cols w:equalWidth="0" w:num="1">
            <w:col w:w="11420"/>
          </w:cols>
          <w:pgMar w:left="240" w:top="364" w:right="239" w:bottom="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and nonassessable, free and clear of all liens, encumbrances and rights of refusal of any kind and the holders shall be entitled to all rights accorded to a holder of Common Stock.</w:t>
      </w:r>
    </w:p>
    <w:p>
      <w:pPr>
        <w:spacing w:after="0" w:line="224" w:lineRule="exact"/>
        <w:rPr>
          <w:sz w:val="20"/>
          <w:szCs w:val="20"/>
          <w:color w:val="auto"/>
        </w:rPr>
      </w:pPr>
    </w:p>
    <w:p>
      <w:pPr>
        <w:jc w:val="both"/>
        <w:ind w:firstLine="656"/>
        <w:spacing w:after="0" w:line="284" w:lineRule="auto"/>
        <w:tabs>
          <w:tab w:leader="none" w:pos="1074"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capital stock of the Company as of the date hereof is set forth on Schedule 3(d) hereto. All of the outstanding shares of the Common Stock and any other outstanding security of the Company have been duly and validly authorized and validly issued, fully paid and nonassessable. Except as set forth in this Agreement, no shares of Common Stock or any other security of the Company are entitled to preemptive rights, registration rights, rights of first refusal or similar rights and there are no outstanding options, warrants, scrip, rights to subscribe to, call or commitments of any character whatsoever relating to, or securities or rights convertible into, any shares of capital stock of the Company. Except for customary transfer restrictions contained in agreements entered into by the Company in order to sell restricted securities, the Company is not a party to or bound by any agreement or understanding granting registration or anti-dilution rights to any person with respect to any of its equity or debt securities. The Company is not a party to, and it has no knowledge of, any agreement or understanding restricting the voting or transfer of any shares of the capital stock of the Company. Except as disclosed below, (i) there are no outstanding debt securities, or other form of material debt of the Company or any of its Subsidiaries, (ii) there are no contracts, commitments, understandings, agreements or arrangements under which the Company or any of its Subsidiaries is required to register the sale of any of their securities under the Securities Act, (iii) there are no outstanding securities of the Company or any of its Subsidiaries which contain any redemption or similar provisions, and there are no contracts, commitments, understandings, agreements or arrangements by which the Company or any of its Subsidiaries is or may become bound to redeem a security of the Company or any of its Subsidiaries, (iv) there are no securities or instruments containing anti-dilution or similar provisions that will be triggered by the issuance of the Securities, (v) the Company does not have any stock appreciation rights or “phantom stock” plans or agreements, or any similar plan or agreement and (vi) as of the date of this Agreement, to the Company’s and each of its Subsidiaries’ knowledge, no person or group of related persons beneficially owns (as determined pursuant to Rule 13d-3 promulgated under the Exchange Act (as defined below)) or has the right to acquire by agreement with or by obligation binding upon the Company, beneficial ownership of in excess of 5% of the Common Stock. Any person with any right to purchase securities of the Company that would be triggered as a result of the transactions contemplated hereby or by any of the other Transaction Documents has waived such rights or the time for the exercise of such rights has passed, except where failure of the Company to receive such waiver would not have a Material Adverse Effect. There are no options, warrants or other outstanding securities of the Company (including, without limitation, any equity securities issued pursuant to any Company Plan) the vesting of which will be accelerated by the transactions contemplated hereby or by any of the other Transaction Documents. None of the transactions contemplated by this Agreement or by any of the other Transaction Documents shall cause, directly or indirectly, the acceleration of vesting of any options issued pursuant the Company’s stock option plans.</w:t>
      </w:r>
    </w:p>
    <w:p>
      <w:pPr>
        <w:spacing w:after="0" w:line="233" w:lineRule="exact"/>
        <w:rPr>
          <w:sz w:val="20"/>
          <w:szCs w:val="20"/>
          <w:color w:val="auto"/>
        </w:rPr>
      </w:pPr>
    </w:p>
    <w:p>
      <w:pPr>
        <w:ind w:left="660"/>
        <w:spacing w:after="0"/>
        <w:tabs>
          <w:tab w:leader="none" w:pos="1060" w:val="left"/>
          <w:tab w:leader="none" w:pos="34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u w:val="single" w:color="auto"/>
          <w:color w:val="auto"/>
        </w:rPr>
        <w:t>No Conflicts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execution, delivery and performance by the Company of its obligations under the Transaction Documents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will not: (i) conflict with or result in a breach of or a default under any of the terms or provisions of, (A) the Company's certificate of incorporation (the “Certificate”) or by-laws (”Bylaws”), or (B) any material provision of any indenture, mortgage, deed of trust or other material agreement or instrument to which the Company is a party or by which it or any of its material properties or assets (including, without limitation, the Collateral) is bound, (ii) result in a violation of any material provision of any law, statute, rule, regulation, or any existing applicable decree, judgment or order by any court, Federal or state regulatory body, administrative agency, or other governmental body having jurisdiction over the Company, or any of its material properties or assets or (iii) result in the creation or imposition of any material lien, charge or encumbrance upon any material property or assets of the Company or any of its subsidiaries pursuant to the terms of any agreement or instrument to which any of them is a party or by which any of them may be bound or to which any of their property or any of them is subject except, in the case of clauses (ii) and (iii), for such violations, breaches, conflicts, defaults or other occurrences which, individually or in the aggregate, would not have a Material Adverse Effect.</w:t>
      </w:r>
    </w:p>
    <w:p>
      <w:pPr>
        <w:spacing w:after="0" w:line="236" w:lineRule="exact"/>
        <w:rPr>
          <w:sz w:val="20"/>
          <w:szCs w:val="20"/>
          <w:color w:val="auto"/>
        </w:rPr>
      </w:pPr>
    </w:p>
    <w:p>
      <w:pPr>
        <w:ind w:right="20" w:firstLine="656"/>
        <w:spacing w:after="0" w:line="277" w:lineRule="auto"/>
        <w:tabs>
          <w:tab w:leader="none" w:pos="104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Approvals</w:t>
      </w:r>
      <w:r>
        <w:rPr>
          <w:rFonts w:ascii="Arial" w:cs="Arial" w:eastAsia="Arial" w:hAnsi="Arial"/>
          <w:sz w:val="18"/>
          <w:szCs w:val="18"/>
          <w:color w:val="auto"/>
        </w:rPr>
        <w:t>. No consent, approval or authorization of or designation, declaration or filing with any governmental authority on the part of the Company is required in connection with the valid execution and delivery of the Transaction Documents.</w:t>
      </w:r>
    </w:p>
    <w:p>
      <w:pPr>
        <w:spacing w:after="0" w:line="224" w:lineRule="exact"/>
        <w:rPr>
          <w:rFonts w:ascii="Arial" w:cs="Arial" w:eastAsia="Arial" w:hAnsi="Arial"/>
          <w:sz w:val="18"/>
          <w:szCs w:val="18"/>
          <w:color w:val="auto"/>
        </w:rPr>
      </w:pPr>
    </w:p>
    <w:p>
      <w:pPr>
        <w:jc w:val="both"/>
        <w:ind w:firstLine="818"/>
        <w:spacing w:after="0" w:line="286" w:lineRule="auto"/>
        <w:tabs>
          <w:tab w:leader="none" w:pos="1236"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Commission Documents, Financial Statements</w:t>
      </w:r>
      <w:r>
        <w:rPr>
          <w:rFonts w:ascii="Arial" w:cs="Arial" w:eastAsia="Arial" w:hAnsi="Arial"/>
          <w:sz w:val="16"/>
          <w:szCs w:val="16"/>
          <w:color w:val="auto"/>
        </w:rPr>
        <w:t>. The Common Stock of the Company is registered pursuant to Section 12(b) or 12(g)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Company has filed all reports, schedules, forms, statements and other documents required to be filed by it with the Commission pursuant to the reporting requirements of the Exchange Act (all of the foregoing including filings incorporated by reference therein being referred to herein as the “</w:t>
      </w:r>
      <w:r>
        <w:rPr>
          <w:rFonts w:ascii="Arial" w:cs="Arial" w:eastAsia="Arial" w:hAnsi="Arial"/>
          <w:sz w:val="16"/>
          <w:szCs w:val="16"/>
          <w:u w:val="single" w:color="auto"/>
          <w:color w:val="auto"/>
        </w:rPr>
        <w:t>Commission Documents</w:t>
      </w:r>
      <w:r>
        <w:rPr>
          <w:rFonts w:ascii="Arial" w:cs="Arial" w:eastAsia="Arial" w:hAnsi="Arial"/>
          <w:sz w:val="16"/>
          <w:szCs w:val="16"/>
          <w:color w:val="auto"/>
        </w:rPr>
        <w:t>”). At the times of their respective filings, the Form 10-Q for the fiscal quarters ended June 30, 2011, September 30, 2011 and December 31, 2011 (collectively, the “</w:t>
      </w:r>
      <w:r>
        <w:rPr>
          <w:rFonts w:ascii="Arial" w:cs="Arial" w:eastAsia="Arial" w:hAnsi="Arial"/>
          <w:sz w:val="16"/>
          <w:szCs w:val="16"/>
          <w:u w:val="single" w:color="auto"/>
          <w:color w:val="auto"/>
        </w:rPr>
        <w:t>Form 10-Q</w:t>
      </w:r>
      <w:r>
        <w:rPr>
          <w:rFonts w:ascii="Arial" w:cs="Arial" w:eastAsia="Arial" w:hAnsi="Arial"/>
          <w:sz w:val="16"/>
          <w:szCs w:val="16"/>
          <w:color w:val="auto"/>
        </w:rPr>
        <w:t>”) and the Form 8-K dated May 16, 2011, as amended, (the “</w:t>
      </w:r>
      <w:r>
        <w:rPr>
          <w:rFonts w:ascii="Arial" w:cs="Arial" w:eastAsia="Arial" w:hAnsi="Arial"/>
          <w:sz w:val="16"/>
          <w:szCs w:val="16"/>
          <w:u w:val="single" w:color="auto"/>
          <w:color w:val="auto"/>
        </w:rPr>
        <w:t>Form 8-K</w:t>
      </w:r>
      <w:r>
        <w:rPr>
          <w:rFonts w:ascii="Arial" w:cs="Arial" w:eastAsia="Arial" w:hAnsi="Arial"/>
          <w:sz w:val="16"/>
          <w:szCs w:val="16"/>
          <w:color w:val="auto"/>
        </w:rPr>
        <w:t>”) complied in all material respects with the requirements of the Exchange Act and the rules and regulations of the Commission promulgated thereunder, and the Form 10-Q and Form 8-K did not contain any untrue statement of a material fact or omit to state a material fact required to be stated therein or necessary in order to make the statements therein, in light of the circumstances under which they were made, not misleading. As of their respective dates, the financial statements of the Company included in the Commission Documents complied as to form in all material respects with applicable accounting requirements and the published rules and regulations of the Commission. Such financial statements have been prepared in accordance with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during the periods involved (except (i) as may be otherwise indicated in such financial statements or the notes thereto or (ii) in the case of unaudited interim statements, to the extent they may not include footnotes or may be condensed or summary statements), and fairly present in all material respects the financial position of the Company and its Subsidiaries as of the dates thereof and the results of operations and cash flows for the periods then ended (subject, in the case of unaudited statements, to normal year-end audit adjustments).</w:t>
      </w:r>
    </w:p>
    <w:p>
      <w:pPr>
        <w:spacing w:after="0" w:line="225" w:lineRule="exact"/>
        <w:rPr>
          <w:rFonts w:ascii="Arial" w:cs="Arial" w:eastAsia="Arial" w:hAnsi="Arial"/>
          <w:sz w:val="16"/>
          <w:szCs w:val="16"/>
          <w:color w:val="auto"/>
        </w:rPr>
      </w:pPr>
    </w:p>
    <w:p>
      <w:pPr>
        <w:jc w:val="both"/>
        <w:ind w:firstLine="818"/>
        <w:spacing w:after="0" w:line="287" w:lineRule="auto"/>
        <w:tabs>
          <w:tab w:leader="none" w:pos="1236"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3(h)</w:t>
      </w:r>
      <w:r>
        <w:rPr>
          <w:rFonts w:ascii="Arial" w:cs="Arial" w:eastAsia="Arial" w:hAnsi="Arial"/>
          <w:sz w:val="16"/>
          <w:szCs w:val="16"/>
          <w:color w:val="auto"/>
        </w:rPr>
        <w:t xml:space="preserve"> hereto sets forth each Subsidiary of the Company, showing the jurisdiction of its incorporation or organization and showing the percentage of each person’s ownership of the outstanding stock or other interests of such Subsidiary. For the purposes of this Agreement, “</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corporation or other entity of which at least a majority of the securities or other ownership interest having ordinary voting power (absolutely or contingently) for the election of directors or other persons performing similar functions are at the time owned directly or indirectly by the Company and/or any of its other Subsidiaries. All of the outstanding shares of capital stock of each Subsidiary have been duly authorized and validly issued, and are fully paid and nonassessable. There are no outstanding preemptive, conversion or other rights, options, warrants or agreements granted or issued by or binding upon any Subsidiary for the purchase or acquisition of any shares of capital stock of any Subsidiary or any other securities convertible into, exchangeable for or evidencing the rights to subscribe for any shares of such capital stock. Neither the Company nor any Subsidiary is subject to any obligation (contingent or otherwise) to repurchase or otherwise acquire or retire any shares of the capital stock of any Subsidiary or any convertible securities, rights, warrants or options of the type described in the preceding sentence. Neither the Company nor any Subsidiary is party to, nor has any knowledge of, any agreement restricting the voting or transfer of any shares of the capital stock of any Subsidiary.</w:t>
      </w:r>
    </w:p>
    <w:p>
      <w:pPr>
        <w:spacing w:after="0" w:line="226" w:lineRule="exact"/>
        <w:rPr>
          <w:rFonts w:ascii="Arial" w:cs="Arial" w:eastAsia="Arial" w:hAnsi="Arial"/>
          <w:sz w:val="16"/>
          <w:szCs w:val="16"/>
          <w:color w:val="auto"/>
        </w:rPr>
      </w:pPr>
    </w:p>
    <w:p>
      <w:pPr>
        <w:ind w:left="1200" w:hanging="382"/>
        <w:spacing w:after="0"/>
        <w:tabs>
          <w:tab w:leader="none" w:pos="1200"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December 31, 2011, the Company has not experienced or suffered any Material Adverse Effect.</w:t>
      </w:r>
    </w:p>
    <w:p>
      <w:pPr>
        <w:spacing w:after="0" w:line="290" w:lineRule="exact"/>
        <w:rPr>
          <w:rFonts w:ascii="Arial" w:cs="Arial" w:eastAsia="Arial" w:hAnsi="Arial"/>
          <w:sz w:val="17"/>
          <w:szCs w:val="17"/>
          <w:color w:val="auto"/>
        </w:rPr>
      </w:pPr>
    </w:p>
    <w:p>
      <w:pPr>
        <w:jc w:val="both"/>
        <w:ind w:firstLine="818"/>
        <w:spacing w:after="0" w:line="312" w:lineRule="auto"/>
        <w:tabs>
          <w:tab w:leader="none" w:pos="1223"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Neither the Company nor any of its Subsidiaries has incurred any liabilities, obligations, claims or losses (whether liquidated or unliquidated, secured or unsecured, absolute, accrued, contingent or otherwise) other than those incurred in the ordinary course of the Company’s or its Subsidiaries respective businesses or which, individually or in the aggregate, are not reasonably likely to have a Material Adverse Effect.</w:t>
      </w:r>
    </w:p>
    <w:p>
      <w:pPr>
        <w:sectPr>
          <w:pgSz w:w="11900" w:h="16838" w:orient="portrait"/>
          <w:cols w:equalWidth="0" w:num="1">
            <w:col w:w="11420"/>
          </w:cols>
          <w:pgMar w:left="240" w:top="125" w:right="239" w:bottom="0" w:gutter="0" w:footer="0" w:header="0"/>
        </w:sectPr>
      </w:pPr>
    </w:p>
    <w:bookmarkStart w:id="6" w:name="page7"/>
    <w:bookmarkEnd w:id="6"/>
    <w:p>
      <w:pPr>
        <w:spacing w:after="0" w:line="103" w:lineRule="exact"/>
        <w:rPr>
          <w:sz w:val="20"/>
          <w:szCs w:val="20"/>
          <w:color w:val="auto"/>
        </w:rPr>
      </w:pPr>
    </w:p>
    <w:p>
      <w:pPr>
        <w:jc w:val="both"/>
        <w:ind w:left="-8" w:firstLine="818"/>
        <w:spacing w:after="0" w:line="286" w:lineRule="auto"/>
        <w:tabs>
          <w:tab w:leader="none" w:pos="1242"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No Undisclosed Events or Circumstances</w:t>
      </w:r>
      <w:r>
        <w:rPr>
          <w:rFonts w:ascii="Arial" w:cs="Arial" w:eastAsia="Arial" w:hAnsi="Arial"/>
          <w:sz w:val="17"/>
          <w:szCs w:val="17"/>
          <w:color w:val="auto"/>
        </w:rPr>
        <w:t>. Since December 31, 2011, no event or circumstance has occurred or exists with respect to the Company or its Subsidiaries or their respective businesses, properties, prospects, operations or financial condition, which, under applicable law, rule or regulation, requires public disclosure or announcement by the Company but which has not been so publicly announced or disclosed.</w:t>
      </w:r>
    </w:p>
    <w:p>
      <w:pPr>
        <w:spacing w:after="0" w:line="219" w:lineRule="exact"/>
        <w:rPr>
          <w:rFonts w:ascii="Arial" w:cs="Arial" w:eastAsia="Arial" w:hAnsi="Arial"/>
          <w:sz w:val="17"/>
          <w:szCs w:val="17"/>
          <w:color w:val="auto"/>
        </w:rPr>
      </w:pPr>
    </w:p>
    <w:p>
      <w:pPr>
        <w:jc w:val="both"/>
        <w:ind w:left="-8" w:firstLine="818"/>
        <w:spacing w:after="0" w:line="291" w:lineRule="auto"/>
        <w:tabs>
          <w:tab w:leader="none" w:pos="1202"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3(l)</w:t>
      </w:r>
      <w:r>
        <w:rPr>
          <w:rFonts w:ascii="Arial" w:cs="Arial" w:eastAsia="Arial" w:hAnsi="Arial"/>
          <w:sz w:val="16"/>
          <w:szCs w:val="16"/>
          <w:color w:val="auto"/>
        </w:rPr>
        <w:t xml:space="preserve"> hereto sets forth as of the date hereof all outstanding secured and unsecured Indebtedness of the Company or any Subsidiary, or Indebtedness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shall mean</w:t>
      </w:r>
    </w:p>
    <w:p>
      <w:pPr>
        <w:ind w:left="252" w:hanging="252"/>
        <w:spacing w:after="0"/>
        <w:tabs>
          <w:tab w:leader="none" w:pos="252"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liabilities for borrowed money or amounts owed in excess of $100,000 (other than trade accounts payable incurred in the ordinary course of business),</w:t>
      </w:r>
    </w:p>
    <w:p>
      <w:pPr>
        <w:spacing w:after="0" w:line="32" w:lineRule="exact"/>
        <w:rPr>
          <w:rFonts w:ascii="Arial" w:cs="Arial" w:eastAsia="Arial" w:hAnsi="Arial"/>
          <w:sz w:val="16"/>
          <w:szCs w:val="16"/>
          <w:color w:val="auto"/>
        </w:rPr>
      </w:pPr>
    </w:p>
    <w:p>
      <w:pPr>
        <w:jc w:val="both"/>
        <w:ind w:left="-8" w:firstLine="8"/>
        <w:spacing w:after="0" w:line="273" w:lineRule="auto"/>
        <w:tabs>
          <w:tab w:leader="none" w:pos="247"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guaranties, endorsements and other contingent obligations in respect of Indebtedness of others,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 Neither the Company nor any Subsidiary is in default with respect to any Indebtedness.</w:t>
      </w:r>
    </w:p>
    <w:p>
      <w:pPr>
        <w:spacing w:after="0" w:line="230" w:lineRule="exact"/>
        <w:rPr>
          <w:rFonts w:ascii="Arial" w:cs="Arial" w:eastAsia="Arial" w:hAnsi="Arial"/>
          <w:sz w:val="17"/>
          <w:szCs w:val="17"/>
          <w:color w:val="auto"/>
        </w:rPr>
      </w:pPr>
    </w:p>
    <w:p>
      <w:pPr>
        <w:jc w:val="both"/>
        <w:ind w:left="-8" w:firstLine="818"/>
        <w:spacing w:after="0" w:line="259" w:lineRule="auto"/>
        <w:tabs>
          <w:tab w:leader="none" w:pos="1278"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Title to Assets</w:t>
      </w:r>
      <w:r>
        <w:rPr>
          <w:rFonts w:ascii="Arial" w:cs="Arial" w:eastAsia="Arial" w:hAnsi="Arial"/>
          <w:sz w:val="18"/>
          <w:szCs w:val="18"/>
          <w:color w:val="auto"/>
        </w:rPr>
        <w:t>. Each of the Company and the Subsidiaries has good and valid title to all of its real and personal property reflected in the Commission Documents, free and clear of any mortgages, pledges, charges, liens, security interests or other encumbrances, except for those that, individually or in the aggregate, do not cause a Material Adverse Effect. Any leases of the Company and each of its Subsidiaries are valid and subsisting and in full force and effect.</w:t>
      </w:r>
    </w:p>
    <w:p>
      <w:pPr>
        <w:spacing w:after="0" w:line="240" w:lineRule="exact"/>
        <w:rPr>
          <w:rFonts w:ascii="Arial" w:cs="Arial" w:eastAsia="Arial" w:hAnsi="Arial"/>
          <w:sz w:val="18"/>
          <w:szCs w:val="18"/>
          <w:color w:val="auto"/>
        </w:rPr>
      </w:pPr>
    </w:p>
    <w:p>
      <w:pPr>
        <w:jc w:val="both"/>
        <w:ind w:left="-8" w:firstLine="818"/>
        <w:spacing w:after="0" w:line="290" w:lineRule="auto"/>
        <w:tabs>
          <w:tab w:leader="none" w:pos="1255"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Actions Pending</w:t>
      </w:r>
      <w:r>
        <w:rPr>
          <w:rFonts w:ascii="Arial" w:cs="Arial" w:eastAsia="Arial" w:hAnsi="Arial"/>
          <w:sz w:val="16"/>
          <w:szCs w:val="16"/>
          <w:color w:val="auto"/>
        </w:rPr>
        <w:t>. There is no action, suit, claim, investigation, arbitration, alternate dispute resolution proceeding or other proceeding pending or, to the knowledge of the Company, threatened against the Company or any Subsidiary which questions the validity of this Agreement or any of the other Transaction Documents or any of the transactions contemplated hereby or thereby or any action taken or to be taken pursuant hereto or thereto. There is no action, suit, claim, investigation, arbitration, alternate dispute resolution proceeding or other proceeding pending or, to the knowledge of the Company, threatened against or involving the Company, any Subsidiary or any of their respective properties or assets, which individually or in the aggregate, would reasonably be expected, if adversely determined, to have a Material Adverse Effect. There are no outstanding orders, judgments, injunctions, awards or decrees of any court, arbitrator or governmental or regulatory body against the Company or any Subsidiary or any officers or directors of the Company or Subsidiary in their capacities as such, which individually or in the aggregate, could reasonably be expected to have a Material Adverse Effect.</w:t>
      </w:r>
    </w:p>
    <w:p>
      <w:pPr>
        <w:spacing w:after="0" w:line="220" w:lineRule="exact"/>
        <w:rPr>
          <w:rFonts w:ascii="Arial" w:cs="Arial" w:eastAsia="Arial" w:hAnsi="Arial"/>
          <w:sz w:val="16"/>
          <w:szCs w:val="16"/>
          <w:color w:val="auto"/>
        </w:rPr>
      </w:pPr>
    </w:p>
    <w:p>
      <w:pPr>
        <w:jc w:val="both"/>
        <w:ind w:left="-8" w:firstLine="818"/>
        <w:spacing w:after="0" w:line="293" w:lineRule="auto"/>
        <w:tabs>
          <w:tab w:leader="none" w:pos="1255"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The business of the Company and the Subsidiaries has been and, to the best of the Company’s knowledge is, presently being conducted in accordance with all applicable federal, state and local governmental laws, rules, regulations and ordinances, except where, individually or in the aggregate, the noncompliance therewith could not reasonably be expected to have a Material Adverse Effect. The Company and each of its Subsidiaries have all franchises, permits, licenses, consents and other governmental or regulatory authorizations and approvals necessary for the conduct of its business as now being conducted by it unless the failure to possess such franchises, permits, licenses, consents and other governmental or regulatory authorizations and approvals, individually or in the aggregate, could not reasonably be expected to have a Material Adverse Effect.</w:t>
      </w:r>
    </w:p>
    <w:p>
      <w:pPr>
        <w:spacing w:after="0" w:line="218" w:lineRule="exact"/>
        <w:rPr>
          <w:rFonts w:ascii="Arial" w:cs="Arial" w:eastAsia="Arial" w:hAnsi="Arial"/>
          <w:sz w:val="16"/>
          <w:szCs w:val="16"/>
          <w:color w:val="auto"/>
        </w:rPr>
      </w:pPr>
    </w:p>
    <w:p>
      <w:pPr>
        <w:jc w:val="both"/>
        <w:ind w:left="-8" w:firstLine="818"/>
        <w:spacing w:after="0" w:line="255" w:lineRule="auto"/>
        <w:tabs>
          <w:tab w:leader="none" w:pos="1228"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and each of the Subsidiaries has accurately prepared and filed all federal, state and other tax returns required by law to be filed by it, has paid or made provisions for the payment of all taxes shown to be due and all additional assessments, and adequate provisions have been and are reflected in the financial statements of the Company and the Subsidiaries for all current taxes and other charges to which the Company or any Subsidiary is subject and which are not currently due and payable. None of the federal income tax returns of the Company or any Subsidiary have been audited by the Internal Revenue Service. The Company has no knowledge of any additional assessments, adjustments or contingent tax liability (whether federal or state) of any nature whatsoever, whether pending or threatened against the Company or any Subsidiary for any period, nor of any basis for any such assessment, adjustment or contingency.</w:t>
      </w:r>
    </w:p>
    <w:p>
      <w:pPr>
        <w:spacing w:after="0" w:line="243" w:lineRule="exact"/>
        <w:rPr>
          <w:rFonts w:ascii="Arial" w:cs="Arial" w:eastAsia="Arial" w:hAnsi="Arial"/>
          <w:sz w:val="18"/>
          <w:szCs w:val="18"/>
          <w:color w:val="auto"/>
        </w:rPr>
      </w:pPr>
    </w:p>
    <w:p>
      <w:pPr>
        <w:ind w:left="-8" w:right="20" w:firstLine="818"/>
        <w:spacing w:after="0" w:line="308" w:lineRule="auto"/>
        <w:tabs>
          <w:tab w:leader="none" w:pos="1228"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The Company has not employed any broker or finder or incurred any liability for any brokerage or investment banking fees, commissions, finders’ structuring fees, financial advisory fees or other similar fees in connection with the Transaction Documents.</w:t>
      </w:r>
    </w:p>
    <w:p>
      <w:pPr>
        <w:spacing w:after="0" w:line="200" w:lineRule="exact"/>
        <w:rPr>
          <w:rFonts w:ascii="Arial" w:cs="Arial" w:eastAsia="Arial" w:hAnsi="Arial"/>
          <w:sz w:val="17"/>
          <w:szCs w:val="17"/>
          <w:color w:val="auto"/>
        </w:rPr>
      </w:pPr>
    </w:p>
    <w:p>
      <w:pPr>
        <w:jc w:val="both"/>
        <w:ind w:left="-8" w:firstLine="818"/>
        <w:spacing w:after="0" w:line="279" w:lineRule="auto"/>
        <w:tabs>
          <w:tab w:leader="none" w:pos="1198"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To the Company’s knowledge, neither the representations and warranties contained in this Section 3 or the schedules hereto nor any other documents, certificates or instruments furnished to the Lenders by or on behalf of the Company or any Subsidiary in connection with the transactions contemplated by this Agreement contain any untrue statement of a material fact or omit to state a material fact necessary in order to make the statements made herein or therein, in the light of the circumstances under which they were made herein or therein, not misleading.</w:t>
      </w:r>
    </w:p>
    <w:p>
      <w:pPr>
        <w:spacing w:after="0" w:line="225" w:lineRule="exact"/>
        <w:rPr>
          <w:rFonts w:ascii="Arial" w:cs="Arial" w:eastAsia="Arial" w:hAnsi="Arial"/>
          <w:sz w:val="17"/>
          <w:szCs w:val="17"/>
          <w:color w:val="auto"/>
        </w:rPr>
      </w:pPr>
    </w:p>
    <w:p>
      <w:pPr>
        <w:jc w:val="both"/>
        <w:ind w:left="-8" w:firstLine="818"/>
        <w:spacing w:after="0" w:line="302" w:lineRule="auto"/>
        <w:tabs>
          <w:tab w:leader="none" w:pos="1222"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Operation of Business</w:t>
      </w:r>
      <w:r>
        <w:rPr>
          <w:rFonts w:ascii="Arial" w:cs="Arial" w:eastAsia="Arial" w:hAnsi="Arial"/>
          <w:sz w:val="16"/>
          <w:szCs w:val="16"/>
          <w:color w:val="auto"/>
        </w:rPr>
        <w:t>. The Company and each of the Subsidiaries owns or possesses the rights to all patents, trademarks, domain names (whether or not registered) and any patentable improvements or copyrightable derivative works thereof, websites and intellectual property rights relating thereto, service marks, trade names, copyrights, licenses and authorizations which are necessary for the conduct of its business as now conducted without any conflict with the rights of others except where failure to own such property or possess such rights would not have a Material Adverse Effect.</w:t>
      </w:r>
    </w:p>
    <w:p>
      <w:pPr>
        <w:spacing w:after="0" w:line="208" w:lineRule="exact"/>
        <w:rPr>
          <w:rFonts w:ascii="Arial" w:cs="Arial" w:eastAsia="Arial" w:hAnsi="Arial"/>
          <w:sz w:val="16"/>
          <w:szCs w:val="16"/>
          <w:color w:val="auto"/>
        </w:rPr>
      </w:pPr>
    </w:p>
    <w:p>
      <w:pPr>
        <w:jc w:val="both"/>
        <w:ind w:left="-8" w:firstLine="818"/>
        <w:spacing w:after="0" w:line="286" w:lineRule="auto"/>
        <w:tabs>
          <w:tab w:leader="none" w:pos="1188"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Environmental Compliance</w:t>
      </w:r>
      <w:r>
        <w:rPr>
          <w:rFonts w:ascii="Arial" w:cs="Arial" w:eastAsia="Arial" w:hAnsi="Arial"/>
          <w:sz w:val="16"/>
          <w:szCs w:val="16"/>
          <w:color w:val="auto"/>
        </w:rPr>
        <w:t>. To the best of the Company’s knowledge, the Company and each of its Subsidiaries have obtained all material approvals, authorization, certificates, consents, licenses, orders and permits or other similar authorizations of all governmental authorities, or from any other person, that are required under any Environmental Laws. “Environmental Laws” shall mean all applicable laws relating to the protection of the environment including, without limitation, all requirements pertaining to reporting, licensing, permitting, controlling, investigating or remediating emissions, discharges, releases or threatened releases of hazardous substances, chemical substances, pollutants, contaminants or toxic substances, materials or wastes, whether solid, liquid or gaseous in nature, into the air, surface water, groundwater or land, or relating to the manufacture, processing, distribution, use, treatment, storage, disposal, transport or handling of hazardous substances, chemical substances, pollutants, contaminants or toxic substances, material or wastes, whether solid, liquid or gaseous in nature. To the Company’s knowledge, the Company has all necessary governmental approvals required under all Environmental Laws as necessary for the Company’s business or the business of any of its subsidiaries. Except for such instances as would not individually or in the aggregate have a Material Adverse Effect and to the knowledge of the Company, there are no past or present events, conditions, circumstances, incidents, actions or omissions relating to or in any way affecting the Company or its Subsidiaries that violate or may violate any Environmental Law after the Closing Date or that may give rise to any environmental liability, or otherwise form the basis of any claim, action, demand, suit, proceeding, hearing, study or investigation (i) under any Environmental Law, or (ii) based on or related to the manufacture, processing, distribution, use, treatment, storage (including without limitation underground storage tanks), disposal, transport or handling, or the emission, discharge, release or threatened release of any hazardous substance.</w:t>
      </w:r>
    </w:p>
    <w:p>
      <w:pPr>
        <w:spacing w:after="0" w:line="225" w:lineRule="exact"/>
        <w:rPr>
          <w:rFonts w:ascii="Arial" w:cs="Arial" w:eastAsia="Arial" w:hAnsi="Arial"/>
          <w:sz w:val="16"/>
          <w:szCs w:val="16"/>
          <w:color w:val="auto"/>
        </w:rPr>
      </w:pPr>
    </w:p>
    <w:p>
      <w:pPr>
        <w:jc w:val="both"/>
        <w:ind w:left="-8" w:firstLine="818"/>
        <w:spacing w:after="0" w:line="297" w:lineRule="auto"/>
        <w:tabs>
          <w:tab w:leader="none" w:pos="1228"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Books and Records; Internal Accounting Controls</w:t>
      </w:r>
      <w:r>
        <w:rPr>
          <w:rFonts w:ascii="Arial" w:cs="Arial" w:eastAsia="Arial" w:hAnsi="Arial"/>
          <w:sz w:val="16"/>
          <w:szCs w:val="16"/>
          <w:color w:val="auto"/>
        </w:rPr>
        <w:t>. The records and documents of the Company and its Subsidiaries accurately reflect in all material respects the information relating to the business of the Company and the Subsidiaries, the location of their assets, and the nature of all transactions giving rise to the obligations or accounts receivable of the Company or any Subsidiary. The Company and each of its Subsidiaries maintain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w:t>
      </w:r>
    </w:p>
    <w:p>
      <w:pPr>
        <w:sectPr>
          <w:pgSz w:w="11900" w:h="16941" w:orient="portrait"/>
          <w:cols w:equalWidth="0" w:num="1">
            <w:col w:w="11412"/>
          </w:cols>
          <w:pgMar w:left="248" w:top="152" w:right="239" w:bottom="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w:t>
      </w:r>
    </w:p>
    <w:p>
      <w:pPr>
        <w:spacing w:after="0" w:line="235" w:lineRule="exact"/>
        <w:rPr>
          <w:sz w:val="20"/>
          <w:szCs w:val="20"/>
          <w:color w:val="auto"/>
        </w:rPr>
      </w:pPr>
    </w:p>
    <w:p>
      <w:pPr>
        <w:jc w:val="both"/>
        <w:ind w:firstLine="818"/>
        <w:spacing w:after="0" w:line="272"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Securities Act of 1933</w:t>
      </w:r>
      <w:r>
        <w:rPr>
          <w:rFonts w:ascii="Arial" w:cs="Arial" w:eastAsia="Arial" w:hAnsi="Arial"/>
          <w:sz w:val="17"/>
          <w:szCs w:val="17"/>
          <w:color w:val="auto"/>
        </w:rPr>
        <w:t>. Based in material part upon the representations herein of the Lenders, the Company has complied and will comply with all applicable federal and state securities laws in connection with the offer, issuance and sale of the Securities hereunder. Neither the Company nor anyone acting on its behalf, directly or indirectly, has or will sell, offer to sell or solicit offers to buy any of the Securities or similar securities to, or solicit offers with respect thereto from, or enter into any negotiations relating thereto with, any person, or has taken or will take any action so as to bring the issuance and sale of any of the Securities under the registration provisions of the Securities Act and applicable state securities laws. Neither the Company nor any of its affiliates, nor any person acting on its or their behalf, has engaged in any form of general solicitation or general advertising (within the meaning of Regulation D under the Securities Act) in connection with the offer or sale of any of the Securities.</w:t>
      </w:r>
    </w:p>
    <w:p>
      <w:pPr>
        <w:spacing w:after="0" w:line="231" w:lineRule="exact"/>
        <w:rPr>
          <w:rFonts w:ascii="Arial" w:cs="Arial" w:eastAsia="Arial" w:hAnsi="Arial"/>
          <w:sz w:val="17"/>
          <w:szCs w:val="17"/>
          <w:color w:val="auto"/>
        </w:rPr>
      </w:pPr>
    </w:p>
    <w:p>
      <w:pPr>
        <w:jc w:val="both"/>
        <w:ind w:firstLine="818"/>
        <w:spacing w:after="0" w:line="255" w:lineRule="auto"/>
        <w:tabs>
          <w:tab w:leader="none" w:pos="1303"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Neither the Company nor any Subsidiary has any collective bargaining arrangements or agreements covering any of its employees. Neither the Company nor any Subsidiary has any employment contract, agreement regarding proprietary information, non-competition agreement, non-solicitation agreement, confidentiality agreement, or any other similar contract or restrictive covenant, relating to the right of any officer, employee or consultant to be employed or engaged by the Company or such Subsidiary required to be disclosed in the Commission Documents that is not so disclosed. No officer, consultant or key employee of the Company or any Subsidiary whose termination, either individually or in the aggregate, would be reasonably likely to have a Material Adverse Effect, has terminated or, to the knowledge of the Company, has any present intention of terminating his or her employment or engagement with the Company or any Subsidiary.</w:t>
      </w:r>
    </w:p>
    <w:p>
      <w:pPr>
        <w:spacing w:after="0" w:line="243" w:lineRule="exact"/>
        <w:rPr>
          <w:sz w:val="20"/>
          <w:szCs w:val="20"/>
          <w:color w:val="auto"/>
        </w:rPr>
      </w:pPr>
    </w:p>
    <w:p>
      <w:pPr>
        <w:ind w:firstLine="656"/>
        <w:spacing w:after="0" w:line="277" w:lineRule="auto"/>
        <w:tabs>
          <w:tab w:leader="none" w:pos="999"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by Lender</w:t>
      </w:r>
      <w:r>
        <w:rPr>
          <w:rFonts w:ascii="Arial" w:cs="Arial" w:eastAsia="Arial" w:hAnsi="Arial"/>
          <w:sz w:val="18"/>
          <w:szCs w:val="18"/>
          <w:color w:val="auto"/>
        </w:rPr>
        <w:t>. Each Lender represents and warrants severally and not jointly, to the Company as of the time of issuance of the Note and Warrant as follows:</w:t>
      </w:r>
    </w:p>
    <w:p>
      <w:pPr>
        <w:spacing w:after="0" w:line="224" w:lineRule="exact"/>
        <w:rPr>
          <w:sz w:val="20"/>
          <w:szCs w:val="20"/>
          <w:color w:val="auto"/>
        </w:rPr>
      </w:pPr>
    </w:p>
    <w:p>
      <w:pPr>
        <w:jc w:val="both"/>
        <w:ind w:firstLine="656"/>
        <w:spacing w:after="0" w:line="259" w:lineRule="auto"/>
        <w:tabs>
          <w:tab w:leader="none" w:pos="1091"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Organization and Standing</w:t>
      </w:r>
      <w:r>
        <w:rPr>
          <w:rFonts w:ascii="Arial" w:cs="Arial" w:eastAsia="Arial" w:hAnsi="Arial"/>
          <w:sz w:val="18"/>
          <w:szCs w:val="18"/>
          <w:color w:val="auto"/>
        </w:rPr>
        <w:t>. If Lender is an entity, Lender is duly organized, validly existing and in good standing under the laws of its jurisdiction of organization and has all requisite corporate or other entity power and authority to carry on its business as now conducted and proposed to be conducted. If Lender is an entity, the address of its principal place of business is as set forth on the signature page hereto, and if Lender is an individual, the address of its principal residence is as set forth on the signature page hereto.</w:t>
      </w:r>
    </w:p>
    <w:p>
      <w:pPr>
        <w:spacing w:after="0" w:line="240" w:lineRule="exact"/>
        <w:rPr>
          <w:rFonts w:ascii="Arial" w:cs="Arial" w:eastAsia="Arial" w:hAnsi="Arial"/>
          <w:sz w:val="18"/>
          <w:szCs w:val="18"/>
          <w:color w:val="auto"/>
        </w:rPr>
      </w:pPr>
    </w:p>
    <w:p>
      <w:pPr>
        <w:jc w:val="both"/>
        <w:ind w:firstLine="656"/>
        <w:spacing w:after="0" w:line="279" w:lineRule="auto"/>
        <w:tabs>
          <w:tab w:leader="none" w:pos="1074"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Power</w:t>
      </w:r>
      <w:r>
        <w:rPr>
          <w:rFonts w:ascii="Arial" w:cs="Arial" w:eastAsia="Arial" w:hAnsi="Arial"/>
          <w:sz w:val="17"/>
          <w:szCs w:val="17"/>
          <w:color w:val="auto"/>
        </w:rPr>
        <w:t>. If Lender is an entity, Lender has all requisite legal and corporate or other entity power and authority to enter into, execute and deliver each of the Transaction document to which it is a party. Each Transaction Document to which Lender is a party has been duly and validly authorized, executed and delivered by Lender is the valid and binding obligation of Lender, enforceable in accordance with its terms, except as the same may be limited by bankruptcy, insolvency, moratorium, and other laws of general application affecting the enforcement of creditors’ rights.</w:t>
      </w:r>
    </w:p>
    <w:p>
      <w:pPr>
        <w:spacing w:after="0" w:line="225" w:lineRule="exact"/>
        <w:rPr>
          <w:rFonts w:ascii="Arial" w:cs="Arial" w:eastAsia="Arial" w:hAnsi="Arial"/>
          <w:sz w:val="17"/>
          <w:szCs w:val="17"/>
          <w:color w:val="auto"/>
        </w:rPr>
      </w:pPr>
    </w:p>
    <w:p>
      <w:pPr>
        <w:jc w:val="both"/>
        <w:ind w:firstLine="656"/>
        <w:spacing w:after="0" w:line="264" w:lineRule="auto"/>
        <w:tabs>
          <w:tab w:leader="none" w:pos="1078"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If Lender is an entity, all corporate or other entity and legal action on the part of Lender, its officers, directors, managers, shareholders, partners, or members, as applicable, necessary for the execution and delivery of the Transaction Documents to which it is a party, the purchase of the Note and the performance of Lender’s obligations such Transaction Documents have been taken.</w:t>
      </w:r>
    </w:p>
    <w:p>
      <w:pPr>
        <w:spacing w:after="0" w:line="235" w:lineRule="exact"/>
        <w:rPr>
          <w:rFonts w:ascii="Arial" w:cs="Arial" w:eastAsia="Arial" w:hAnsi="Arial"/>
          <w:sz w:val="18"/>
          <w:szCs w:val="18"/>
          <w:color w:val="auto"/>
        </w:rPr>
      </w:pPr>
    </w:p>
    <w:p>
      <w:pPr>
        <w:jc w:val="both"/>
        <w:ind w:firstLine="656"/>
        <w:spacing w:after="0" w:line="270" w:lineRule="auto"/>
        <w:tabs>
          <w:tab w:leader="none" w:pos="1088"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No Conflict; Required Filings and Consents</w:t>
      </w:r>
      <w:r>
        <w:rPr>
          <w:rFonts w:ascii="Arial" w:cs="Arial" w:eastAsia="Arial" w:hAnsi="Arial"/>
          <w:sz w:val="17"/>
          <w:szCs w:val="17"/>
          <w:color w:val="auto"/>
        </w:rPr>
        <w:t>. Neither the execution and delivery of this Agreement or the other Transaction Documents by Lender nor the performance by Lender of its obligations hereunder will: (i) if Lender is an entity, conflict with Lender’s Certificate or Bylaws, or other similar organizational documents; (ii) violate any statute, law, ordinance, rule or regulation, applicable to Lender or any of the properties or assets of Lender; or (iii) violate, breach, be in conflict with or constitute a default (or an event which, with notice or lapse of time or both, would constitute a default) under, or permit the termination of any provision of, or result in the termination of, the acceleration of the maturity of, or the acceleration of the performance of any obligation of Lender under, or result in the creation or imposition of any lien upon any properties, assets or business of Lender under, any material contract or any order, judgment or decree to which Lender is a party or by which it or any of its assets or properties is bound or encumbered except, in the case of clauses (ii) and (iii), for such violations, breaches, conflicts, defaults or other occurrences which, individually or in the aggregate, would not have a material adverse effect on its ability to perform its obligations under the Transaction Documents.</w:t>
      </w:r>
    </w:p>
    <w:p>
      <w:pPr>
        <w:spacing w:after="0" w:line="235" w:lineRule="exact"/>
        <w:rPr>
          <w:rFonts w:ascii="Arial" w:cs="Arial" w:eastAsia="Arial" w:hAnsi="Arial"/>
          <w:sz w:val="17"/>
          <w:szCs w:val="17"/>
          <w:color w:val="auto"/>
        </w:rPr>
      </w:pPr>
    </w:p>
    <w:p>
      <w:pPr>
        <w:jc w:val="both"/>
        <w:ind w:firstLine="656"/>
        <w:spacing w:after="0" w:line="284" w:lineRule="auto"/>
        <w:tabs>
          <w:tab w:leader="none" w:pos="1064"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Acquisition for Investment</w:t>
      </w:r>
      <w:r>
        <w:rPr>
          <w:rFonts w:ascii="Arial" w:cs="Arial" w:eastAsia="Arial" w:hAnsi="Arial"/>
          <w:sz w:val="16"/>
          <w:szCs w:val="16"/>
          <w:color w:val="auto"/>
        </w:rPr>
        <w:t xml:space="preserve">. The Lender is purchasing the Note and Warrant Shares (collectively, the “Securities”) solely for its own account for the purpose of investment and not with a view to or for sale in connection with distribution. The Lender does not have a present intention to sell any of the Securities, nor a present arrangement (whether or not legally binding) or intention to effect any distribution of any of the Securities to or through any person or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by making the representations herein, such Lender does not agree to hold the Securities for any minimum or other specific term and reserves the right to dispose of the Securities at any time in accordance with Federal and state securities laws applicable to such disposition. The Lender acknowledges that it (i) has such knowledge and experience in financial and business matters such that Lender is capable of evaluating the merits and risks of Lender's investment in the Company, (ii) is able to bear the financial risks associated with an investment in the Securities,</w:t>
      </w:r>
    </w:p>
    <w:p>
      <w:pPr>
        <w:spacing w:after="0" w:line="2" w:lineRule="exact"/>
        <w:rPr>
          <w:rFonts w:ascii="Arial" w:cs="Arial" w:eastAsia="Arial" w:hAnsi="Arial"/>
          <w:sz w:val="16"/>
          <w:szCs w:val="16"/>
          <w:color w:val="auto"/>
        </w:rPr>
      </w:pPr>
    </w:p>
    <w:p>
      <w:pPr>
        <w:jc w:val="both"/>
        <w:ind w:firstLine="8"/>
        <w:spacing w:after="0" w:line="254" w:lineRule="auto"/>
        <w:tabs>
          <w:tab w:leader="none" w:pos="3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has been given full access to such records of the Company and to the officers of the Company as it has deemed necessary or appropriate to conduct its due diligence investigation, and (iv) has had the opportunity to ask representatives of the Company certain questions and request certain additional information regarding the finances, operations, business and prospects of the Company and has had any and all such questions and requests answered to its satisfaction.</w:t>
      </w:r>
    </w:p>
    <w:p>
      <w:pPr>
        <w:spacing w:after="0" w:line="243" w:lineRule="exact"/>
        <w:rPr>
          <w:rFonts w:ascii="Arial" w:cs="Arial" w:eastAsia="Arial" w:hAnsi="Arial"/>
          <w:sz w:val="18"/>
          <w:szCs w:val="18"/>
          <w:color w:val="auto"/>
        </w:rPr>
      </w:pPr>
    </w:p>
    <w:p>
      <w:pPr>
        <w:jc w:val="both"/>
        <w:ind w:firstLine="656"/>
        <w:spacing w:after="0" w:line="255" w:lineRule="auto"/>
        <w:tabs>
          <w:tab w:leader="none" w:pos="1044"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 The Lender understands that the Securities are “restricted securities” as defined in Rule 144, and must be held indefinitely unless such Securities are registered under the Securities Act or an exemption from registration is available. The Lender acknowledges that such person is familiar with Rule 144 of the rules and regulations of the Commission, as amended, promulgated pursuant to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and that such Lender has been advised that Rule 144 permits resales only under certain circumstances. The Lender understands that to the extent that Rule 144 is not available, such Lender will be unable to sell any Securities without either registration under the Securities Act or the existence of another exemption from such registration requirement.</w:t>
      </w:r>
    </w:p>
    <w:p>
      <w:pPr>
        <w:spacing w:after="0" w:line="247" w:lineRule="exact"/>
        <w:rPr>
          <w:rFonts w:ascii="Arial" w:cs="Arial" w:eastAsia="Arial" w:hAnsi="Arial"/>
          <w:sz w:val="18"/>
          <w:szCs w:val="18"/>
          <w:color w:val="auto"/>
        </w:rPr>
      </w:pPr>
    </w:p>
    <w:p>
      <w:pPr>
        <w:jc w:val="both"/>
        <w:ind w:firstLine="656"/>
        <w:spacing w:after="0" w:line="276" w:lineRule="auto"/>
        <w:tabs>
          <w:tab w:leader="none" w:pos="1088"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No General Solicitation</w:t>
      </w:r>
      <w:r>
        <w:rPr>
          <w:rFonts w:ascii="Arial" w:cs="Arial" w:eastAsia="Arial" w:hAnsi="Arial"/>
          <w:sz w:val="17"/>
          <w:szCs w:val="17"/>
          <w:color w:val="auto"/>
        </w:rPr>
        <w:t>. The Lender acknowledges that the Securities were not offered to such Lender by means of any form of general or public solicitation or general advertising, or publicly disseminated advertisements or sales literature, including (i) any advertisement, article, notice or other communication published in any newspaper, magazine, or similar media, or broadcast over television, radio or the internet, or (ii) any seminar or meeting to which such Lender was invited by any of the foregoing means of communications. The Lender, in making the decision to purchase the Securities, has relied upon independent investigation made by it and has not relied on any information or representations made by third parties.</w:t>
      </w:r>
    </w:p>
    <w:p>
      <w:pPr>
        <w:sectPr>
          <w:pgSz w:w="11900" w:h="16838" w:orient="portrait"/>
          <w:cols w:equalWidth="0" w:num="1">
            <w:col w:w="11420"/>
          </w:cols>
          <w:pgMar w:left="240" w:top="125" w:right="239" w:bottom="223" w:gutter="0" w:footer="0" w:header="0"/>
        </w:sectPr>
      </w:pPr>
    </w:p>
    <w:bookmarkStart w:id="8" w:name="page9"/>
    <w:bookmarkEnd w:id="8"/>
    <w:p>
      <w:pPr>
        <w:jc w:val="both"/>
        <w:ind w:firstLine="656"/>
        <w:spacing w:after="0" w:line="257" w:lineRule="auto"/>
        <w:tabs>
          <w:tab w:leader="none" w:pos="107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The Lender is an “accredited investor” as such term is defined in Rule 501 of Regulation D under the Securities Act and as set forth in Exhibit E attached hereto and made a part hereof, and such Lender has such experience in business and financial matters that it is capable of evaluating the merits and risks of an investment in the Securities. Such Lender is not required to be registered as a broker-dealer under Section 15 of the Exchange Act and such Lender is not a broker-dealer. The Lender acknowledges that an investment in the Securities is speculative and involves a high degree of risk.</w:t>
      </w:r>
    </w:p>
    <w:p>
      <w:pPr>
        <w:spacing w:after="0" w:line="242" w:lineRule="exact"/>
        <w:rPr>
          <w:sz w:val="20"/>
          <w:szCs w:val="20"/>
          <w:color w:val="auto"/>
        </w:rPr>
      </w:pPr>
    </w:p>
    <w:p>
      <w:pPr>
        <w:jc w:val="both"/>
        <w:ind w:firstLine="656"/>
        <w:spacing w:after="0" w:line="286" w:lineRule="auto"/>
        <w:tabs>
          <w:tab w:leader="none" w:pos="999"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Conditions Precedent to the Obligation of the Company to Close and to Sell the Securities</w:t>
      </w:r>
      <w:r>
        <w:rPr>
          <w:rFonts w:ascii="Arial" w:cs="Arial" w:eastAsia="Arial" w:hAnsi="Arial"/>
          <w:sz w:val="17"/>
          <w:szCs w:val="17"/>
          <w:color w:val="auto"/>
        </w:rPr>
        <w:t>. The obligation hereunder of the Company to close and issue and sell the Securities to the Lenders at the Closing is subject to the satisfaction or waiver, at or before the Closing of the conditions set forth below. These conditions are for the Company’s sole benefit and may be waived by the Company at any time in its sole discretion.</w:t>
      </w:r>
    </w:p>
    <w:p>
      <w:pPr>
        <w:spacing w:after="0" w:line="220" w:lineRule="exact"/>
        <w:rPr>
          <w:sz w:val="20"/>
          <w:szCs w:val="20"/>
          <w:color w:val="auto"/>
        </w:rPr>
      </w:pPr>
    </w:p>
    <w:p>
      <w:pPr>
        <w:jc w:val="both"/>
        <w:ind w:firstLine="656"/>
        <w:spacing w:after="0" w:line="276" w:lineRule="auto"/>
        <w:tabs>
          <w:tab w:leader="none" w:pos="106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Accuracy of the Lenders’ Representations and Warranties</w:t>
      </w:r>
      <w:r>
        <w:rPr>
          <w:rFonts w:ascii="Arial" w:cs="Arial" w:eastAsia="Arial" w:hAnsi="Arial"/>
          <w:sz w:val="17"/>
          <w:szCs w:val="17"/>
          <w:color w:val="auto"/>
        </w:rPr>
        <w:t>. The representations and warranties of each Lender shall be true and correct in all material respects (except for those representations and warranties that are qualified by materiality or Material Adverse Effect, which shall be true and correct in all respects) as of the date when made and as of the Closing Date as though made at that time, except for representations and warranties that are expressly made as of a particular date, which shall be true and correct in all material respects (except for those representations and warranties that are qualified by materiality or Material Adverse Effect, which shall be true and correct in all respects) as of such date.</w:t>
      </w:r>
    </w:p>
    <w:p>
      <w:pPr>
        <w:spacing w:after="0" w:line="226" w:lineRule="exact"/>
        <w:rPr>
          <w:rFonts w:ascii="Arial" w:cs="Arial" w:eastAsia="Arial" w:hAnsi="Arial"/>
          <w:sz w:val="17"/>
          <w:szCs w:val="17"/>
          <w:color w:val="auto"/>
        </w:rPr>
      </w:pPr>
    </w:p>
    <w:p>
      <w:pPr>
        <w:ind w:firstLine="656"/>
        <w:spacing w:after="0" w:line="308" w:lineRule="auto"/>
        <w:tabs>
          <w:tab w:leader="none" w:pos="107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Performance by the Lenders</w:t>
      </w:r>
      <w:r>
        <w:rPr>
          <w:rFonts w:ascii="Arial" w:cs="Arial" w:eastAsia="Arial" w:hAnsi="Arial"/>
          <w:sz w:val="17"/>
          <w:szCs w:val="17"/>
          <w:color w:val="auto"/>
        </w:rPr>
        <w:t>. Each Lender shall have performed, satisfied and complied in all material respects with all covenants, agreements and conditions required by this Agreement to be performed, satisfied or complied with by the Lenders at or prior to the Closing Date.</w:t>
      </w:r>
    </w:p>
    <w:p>
      <w:pPr>
        <w:spacing w:after="0" w:line="200" w:lineRule="exact"/>
        <w:rPr>
          <w:rFonts w:ascii="Arial" w:cs="Arial" w:eastAsia="Arial" w:hAnsi="Arial"/>
          <w:sz w:val="17"/>
          <w:szCs w:val="17"/>
          <w:color w:val="auto"/>
        </w:rPr>
      </w:pPr>
    </w:p>
    <w:p>
      <w:pPr>
        <w:jc w:val="both"/>
        <w:ind w:firstLine="656"/>
        <w:spacing w:after="0" w:line="264" w:lineRule="auto"/>
        <w:tabs>
          <w:tab w:leader="none" w:pos="107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spacing w:after="0" w:line="23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Delivery of Purchase Price</w:t>
      </w:r>
      <w:r>
        <w:rPr>
          <w:rFonts w:ascii="Arial" w:cs="Arial" w:eastAsia="Arial" w:hAnsi="Arial"/>
          <w:sz w:val="18"/>
          <w:szCs w:val="18"/>
          <w:color w:val="auto"/>
        </w:rPr>
        <w:t>. The Purchase Price for the Securities shall have been delivered to the Company on the Closing Date.</w:t>
      </w:r>
    </w:p>
    <w:p>
      <w:pPr>
        <w:spacing w:after="0" w:line="279" w:lineRule="exact"/>
        <w:rPr>
          <w:rFonts w:ascii="Arial" w:cs="Arial" w:eastAsia="Arial" w:hAnsi="Arial"/>
          <w:sz w:val="18"/>
          <w:szCs w:val="18"/>
          <w:color w:val="auto"/>
        </w:rPr>
      </w:pPr>
    </w:p>
    <w:p>
      <w:pPr>
        <w:ind w:right="20" w:firstLine="656"/>
        <w:spacing w:after="0" w:line="277" w:lineRule="auto"/>
        <w:tabs>
          <w:tab w:leader="none" w:pos="109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Delivery of Transaction Documents</w:t>
      </w:r>
      <w:r>
        <w:rPr>
          <w:rFonts w:ascii="Arial" w:cs="Arial" w:eastAsia="Arial" w:hAnsi="Arial"/>
          <w:sz w:val="18"/>
          <w:szCs w:val="18"/>
          <w:color w:val="auto"/>
        </w:rPr>
        <w:t>. The Transaction Documents shall have been duly executed and delivered by the Lenders and, with respect to the Escrow Agreement, the escrow agent, to the Company.</w:t>
      </w:r>
    </w:p>
    <w:p>
      <w:pPr>
        <w:spacing w:after="0" w:line="224" w:lineRule="exact"/>
        <w:rPr>
          <w:rFonts w:ascii="Arial" w:cs="Arial" w:eastAsia="Arial" w:hAnsi="Arial"/>
          <w:sz w:val="18"/>
          <w:szCs w:val="18"/>
          <w:color w:val="auto"/>
        </w:rPr>
      </w:pPr>
    </w:p>
    <w:p>
      <w:pPr>
        <w:ind w:left="1060" w:hanging="40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At the Closing, the Lenders shall have executed and delivered the Escrow Agreement.</w:t>
      </w:r>
    </w:p>
    <w:p>
      <w:pPr>
        <w:spacing w:after="0" w:line="279" w:lineRule="exact"/>
        <w:rPr>
          <w:sz w:val="20"/>
          <w:szCs w:val="20"/>
          <w:color w:val="auto"/>
        </w:rPr>
      </w:pPr>
    </w:p>
    <w:p>
      <w:pPr>
        <w:jc w:val="both"/>
        <w:ind w:firstLine="656"/>
        <w:spacing w:after="0" w:line="259" w:lineRule="auto"/>
        <w:tabs>
          <w:tab w:leader="none" w:pos="101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Conditions Precedent to the Obligation of the Lenders to Close and to Purchase the Securities</w:t>
      </w:r>
      <w:r>
        <w:rPr>
          <w:rFonts w:ascii="Arial" w:cs="Arial" w:eastAsia="Arial" w:hAnsi="Arial"/>
          <w:sz w:val="18"/>
          <w:szCs w:val="18"/>
          <w:color w:val="auto"/>
        </w:rPr>
        <w:t>. The obligation hereunder of the Lenders to purchase the Securities and consummate the transactions contemplated by this Agreement is subject to the satisfaction or waiver, at or before the Closing, of each of the conditions set forth below. These conditions are for the Lenders’ sole benefit and may be waived by the Lenders at any time in their sole discretion.</w:t>
      </w:r>
    </w:p>
    <w:p>
      <w:pPr>
        <w:spacing w:after="0" w:line="241" w:lineRule="exact"/>
        <w:rPr>
          <w:sz w:val="20"/>
          <w:szCs w:val="20"/>
          <w:color w:val="auto"/>
        </w:rPr>
      </w:pPr>
    </w:p>
    <w:p>
      <w:pPr>
        <w:jc w:val="both"/>
        <w:ind w:firstLine="656"/>
        <w:spacing w:after="0" w:line="255" w:lineRule="auto"/>
        <w:tabs>
          <w:tab w:leader="none" w:pos="107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w:t>
      </w:r>
      <w:r>
        <w:rPr>
          <w:rFonts w:ascii="Arial" w:cs="Arial" w:eastAsia="Arial" w:hAnsi="Arial"/>
          <w:sz w:val="18"/>
          <w:szCs w:val="18"/>
          <w:color w:val="auto"/>
        </w:rPr>
        <w:t>. Each of the representations and warranties of the Company in this Agreement and the other Transaction Documents shall be true and correct in all material respects (except for those representations and warranties that are qualified by materiality or Material Adverse Effect, which shall be true and correct in all respects) as of the date when made and as of the Closing Date as though made at that time, except for representations and warranties that are expressly made as of a particular date, which shall be true and correct in all material respects (except for those representations and warranties that are qualified by materiality or Material Adverse Effect, which shall be true and correct in all respects) as of such date.</w:t>
      </w:r>
    </w:p>
    <w:p>
      <w:pPr>
        <w:spacing w:after="0" w:line="247" w:lineRule="exact"/>
        <w:rPr>
          <w:rFonts w:ascii="Arial" w:cs="Arial" w:eastAsia="Arial" w:hAnsi="Arial"/>
          <w:sz w:val="18"/>
          <w:szCs w:val="18"/>
          <w:color w:val="auto"/>
        </w:rPr>
      </w:pPr>
    </w:p>
    <w:p>
      <w:pPr>
        <w:ind w:firstLine="656"/>
        <w:spacing w:after="0" w:line="308" w:lineRule="auto"/>
        <w:tabs>
          <w:tab w:leader="none" w:pos="1101"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Performance by the Company</w:t>
      </w:r>
      <w:r>
        <w:rPr>
          <w:rFonts w:ascii="Arial" w:cs="Arial" w:eastAsia="Arial" w:hAnsi="Arial"/>
          <w:sz w:val="17"/>
          <w:szCs w:val="17"/>
          <w:color w:val="auto"/>
        </w:rPr>
        <w:t>. The Company shall have performed, satisfied and complied in all material respects with all covenants, agreements and conditions required by this Agreement to be performed, satisfied or complied with by the Company at or prior to the Closing Date.</w:t>
      </w:r>
    </w:p>
    <w:p>
      <w:pPr>
        <w:spacing w:after="0" w:line="200" w:lineRule="exact"/>
        <w:rPr>
          <w:rFonts w:ascii="Arial" w:cs="Arial" w:eastAsia="Arial" w:hAnsi="Arial"/>
          <w:sz w:val="17"/>
          <w:szCs w:val="17"/>
          <w:color w:val="auto"/>
        </w:rPr>
      </w:pPr>
    </w:p>
    <w:p>
      <w:pPr>
        <w:jc w:val="both"/>
        <w:ind w:firstLine="656"/>
        <w:spacing w:after="0" w:line="264" w:lineRule="auto"/>
        <w:tabs>
          <w:tab w:leader="none" w:pos="107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spacing w:after="0" w:line="235" w:lineRule="exact"/>
        <w:rPr>
          <w:rFonts w:ascii="Arial" w:cs="Arial" w:eastAsia="Arial" w:hAnsi="Arial"/>
          <w:sz w:val="18"/>
          <w:szCs w:val="18"/>
          <w:color w:val="auto"/>
        </w:rPr>
      </w:pPr>
    </w:p>
    <w:p>
      <w:pPr>
        <w:jc w:val="both"/>
        <w:ind w:firstLine="656"/>
        <w:spacing w:after="0" w:line="259" w:lineRule="auto"/>
        <w:tabs>
          <w:tab w:leader="none" w:pos="107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Proceedings or Litigation</w:t>
      </w:r>
      <w:r>
        <w:rPr>
          <w:rFonts w:ascii="Arial" w:cs="Arial" w:eastAsia="Arial" w:hAnsi="Arial"/>
          <w:sz w:val="18"/>
          <w:szCs w:val="18"/>
          <w:color w:val="auto"/>
        </w:rPr>
        <w:t>. No action, suit or proceeding before any arbitrator or any governmental authority shall have been commenced, and no investigation by any governmental authority shall have been threatened, against the Company or any Subsidiary, or any of the officers, directors or affiliates of the Company or any Subsidiary seeking to restrain, prevent or change the transactions contemplated by this Agreement, or seeking damages in connection with such transactions.</w:t>
      </w:r>
    </w:p>
    <w:p>
      <w:pPr>
        <w:spacing w:after="0" w:line="24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Notes</w:t>
      </w:r>
      <w:r>
        <w:rPr>
          <w:rFonts w:ascii="Arial" w:cs="Arial" w:eastAsia="Arial" w:hAnsi="Arial"/>
          <w:sz w:val="16"/>
          <w:szCs w:val="16"/>
          <w:color w:val="auto"/>
        </w:rPr>
        <w:t>. At or prior to the Closing Date, the Company shall have delivered to the Lenders the Notes (in such denominations as each Lender may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request).</w:t>
      </w:r>
    </w:p>
    <w:p>
      <w:pPr>
        <w:spacing w:after="0" w:line="264" w:lineRule="exact"/>
        <w:rPr>
          <w:rFonts w:ascii="Arial" w:cs="Arial" w:eastAsia="Arial" w:hAnsi="Arial"/>
          <w:sz w:val="16"/>
          <w:szCs w:val="16"/>
          <w:color w:val="auto"/>
        </w:rPr>
      </w:pPr>
    </w:p>
    <w:p>
      <w:pPr>
        <w:jc w:val="both"/>
        <w:ind w:firstLine="656"/>
        <w:spacing w:after="0" w:line="259" w:lineRule="auto"/>
        <w:tabs>
          <w:tab w:leader="none" w:pos="104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The Company shall have delivered to the Lenders a secretary’s certificate, dated as of the Closing Date, as to (i) the resolutions adopted by the Board of Directors approving the transactions contemplated hereby, (ii) the Certificate, (iii) the Bylaws, each as in effect at the Closing, and (iv) the authority and incumbency of the officers of the Company executing the Transaction Documents and any other documents required to be executed or delivered in connection therewith.</w:t>
      </w:r>
    </w:p>
    <w:p>
      <w:pPr>
        <w:spacing w:after="0" w:line="240" w:lineRule="exact"/>
        <w:rPr>
          <w:rFonts w:ascii="Arial" w:cs="Arial" w:eastAsia="Arial" w:hAnsi="Arial"/>
          <w:sz w:val="18"/>
          <w:szCs w:val="18"/>
          <w:color w:val="auto"/>
        </w:rPr>
      </w:pPr>
    </w:p>
    <w:p>
      <w:pPr>
        <w:jc w:val="both"/>
        <w:ind w:firstLine="656"/>
        <w:spacing w:after="0" w:line="257" w:lineRule="auto"/>
        <w:tabs>
          <w:tab w:leader="none" w:pos="108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On the Closing Date, the Company shall have delivered to the Lenders a certificate signed by an executive officer on behalf of the Company, dated as of the Closing Date, confirming the accuracy of the Company’s representations, warranties and covenants as of the Closing Date and confirming the compliance by the Company with the conditions precedent set forth in paragraphs (b)-(d) of this Section 6 as of the Closing Date (provided that, with respect to the matters in paragraphs (d) of this Section 6, such confirmation shall be based on the knowledge of the executive officer after due inquiry).</w:t>
      </w:r>
    </w:p>
    <w:p>
      <w:pPr>
        <w:spacing w:after="0" w:line="242"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No Material Adverse Effect shall have occurred at or before the Closing Date.</w:t>
      </w:r>
    </w:p>
    <w:p>
      <w:pPr>
        <w:spacing w:after="0" w:line="279" w:lineRule="exact"/>
        <w:rPr>
          <w:rFonts w:ascii="Arial" w:cs="Arial" w:eastAsia="Arial" w:hAnsi="Arial"/>
          <w:sz w:val="18"/>
          <w:szCs w:val="18"/>
          <w:color w:val="auto"/>
        </w:rPr>
      </w:pPr>
    </w:p>
    <w:p>
      <w:pPr>
        <w:ind w:left="1040" w:hanging="384"/>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At the Closing, the Lenders shall have executed and delivered the Escrow Agreement.</w:t>
      </w:r>
    </w:p>
    <w:p>
      <w:pPr>
        <w:sectPr>
          <w:pgSz w:w="11900" w:h="16838" w:orient="portrait"/>
          <w:cols w:equalWidth="0" w:num="1">
            <w:col w:w="11420"/>
          </w:cols>
          <w:pgMar w:left="240" w:top="152" w:right="239" w:bottom="0" w:gutter="0" w:footer="0" w:header="0"/>
        </w:sectPr>
      </w:pPr>
    </w:p>
    <w:bookmarkStart w:id="9" w:name="page10"/>
    <w:bookmarkEnd w:id="9"/>
    <w:p>
      <w:pPr>
        <w:spacing w:after="0" w:line="36" w:lineRule="exact"/>
        <w:rPr>
          <w:sz w:val="20"/>
          <w:szCs w:val="20"/>
          <w:color w:val="auto"/>
        </w:rPr>
      </w:pPr>
    </w:p>
    <w:p>
      <w:pPr>
        <w:ind w:left="-656" w:firstLine="656"/>
        <w:spacing w:after="0" w:line="277" w:lineRule="auto"/>
        <w:tabs>
          <w:tab w:leader="none" w:pos="357"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The Company covenants with each Lender as follows, which covenants are for the benefit of each Lender and their respective permitted assignees.</w:t>
      </w:r>
    </w:p>
    <w:p>
      <w:pPr>
        <w:spacing w:after="0" w:line="224" w:lineRule="exact"/>
        <w:rPr>
          <w:sz w:val="20"/>
          <w:szCs w:val="20"/>
          <w:color w:val="auto"/>
        </w:rPr>
      </w:pPr>
    </w:p>
    <w:p>
      <w:pPr>
        <w:jc w:val="both"/>
        <w:ind w:left="-656" w:firstLine="656"/>
        <w:spacing w:after="0" w:line="286" w:lineRule="auto"/>
        <w:tabs>
          <w:tab w:leader="none" w:pos="44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Securities Compliance</w:t>
      </w:r>
      <w:r>
        <w:rPr>
          <w:rFonts w:ascii="Arial" w:cs="Arial" w:eastAsia="Arial" w:hAnsi="Arial"/>
          <w:sz w:val="17"/>
          <w:szCs w:val="17"/>
          <w:color w:val="auto"/>
        </w:rPr>
        <w:t>. The Company shall notify the Commission in accordance with its rules and regulations, of the transactions contemplated by any of the Transaction Documents and shall take all other necessary action and proceedings as may be required and permitted by applicable law, rule and regulation, for the legal and valid issuance of the Securities to the Lenders, or their respective subsequent holders.</w:t>
      </w:r>
    </w:p>
    <w:p>
      <w:pPr>
        <w:spacing w:after="0" w:line="219" w:lineRule="exact"/>
        <w:rPr>
          <w:rFonts w:ascii="Arial" w:cs="Arial" w:eastAsia="Arial" w:hAnsi="Arial"/>
          <w:sz w:val="17"/>
          <w:szCs w:val="17"/>
          <w:color w:val="auto"/>
        </w:rPr>
      </w:pPr>
    </w:p>
    <w:p>
      <w:pPr>
        <w:ind w:left="-656" w:firstLine="656"/>
        <w:spacing w:after="0" w:line="277" w:lineRule="auto"/>
        <w:tabs>
          <w:tab w:leader="none" w:pos="43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shall comply, and cause each Subsidiary to comply, with all applicable laws, rules, regulations and orders, noncompliance with which would be reasonably likely to have a Material Adverse Effect.</w:t>
      </w:r>
    </w:p>
    <w:p>
      <w:pPr>
        <w:spacing w:after="0" w:line="224" w:lineRule="exact"/>
        <w:rPr>
          <w:rFonts w:ascii="Arial" w:cs="Arial" w:eastAsia="Arial" w:hAnsi="Arial"/>
          <w:sz w:val="18"/>
          <w:szCs w:val="18"/>
          <w:color w:val="auto"/>
        </w:rPr>
      </w:pPr>
    </w:p>
    <w:p>
      <w:pPr>
        <w:jc w:val="both"/>
        <w:ind w:left="-656" w:firstLine="656"/>
        <w:spacing w:after="0" w:line="259" w:lineRule="auto"/>
        <w:tabs>
          <w:tab w:leader="none" w:pos="42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The Company shall keep and cause each Subsidiary to keep adequate records and books of account, in which complete entries will be made in accordance with GAAP consistently applied, reflecting all financial transactions of the Company and its Subsidiaries, and in which, for each fiscal year, all proper reserves for depreciation, depletion, obsolescence, amortization, taxes, bad debts and other purposes in connection with its business shall be made.</w:t>
      </w:r>
    </w:p>
    <w:p>
      <w:pPr>
        <w:spacing w:after="0" w:line="240" w:lineRule="exact"/>
        <w:rPr>
          <w:rFonts w:ascii="Arial" w:cs="Arial" w:eastAsia="Arial" w:hAnsi="Arial"/>
          <w:sz w:val="18"/>
          <w:szCs w:val="18"/>
          <w:color w:val="auto"/>
        </w:rPr>
      </w:pPr>
    </w:p>
    <w:p>
      <w:pPr>
        <w:ind w:left="-656" w:firstLine="656"/>
        <w:spacing w:after="0" w:line="277" w:lineRule="auto"/>
        <w:tabs>
          <w:tab w:leader="none" w:pos="41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The Company shall not enter into any agreement in which the terms of such agreement would restrict or impair the right or ability to perform of the Company or any Subsidiary under any Transaction Document.</w:t>
      </w:r>
    </w:p>
    <w:p>
      <w:pPr>
        <w:spacing w:after="0" w:line="224" w:lineRule="exact"/>
        <w:rPr>
          <w:rFonts w:ascii="Arial" w:cs="Arial" w:eastAsia="Arial" w:hAnsi="Arial"/>
          <w:sz w:val="18"/>
          <w:szCs w:val="18"/>
          <w:color w:val="auto"/>
        </w:rPr>
      </w:pPr>
    </w:p>
    <w:p>
      <w:pPr>
        <w:jc w:val="both"/>
        <w:ind w:left="-656" w:firstLine="656"/>
        <w:spacing w:after="0" w:line="264" w:lineRule="auto"/>
        <w:tabs>
          <w:tab w:leader="none" w:pos="40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Reporting Status</w:t>
      </w:r>
      <w:r>
        <w:rPr>
          <w:rFonts w:ascii="Arial" w:cs="Arial" w:eastAsia="Arial" w:hAnsi="Arial"/>
          <w:sz w:val="18"/>
          <w:szCs w:val="18"/>
          <w:color w:val="auto"/>
        </w:rPr>
        <w:t>. So long as a Lender beneficially owns any of the Securities, the Company shall timely file all reports required to be filed with the Commission pursuant to the Exchange Act, and the Company shall not terminate its status as an issuer required to file reports under the Exchange Act even if the Exchange Act or the rules and regulations thereunder would permit such termination.</w:t>
      </w:r>
    </w:p>
    <w:p>
      <w:pPr>
        <w:spacing w:after="0" w:line="235" w:lineRule="exact"/>
        <w:rPr>
          <w:rFonts w:ascii="Arial" w:cs="Arial" w:eastAsia="Arial" w:hAnsi="Arial"/>
          <w:sz w:val="18"/>
          <w:szCs w:val="18"/>
          <w:color w:val="auto"/>
        </w:rPr>
      </w:pPr>
    </w:p>
    <w:p>
      <w:pPr>
        <w:jc w:val="both"/>
        <w:ind w:left="-656" w:firstLine="656"/>
        <w:spacing w:after="0" w:line="259" w:lineRule="auto"/>
        <w:tabs>
          <w:tab w:leader="none" w:pos="40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Disclosure of Transaction</w:t>
      </w:r>
      <w:r>
        <w:rPr>
          <w:rFonts w:ascii="Arial" w:cs="Arial" w:eastAsia="Arial" w:hAnsi="Arial"/>
          <w:sz w:val="18"/>
          <w:szCs w:val="18"/>
          <w:color w:val="auto"/>
        </w:rPr>
        <w:t>. The Company shall file with the Commission a Current Report on Form 8-K (the “</w:t>
      </w:r>
      <w:r>
        <w:rPr>
          <w:rFonts w:ascii="Arial" w:cs="Arial" w:eastAsia="Arial" w:hAnsi="Arial"/>
          <w:sz w:val="18"/>
          <w:szCs w:val="18"/>
          <w:u w:val="single" w:color="auto"/>
          <w:color w:val="auto"/>
        </w:rPr>
        <w:t>Form 8-K</w:t>
      </w:r>
      <w:r>
        <w:rPr>
          <w:rFonts w:ascii="Arial" w:cs="Arial" w:eastAsia="Arial" w:hAnsi="Arial"/>
          <w:sz w:val="18"/>
          <w:szCs w:val="18"/>
          <w:color w:val="auto"/>
        </w:rPr>
        <w:t>”) describing the material terms of the transactions contemplated hereby (and attaching as exhibits thereto this Agreement, the form of Note, and any press release) as soon as practicable following the Closing Date but in no event more than four (4) Trading Days following the Closing Date. “</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day during which the principal exchange on which the Common Stock is traded shall be open for trading.</w:t>
      </w:r>
    </w:p>
    <w:p>
      <w:pPr>
        <w:spacing w:after="0" w:line="214" w:lineRule="exact"/>
        <w:rPr>
          <w:sz w:val="20"/>
          <w:szCs w:val="20"/>
          <w:color w:val="auto"/>
        </w:rPr>
      </w:pPr>
    </w:p>
    <w:p>
      <w:pPr>
        <w:ind w:left="624" w:hanging="624"/>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79" w:lineRule="exact"/>
        <w:rPr>
          <w:sz w:val="20"/>
          <w:szCs w:val="20"/>
          <w:color w:val="auto"/>
        </w:rPr>
      </w:pPr>
    </w:p>
    <w:p>
      <w:pPr>
        <w:jc w:val="both"/>
        <w:ind w:left="-656" w:firstLine="656"/>
        <w:spacing w:after="0" w:line="271" w:lineRule="auto"/>
        <w:tabs>
          <w:tab w:leader="none" w:pos="43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General Indemnity</w:t>
      </w:r>
      <w:r>
        <w:rPr>
          <w:rFonts w:ascii="Arial" w:cs="Arial" w:eastAsia="Arial" w:hAnsi="Arial"/>
          <w:sz w:val="17"/>
          <w:szCs w:val="17"/>
          <w:color w:val="auto"/>
        </w:rPr>
        <w:t>. The Company agrees to indemnify and hold harmless the Lenders (and their respective directors, officers, affiliates, agents, successors and assigns) from and against any and all losses, liabilities, deficiencies, costs, damages and expenses (including, without limitation, reasonable attorneys’ fees, charges and disbursements) incurred by the Lenders as a result of any inaccuracy in or breach of the representations, warranties or covenants made by the Company herein. Each Lender severally but not jointly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result of any inaccuracy in or breach of the representations, warranties or covenants made by such Lender herein. The maximum aggregate liability of each Lender pursuant to its indemnification obligations under this Section 8 shall not exceed the portion of the Purchase Price paid by such Lender hereunder.</w:t>
      </w:r>
    </w:p>
    <w:p>
      <w:pPr>
        <w:spacing w:after="0" w:line="232" w:lineRule="exact"/>
        <w:rPr>
          <w:rFonts w:ascii="Arial" w:cs="Arial" w:eastAsia="Arial" w:hAnsi="Arial"/>
          <w:sz w:val="17"/>
          <w:szCs w:val="17"/>
          <w:color w:val="auto"/>
        </w:rPr>
      </w:pPr>
    </w:p>
    <w:p>
      <w:pPr>
        <w:jc w:val="both"/>
        <w:ind w:left="-656" w:firstLine="656"/>
        <w:spacing w:after="0" w:line="284" w:lineRule="auto"/>
        <w:tabs>
          <w:tab w:leader="none" w:pos="418"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 Any party entitled to indemnification under this Section 8 (an “indemnified party”) will give written notice to the indemnifying party of any matters giving rise to a claim for indemnification; provided, that the failure of any party entitled to indemnification hereunder to give notice as provided herein shall not relieve the indemnifying party of its obligations under this Section 8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affected without its prior written consent. Notwithstanding anything in this Section 8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required by this Section 8 shall be made by periodic payments of the amount thereof during the course of investigation or defense, as and when bills are received or expense, loss, damage or liability is incurred, so long as the indemnified party irrevocably agrees to refund such moneys if it is ultimately determined by a court of competent jurisdiction that such party was not entitled to indemnification. The indemnity agreements contained herein shall be in addition to (a) any cause of action or similar rights of the indemnified party against the indemnifying party or others, and (b) any liabilities the indemnifying party may be subject to pursuant to the law.</w:t>
      </w:r>
    </w:p>
    <w:p>
      <w:pPr>
        <w:spacing w:after="0" w:line="229" w:lineRule="exact"/>
        <w:rPr>
          <w:sz w:val="20"/>
          <w:szCs w:val="20"/>
          <w:color w:val="auto"/>
        </w:rPr>
      </w:pPr>
    </w:p>
    <w:p>
      <w:pPr>
        <w:jc w:val="both"/>
        <w:ind w:left="-656" w:firstLine="656"/>
        <w:spacing w:after="0" w:line="290" w:lineRule="auto"/>
        <w:tabs>
          <w:tab w:leader="none" w:pos="34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Participation Right</w:t>
      </w:r>
      <w:r>
        <w:rPr>
          <w:rFonts w:ascii="Arial" w:cs="Arial" w:eastAsia="Arial" w:hAnsi="Arial"/>
          <w:sz w:val="16"/>
          <w:szCs w:val="16"/>
          <w:color w:val="auto"/>
        </w:rPr>
        <w:t>. The Company currently anticipates an equity or equity based financing or a series of equity financings following the date of this Agreement resulting in gross proceeds to the Company totaling at least $4,000,000 on or before December 31, 2012 (a “</w:t>
      </w:r>
      <w:r>
        <w:rPr>
          <w:rFonts w:ascii="Arial" w:cs="Arial" w:eastAsia="Arial" w:hAnsi="Arial"/>
          <w:sz w:val="16"/>
          <w:szCs w:val="16"/>
          <w:u w:val="single" w:color="auto"/>
          <w:color w:val="auto"/>
        </w:rPr>
        <w:t>Qualified Financing</w:t>
      </w:r>
      <w:r>
        <w:rPr>
          <w:rFonts w:ascii="Arial" w:cs="Arial" w:eastAsia="Arial" w:hAnsi="Arial"/>
          <w:sz w:val="16"/>
          <w:szCs w:val="16"/>
          <w:color w:val="auto"/>
        </w:rPr>
        <w:t>”). Each Lender shall have the right, but not the obligation, to participate in the Qualified Financing up to the Purchase Price set forth opposite such Lender’s name on the signature page attached hereto, on the terms and conditions of such Qualified Financing (the “</w:t>
      </w:r>
      <w:r>
        <w:rPr>
          <w:rFonts w:ascii="Arial" w:cs="Arial" w:eastAsia="Arial" w:hAnsi="Arial"/>
          <w:sz w:val="16"/>
          <w:szCs w:val="16"/>
          <w:u w:val="single" w:color="auto"/>
          <w:color w:val="auto"/>
        </w:rPr>
        <w:t>Participation Right</w:t>
      </w:r>
      <w:r>
        <w:rPr>
          <w:rFonts w:ascii="Arial" w:cs="Arial" w:eastAsia="Arial" w:hAnsi="Arial"/>
          <w:sz w:val="16"/>
          <w:szCs w:val="16"/>
          <w:color w:val="auto"/>
        </w:rPr>
        <w:t>”). In connection with each Participation Right, the Company shall provide notice to each Lender of the terms and conditions of the Qualified Financing at least ten business days prior to the anticipated first closing of such Qualified Financing (“</w:t>
      </w:r>
      <w:r>
        <w:rPr>
          <w:rFonts w:ascii="Arial" w:cs="Arial" w:eastAsia="Arial" w:hAnsi="Arial"/>
          <w:sz w:val="16"/>
          <w:szCs w:val="16"/>
          <w:u w:val="single" w:color="auto"/>
          <w:color w:val="auto"/>
        </w:rPr>
        <w:t>QF Notice</w:t>
      </w:r>
      <w:r>
        <w:rPr>
          <w:rFonts w:ascii="Arial" w:cs="Arial" w:eastAsia="Arial" w:hAnsi="Arial"/>
          <w:sz w:val="16"/>
          <w:szCs w:val="16"/>
          <w:color w:val="auto"/>
        </w:rPr>
        <w:t>”). Each Lender electing to exercise its Participation Right shall notify the Company, in writing, of such election at least five business days prior to the anticipated closing date set forth in the QF Notice (“</w:t>
      </w:r>
      <w:r>
        <w:rPr>
          <w:rFonts w:ascii="Arial" w:cs="Arial" w:eastAsia="Arial" w:hAnsi="Arial"/>
          <w:sz w:val="16"/>
          <w:szCs w:val="16"/>
          <w:u w:val="single" w:color="auto"/>
          <w:color w:val="auto"/>
        </w:rPr>
        <w:t>Participation Notice</w:t>
      </w:r>
      <w:r>
        <w:rPr>
          <w:rFonts w:ascii="Arial" w:cs="Arial" w:eastAsia="Arial" w:hAnsi="Arial"/>
          <w:sz w:val="16"/>
          <w:szCs w:val="16"/>
          <w:color w:val="auto"/>
        </w:rPr>
        <w:t>”). In the event the Lender does not return a Participation Notice to the Company, the Participation Right granted hereunder shall terminate and be of no further force and effect.</w:t>
      </w:r>
    </w:p>
    <w:p>
      <w:pPr>
        <w:spacing w:after="0" w:line="193" w:lineRule="exact"/>
        <w:rPr>
          <w:rFonts w:ascii="Arial" w:cs="Arial" w:eastAsia="Arial" w:hAnsi="Arial"/>
          <w:sz w:val="16"/>
          <w:szCs w:val="16"/>
          <w:color w:val="auto"/>
        </w:rPr>
      </w:pPr>
    </w:p>
    <w:p>
      <w:pPr>
        <w:ind w:left="724" w:hanging="724"/>
        <w:spacing w:after="0"/>
        <w:tabs>
          <w:tab w:leader="none" w:pos="72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ectPr>
          <w:pgSz w:w="11900" w:h="16874" w:orient="portrait"/>
          <w:cols w:equalWidth="0" w:num="1">
            <w:col w:w="10764"/>
          </w:cols>
          <w:pgMar w:left="896" w:top="152" w:right="239" w:bottom="0" w:gutter="0" w:footer="0" w:header="0"/>
        </w:sectPr>
      </w:pPr>
    </w:p>
    <w:bookmarkStart w:id="10" w:name="page11"/>
    <w:bookmarkEnd w:id="10"/>
    <w:p>
      <w:pPr>
        <w:ind w:firstLine="656"/>
        <w:spacing w:after="0" w:line="277" w:lineRule="auto"/>
        <w:tabs>
          <w:tab w:leader="none" w:pos="107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Each party shall pay the fees and expenses of its advisors, counsel, accountants and other experts, if any, and all other expenses, incurred by such party incident to the negotiation, preparation, execution, delivery and performance of this Agreement.</w:t>
      </w:r>
    </w:p>
    <w:p>
      <w:pPr>
        <w:spacing w:after="0" w:line="224" w:lineRule="exact"/>
        <w:rPr>
          <w:rFonts w:ascii="Arial" w:cs="Arial" w:eastAsia="Arial" w:hAnsi="Arial"/>
          <w:sz w:val="18"/>
          <w:szCs w:val="18"/>
          <w:color w:val="auto"/>
        </w:rPr>
      </w:pPr>
    </w:p>
    <w:p>
      <w:pPr>
        <w:jc w:val="both"/>
        <w:ind w:firstLine="656"/>
        <w:spacing w:after="0" w:line="269" w:lineRule="auto"/>
        <w:tabs>
          <w:tab w:leader="none" w:pos="1088"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Confidentiality; Non-Public Information</w:t>
      </w:r>
      <w:r>
        <w:rPr>
          <w:rFonts w:ascii="Arial" w:cs="Arial" w:eastAsia="Arial" w:hAnsi="Arial"/>
          <w:sz w:val="17"/>
          <w:szCs w:val="17"/>
          <w:color w:val="auto"/>
        </w:rPr>
        <w:t>. Lender acknowledges and agrees that that the existence of this Agreement and the information contained herein and in the other Transaction Documents is of a confidential nature and shall not, without the prior written consent of the Company, be disclosed by Lender to any person or entity, other than Lender’s personal financial and legal advisors for the sole purpose of evaluating an investment in the Company, and that it shall not, without the prior written consent of the Company, directly or indirectly, make any statements, public announcements or release to trade publications or the press with respect to the subject matter of this Agreement or the Note Agreement. Lender further acknowledges and agrees that the information contained herein and in the other documents relating to this transaction may be regarded as material non-public information under United States federal securities laws, and that United States federal securities laws prohibit any person who has received material non-public information relating to the Company from purchasing or selling securities of the Company, or from communicating such information to any person under circumstances in which it is reasonably foreseeable that such person is likely to purchase or sell securities of the Company. Accordingly, until such time as any such non-public information has been adequately disseminated to the public, Lender shall not purchase or sell any securities of the Company, or communicate such information to any other person.</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06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actions arising out of or in connection with this Agreement shall be governed by and construed in accordance with the laws of the State of California, without regard to the conflicts of law principles, which would result in the application of the substantive law of another jurisdiction. This Agreement shall not be interpreted or construed with any presumption against the party causing this Agreement to be drafted.</w:t>
      </w:r>
    </w:p>
    <w:p>
      <w:pPr>
        <w:spacing w:after="0" w:line="24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Consent to Jurisdiction; Venue</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parties agree that venue for any dispute arising under this Agreement will lie exclusively in the state or federal courts located in California, and the parties irrevocably waive any right to raise </w:t>
      </w:r>
      <w:r>
        <w:rPr>
          <w:rFonts w:ascii="Arial" w:cs="Arial" w:eastAsia="Arial" w:hAnsi="Arial"/>
          <w:sz w:val="17"/>
          <w:szCs w:val="17"/>
          <w:i w:val="1"/>
          <w:iCs w:val="1"/>
          <w:color w:val="auto"/>
        </w:rPr>
        <w:t>forum non conveniens</w:t>
      </w:r>
      <w:r>
        <w:rPr>
          <w:rFonts w:ascii="Arial" w:cs="Arial" w:eastAsia="Arial" w:hAnsi="Arial"/>
          <w:sz w:val="17"/>
          <w:szCs w:val="17"/>
          <w:color w:val="auto"/>
        </w:rPr>
        <w:t xml:space="preserve"> or any other argument that California is not the proper venue. The parties irrevocably consent to personal jurisdiction in the state and federal courts of the state of California. The Company and each Lender consent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Section 10.2 shall affect or limit any right to serve process in any other manner permitted by law. The Company and the Lenders hereby agree that the prevailing party in any suit, action or proceeding arising out of or relating to the Securities, this Agreement or the other Transaction Documents, shall be entitled to reimbursement for reasonable legal fees from the non-prevailing party. The parties hereby waive all rights to a trial by jury.</w:t>
      </w:r>
    </w:p>
    <w:p>
      <w:pPr>
        <w:spacing w:after="0" w:line="233" w:lineRule="exact"/>
        <w:rPr>
          <w:sz w:val="20"/>
          <w:szCs w:val="20"/>
          <w:color w:val="auto"/>
        </w:rPr>
      </w:pPr>
    </w:p>
    <w:p>
      <w:pPr>
        <w:ind w:firstLine="656"/>
        <w:spacing w:after="0" w:line="277" w:lineRule="auto"/>
        <w:tabs>
          <w:tab w:leader="none" w:pos="107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exhibits attached hereto constitutes the full and entire understanding and agreement between the parties with regard to the subject matter hereof and thereof.</w:t>
      </w:r>
    </w:p>
    <w:p>
      <w:pPr>
        <w:spacing w:after="0" w:line="224" w:lineRule="exact"/>
        <w:rPr>
          <w:rFonts w:ascii="Arial" w:cs="Arial" w:eastAsia="Arial" w:hAnsi="Arial"/>
          <w:sz w:val="18"/>
          <w:szCs w:val="18"/>
          <w:color w:val="auto"/>
        </w:rPr>
      </w:pPr>
    </w:p>
    <w:p>
      <w:pPr>
        <w:jc w:val="both"/>
        <w:ind w:firstLine="656"/>
        <w:spacing w:after="0" w:line="293" w:lineRule="auto"/>
        <w:tabs>
          <w:tab w:leader="none" w:pos="1058"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required or permitted hereunder shall be in writing and shall be hand delivered or sent via facsimile, overnight courier service or mailed by certified or registered mail, postage prepaid, return receipt requested, addressed or sent to the addresses listed on the signature page hereto or at such other addresses as the parties shall have furnished to each other in writing. Notices sent via hand delivery shall be effective when received, notices sent facsimile shall be effective upon written confirmation of transmission (if also sent by another form of notice permitted hereunder within 24 hours of sending the facsimile), notices sent by overnight courier shall be effective upon receipt, and notices mailed by certified or registered mail, postage prepaid return receipt requested, shall be effective five business days after deposit with the U.S. Postal Service.</w:t>
      </w:r>
    </w:p>
    <w:p>
      <w:pPr>
        <w:spacing w:after="0" w:line="218" w:lineRule="exact"/>
        <w:rPr>
          <w:rFonts w:ascii="Arial" w:cs="Arial" w:eastAsia="Arial" w:hAnsi="Arial"/>
          <w:sz w:val="16"/>
          <w:szCs w:val="16"/>
          <w:color w:val="auto"/>
        </w:rPr>
      </w:pPr>
    </w:p>
    <w:p>
      <w:pPr>
        <w:jc w:val="both"/>
        <w:ind w:firstLine="656"/>
        <w:spacing w:after="0" w:line="259" w:lineRule="auto"/>
        <w:tabs>
          <w:tab w:leader="none" w:pos="107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assigns. After the Closing, the assignment by a party to this Agreement of any rights hereunder shall not affect the obligations of such party under this Agreement. The Lenders may assign the Securities and its rights under this Agreement and the other Transaction Documents and any other rights hereto and thereto without the consent of the Company.</w:t>
      </w:r>
    </w:p>
    <w:p>
      <w:pPr>
        <w:spacing w:after="0" w:line="240" w:lineRule="exact"/>
        <w:rPr>
          <w:rFonts w:ascii="Arial" w:cs="Arial" w:eastAsia="Arial" w:hAnsi="Arial"/>
          <w:sz w:val="18"/>
          <w:szCs w:val="18"/>
          <w:color w:val="auto"/>
        </w:rPr>
      </w:pPr>
    </w:p>
    <w:p>
      <w:pPr>
        <w:ind w:firstLine="656"/>
        <w:spacing w:after="0" w:line="308" w:lineRule="auto"/>
        <w:tabs>
          <w:tab w:leader="none" w:pos="107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Except as contemplated by Section 9 hereof, this Agreement is intended for the benefit of the parties hereto and their respective permitted successors and assigns and is not for the benefit of, nor may any provision hereof be enforced by, any other person.</w:t>
      </w:r>
    </w:p>
    <w:p>
      <w:pPr>
        <w:spacing w:after="0" w:line="200" w:lineRule="exact"/>
        <w:rPr>
          <w:rFonts w:ascii="Arial" w:cs="Arial" w:eastAsia="Arial" w:hAnsi="Arial"/>
          <w:sz w:val="17"/>
          <w:szCs w:val="17"/>
          <w:color w:val="auto"/>
        </w:rPr>
      </w:pPr>
    </w:p>
    <w:p>
      <w:pPr>
        <w:ind w:firstLine="656"/>
        <w:spacing w:after="0" w:line="277" w:lineRule="auto"/>
        <w:tabs>
          <w:tab w:leader="none" w:pos="1048"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If any provision of this Agreement or the Note shall be judicially determined to be invalid, illegal or unenforceable, the validity, legality and enforceability of the remaining provisions shall not in any way be affected or impaired thereby.</w:t>
      </w:r>
    </w:p>
    <w:p>
      <w:pPr>
        <w:spacing w:after="0" w:line="224" w:lineRule="exact"/>
        <w:rPr>
          <w:rFonts w:ascii="Arial" w:cs="Arial" w:eastAsia="Arial" w:hAnsi="Arial"/>
          <w:sz w:val="18"/>
          <w:szCs w:val="18"/>
          <w:color w:val="auto"/>
        </w:rPr>
      </w:pPr>
    </w:p>
    <w:p>
      <w:pPr>
        <w:ind w:firstLine="656"/>
        <w:spacing w:after="0" w:line="277" w:lineRule="auto"/>
        <w:tabs>
          <w:tab w:leader="none" w:pos="103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an original, but all of which together shall be deemed to constitute one instrument.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Note Purchase Agreement to be duly executed and delivered by their proper and duly authorized officers as of the date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VistaGen Therapeutics, Inc.:</w:t>
      </w:r>
    </w:p>
    <w:p>
      <w:pPr>
        <w:spacing w:after="0" w:line="23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 /s/ Shawn Singh</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Shawn Singh</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517" w:right="239" w:bottom="1440" w:gutter="0" w:footer="0" w:header="0"/>
        </w:sectPr>
      </w:pPr>
    </w:p>
    <w:bookmarkStart w:id="12" w:name="page13"/>
    <w:bookmarkEnd w:id="12"/>
    <w:p>
      <w:pPr>
        <w:jc w:val="both"/>
        <w:spacing w:after="0" w:line="258" w:lineRule="auto"/>
        <w:rPr>
          <w:sz w:val="20"/>
          <w:szCs w:val="20"/>
          <w:color w:val="auto"/>
        </w:rPr>
      </w:pPr>
      <w:r>
        <w:rPr>
          <w:rFonts w:ascii="Arial" w:cs="Arial" w:eastAsia="Arial" w:hAnsi="Arial"/>
          <w:sz w:val="18"/>
          <w:szCs w:val="18"/>
          <w:b w:val="1"/>
          <w:bCs w:val="1"/>
          <w:color w:val="auto"/>
        </w:rPr>
        <w:t>THIS NOTE HAS NOT BEEN REGISTERED UNDER THE SECURITIES ACT OF 1933, AS AMENDED (THE "SECURITIES ACT"), OR ANY STATE SECURITIES LAW AND MAY NOT BE SOLD, TRANSFERRED OR OTHERWISE DISPOSED OF UNLESS REGISTERED UNDER THE SECURITIES ACT AND UNDER APPLICABLE STATE SECURITIES LAWS OR BOND LABORATORIES, INC. SHALL HAVE RECEIVED AN OPINION OF ITS COUNSEL THAT REGISTRATION OF SUCH SECURITIES UNDER THE SECURITIES ACT AND UNDER THE PROVISIONS OF APPLICABLE STATE SECURITIES LAWS IS NOT REQUIRED.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Convertible Promissory Note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Sum (U.S.): [$_____] Issuance Date: February 28, 2012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N-______ Maturity Date: February 28, 2014</w:t>
      </w:r>
    </w:p>
    <w:p>
      <w:pPr>
        <w:spacing w:after="0" w:line="200" w:lineRule="exact"/>
        <w:rPr>
          <w:sz w:val="20"/>
          <w:szCs w:val="20"/>
          <w:color w:val="auto"/>
        </w:rPr>
      </w:pPr>
    </w:p>
    <w:p>
      <w:pPr>
        <w:spacing w:after="0" w:line="27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the undersigned, VistaGen Therapeutics, Inc.,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promises to pay to the order of</w:t>
      </w:r>
      <w:r>
        <w:rPr>
          <w:rFonts w:ascii="Arial" w:cs="Arial" w:eastAsia="Arial" w:hAnsi="Arial"/>
          <w:sz w:val="17"/>
          <w:szCs w:val="17"/>
          <w:b w:val="1"/>
          <w:bCs w:val="1"/>
          <w:color w:val="auto"/>
        </w:rPr>
        <w:t xml:space="preserve"> </w:t>
      </w:r>
      <w:r>
        <w:rPr>
          <w:rFonts w:ascii="Arial" w:cs="Arial" w:eastAsia="Arial" w:hAnsi="Arial"/>
          <w:sz w:val="17"/>
          <w:szCs w:val="17"/>
          <w:color w:val="auto"/>
        </w:rPr>
        <w:t>[HOLDER], or any future permitted holder of this Promissory Note (the “</w:t>
      </w:r>
      <w:r>
        <w:rPr>
          <w:rFonts w:ascii="Arial" w:cs="Arial" w:eastAsia="Arial" w:hAnsi="Arial"/>
          <w:sz w:val="17"/>
          <w:szCs w:val="17"/>
          <w:u w:val="single" w:color="auto"/>
          <w:color w:val="auto"/>
        </w:rPr>
        <w:t>Holder</w:t>
      </w:r>
      <w:r>
        <w:rPr>
          <w:rFonts w:ascii="Arial" w:cs="Arial" w:eastAsia="Arial" w:hAnsi="Arial"/>
          <w:sz w:val="17"/>
          <w:szCs w:val="17"/>
          <w:color w:val="auto"/>
        </w:rPr>
        <w:t>”), at the principal office of the Holder set forth herein, or at such other place as the holder may designate in writing to the Company, the principal sum of ________ Thousand Dollars ($______) or such other amount as may be outstanding hereunder, together with all accrued but unpaid interest, shall be paid as provided in this Promissory Note (the "</w:t>
      </w:r>
      <w:r>
        <w:rPr>
          <w:rFonts w:ascii="Arial" w:cs="Arial" w:eastAsia="Arial" w:hAnsi="Arial"/>
          <w:sz w:val="17"/>
          <w:szCs w:val="17"/>
          <w:u w:val="single" w:color="auto"/>
          <w:color w:val="auto"/>
        </w:rPr>
        <w:t>Note</w:t>
      </w:r>
      <w:r>
        <w:rPr>
          <w:rFonts w:ascii="Arial" w:cs="Arial" w:eastAsia="Arial" w:hAnsi="Arial"/>
          <w:sz w:val="17"/>
          <w:szCs w:val="17"/>
          <w:color w:val="auto"/>
        </w:rPr>
        <w:t>").</w:t>
      </w:r>
    </w:p>
    <w:p>
      <w:pPr>
        <w:spacing w:after="0" w:line="223" w:lineRule="exact"/>
        <w:rPr>
          <w:sz w:val="20"/>
          <w:szCs w:val="20"/>
          <w:color w:val="auto"/>
        </w:rPr>
      </w:pPr>
    </w:p>
    <w:p>
      <w:pPr>
        <w:ind w:left="180" w:firstLine="1449"/>
        <w:spacing w:after="0" w:line="255" w:lineRule="auto"/>
        <w:tabs>
          <w:tab w:leader="none" w:pos="1989"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This Note shall rank pari-passu with respect to certain other promissory notes of the Company, if issued, of like tenor herewith (the “</w:t>
      </w:r>
      <w:r>
        <w:rPr>
          <w:rFonts w:ascii="Arial" w:cs="Arial" w:eastAsia="Arial" w:hAnsi="Arial"/>
          <w:sz w:val="18"/>
          <w:szCs w:val="18"/>
          <w:u w:val="single" w:color="auto"/>
          <w:color w:val="auto"/>
        </w:rPr>
        <w:t>Other Notes</w:t>
      </w:r>
      <w:r>
        <w:rPr>
          <w:rFonts w:ascii="Arial" w:cs="Arial" w:eastAsia="Arial" w:hAnsi="Arial"/>
          <w:sz w:val="18"/>
          <w:szCs w:val="18"/>
          <w:color w:val="auto"/>
        </w:rPr>
        <w:t>”), in an aggregate principal amount not to exceed $3,000,000, inclusive of this Note (this Note together with the Other Notes shall be referred to as the “</w:t>
      </w:r>
      <w:r>
        <w:rPr>
          <w:rFonts w:ascii="Arial" w:cs="Arial" w:eastAsia="Arial" w:hAnsi="Arial"/>
          <w:sz w:val="18"/>
          <w:szCs w:val="18"/>
          <w:u w:val="single" w:color="auto"/>
          <w:color w:val="auto"/>
        </w:rPr>
        <w:t>Notes</w:t>
      </w:r>
      <w:r>
        <w:rPr>
          <w:rFonts w:ascii="Arial" w:cs="Arial" w:eastAsia="Arial" w:hAnsi="Arial"/>
          <w:sz w:val="18"/>
          <w:szCs w:val="18"/>
          <w:color w:val="auto"/>
        </w:rPr>
        <w:t>”). The Company may not redeem, declare or pay any dividends (whether in cash, stock or any combination thereof), or otherwise make any distributions with respect to any class or series of capital stock of the Company, or prepay any outstanding indebtedness, exclusive of the Other Notes, while the Notes are outstanding without the written consent from Holder(s) representing at least two-thirds (2/3rds) of the then-outstanding aggregate principal amount of the Notes.</w:t>
      </w:r>
    </w:p>
    <w:p>
      <w:pPr>
        <w:spacing w:after="0" w:line="247" w:lineRule="exact"/>
        <w:rPr>
          <w:rFonts w:ascii="Arial" w:cs="Arial" w:eastAsia="Arial" w:hAnsi="Arial"/>
          <w:sz w:val="18"/>
          <w:szCs w:val="18"/>
          <w:color w:val="auto"/>
        </w:rPr>
      </w:pPr>
    </w:p>
    <w:p>
      <w:pPr>
        <w:ind w:left="180" w:firstLine="1449"/>
        <w:spacing w:after="0" w:line="257" w:lineRule="auto"/>
        <w:tabs>
          <w:tab w:leader="none" w:pos="1989"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Maturity/Principal and Interest Payments</w:t>
      </w:r>
      <w:r>
        <w:rPr>
          <w:rFonts w:ascii="Arial" w:cs="Arial" w:eastAsia="Arial" w:hAnsi="Arial"/>
          <w:sz w:val="18"/>
          <w:szCs w:val="18"/>
          <w:color w:val="auto"/>
        </w:rPr>
        <w:t>. The outstanding principal balance of this Note together with all accrued but unpaid interest hereunder (the “</w:t>
      </w:r>
      <w:r>
        <w:rPr>
          <w:rFonts w:ascii="Arial" w:cs="Arial" w:eastAsia="Arial" w:hAnsi="Arial"/>
          <w:sz w:val="18"/>
          <w:szCs w:val="18"/>
          <w:u w:val="single" w:color="auto"/>
          <w:color w:val="auto"/>
        </w:rPr>
        <w:t>Outstanding Balance</w:t>
      </w:r>
      <w:r>
        <w:rPr>
          <w:rFonts w:ascii="Arial" w:cs="Arial" w:eastAsia="Arial" w:hAnsi="Arial"/>
          <w:sz w:val="18"/>
          <w:szCs w:val="18"/>
          <w:color w:val="auto"/>
        </w:rPr>
        <w:t>”) shall be due and payable on February __, 2014 (the “</w:t>
      </w:r>
      <w:r>
        <w:rPr>
          <w:rFonts w:ascii="Arial" w:cs="Arial" w:eastAsia="Arial" w:hAnsi="Arial"/>
          <w:sz w:val="18"/>
          <w:szCs w:val="18"/>
          <w:u w:val="single" w:color="auto"/>
          <w:color w:val="auto"/>
        </w:rPr>
        <w:t>Maturity Date</w:t>
      </w:r>
      <w:r>
        <w:rPr>
          <w:rFonts w:ascii="Arial" w:cs="Arial" w:eastAsia="Arial" w:hAnsi="Arial"/>
          <w:sz w:val="18"/>
          <w:szCs w:val="18"/>
          <w:color w:val="auto"/>
        </w:rPr>
        <w:t>”. The Notes shall accrue interest equal to twelve percent (12%) per annum. Interest on the outstanding principal balance of the Note shall be computed on the basis of the actual number of days elapsed and a year of three hundred and sixty-five (365) days and shall be payable in cash. Prepayment of the principal and accrued interest under this Note shall be permitted at any time and from time to time, without penalty.</w:t>
      </w:r>
    </w:p>
    <w:p>
      <w:pPr>
        <w:spacing w:after="0" w:line="242" w:lineRule="exact"/>
        <w:rPr>
          <w:rFonts w:ascii="Arial" w:cs="Arial" w:eastAsia="Arial" w:hAnsi="Arial"/>
          <w:sz w:val="18"/>
          <w:szCs w:val="18"/>
          <w:color w:val="auto"/>
        </w:rPr>
      </w:pPr>
    </w:p>
    <w:p>
      <w:pPr>
        <w:jc w:val="both"/>
        <w:ind w:left="180" w:right="100" w:firstLine="1449"/>
        <w:spacing w:after="0" w:line="264" w:lineRule="auto"/>
        <w:tabs>
          <w:tab w:leader="none" w:pos="1989" w:val="left"/>
        </w:tabs>
        <w:numPr>
          <w:ilvl w:val="2"/>
          <w:numId w:val="25"/>
        </w:numPr>
        <w:rPr>
          <w:rFonts w:ascii="Arial" w:cs="Arial" w:eastAsia="Arial" w:hAnsi="Arial"/>
          <w:sz w:val="18"/>
          <w:szCs w:val="18"/>
          <w:color w:val="auto"/>
        </w:rPr>
      </w:pPr>
      <w:r>
        <w:rPr>
          <w:rFonts w:ascii="Arial" w:cs="Arial" w:eastAsia="Arial" w:hAnsi="Arial"/>
          <w:sz w:val="18"/>
          <w:szCs w:val="18"/>
          <w:u w:val="single" w:color="auto"/>
          <w:color w:val="auto"/>
        </w:rPr>
        <w:t>Non-Business Days</w:t>
      </w:r>
      <w:r>
        <w:rPr>
          <w:rFonts w:ascii="Arial" w:cs="Arial" w:eastAsia="Arial" w:hAnsi="Arial"/>
          <w:sz w:val="18"/>
          <w:szCs w:val="18"/>
          <w:color w:val="auto"/>
        </w:rPr>
        <w:t>. Whenever any payment to be made shall be due on a Saturday, Sunday or a public holiday under the laws of the State of California, such payment may be due on the next succeeding business day and such next succeeding day shall be included in the calculation of the amount of accrued interest payable on such date.</w:t>
      </w:r>
    </w:p>
    <w:p>
      <w:pPr>
        <w:spacing w:after="0" w:line="235" w:lineRule="exact"/>
        <w:rPr>
          <w:rFonts w:ascii="Arial" w:cs="Arial" w:eastAsia="Arial" w:hAnsi="Arial"/>
          <w:sz w:val="18"/>
          <w:szCs w:val="18"/>
          <w:color w:val="auto"/>
        </w:rPr>
      </w:pPr>
    </w:p>
    <w:p>
      <w:pPr>
        <w:ind w:left="180" w:right="60" w:firstLine="1449"/>
        <w:spacing w:after="0" w:line="268" w:lineRule="auto"/>
        <w:tabs>
          <w:tab w:leader="none" w:pos="1989" w:val="left"/>
        </w:tabs>
        <w:numPr>
          <w:ilvl w:val="2"/>
          <w:numId w:val="25"/>
        </w:numPr>
        <w:rPr>
          <w:rFonts w:ascii="Arial" w:cs="Arial" w:eastAsia="Arial" w:hAnsi="Arial"/>
          <w:sz w:val="17"/>
          <w:szCs w:val="17"/>
          <w:color w:val="auto"/>
        </w:rPr>
      </w:pPr>
      <w:r>
        <w:rPr>
          <w:rFonts w:ascii="Arial" w:cs="Arial" w:eastAsia="Arial" w:hAnsi="Arial"/>
          <w:sz w:val="17"/>
          <w:szCs w:val="17"/>
          <w:u w:val="single" w:color="auto"/>
          <w:color w:val="auto"/>
        </w:rPr>
        <w:t>Mandatory Conversion</w:t>
      </w:r>
      <w:r>
        <w:rPr>
          <w:rFonts w:ascii="Arial" w:cs="Arial" w:eastAsia="Arial" w:hAnsi="Arial"/>
          <w:sz w:val="17"/>
          <w:szCs w:val="17"/>
          <w:color w:val="auto"/>
        </w:rPr>
        <w:t>. Upon the closing by the Company of an equity or equity based financing or a series of equity financings following the date of this Note resulting in gross proceeds to the Company totaling at least $4,000,000 (the “</w:t>
      </w:r>
      <w:r>
        <w:rPr>
          <w:rFonts w:ascii="Arial" w:cs="Arial" w:eastAsia="Arial" w:hAnsi="Arial"/>
          <w:sz w:val="17"/>
          <w:szCs w:val="17"/>
          <w:u w:val="single" w:color="auto"/>
          <w:color w:val="auto"/>
        </w:rPr>
        <w:t>Qualified Financing Threshold Amount</w:t>
      </w:r>
      <w:r>
        <w:rPr>
          <w:rFonts w:ascii="Arial" w:cs="Arial" w:eastAsia="Arial" w:hAnsi="Arial"/>
          <w:sz w:val="17"/>
          <w:szCs w:val="17"/>
          <w:color w:val="auto"/>
        </w:rPr>
        <w:t>”), and the price per unit of securities sold, or share of common stock sold or issuable in connection with such financing or series of financing transactions, is at least $2.00 (a “</w:t>
      </w:r>
      <w:r>
        <w:rPr>
          <w:rFonts w:ascii="Arial" w:cs="Arial" w:eastAsia="Arial" w:hAnsi="Arial"/>
          <w:sz w:val="17"/>
          <w:szCs w:val="17"/>
          <w:u w:val="single" w:color="auto"/>
          <w:color w:val="auto"/>
        </w:rPr>
        <w:t>Qualified Financing</w:t>
      </w:r>
      <w:r>
        <w:rPr>
          <w:rFonts w:ascii="Arial" w:cs="Arial" w:eastAsia="Arial" w:hAnsi="Arial"/>
          <w:sz w:val="17"/>
          <w:szCs w:val="17"/>
          <w:color w:val="auto"/>
        </w:rPr>
        <w:t>”), the outstanding principal amount of this Note together with all accrued and unpaid interest hereunder (the “</w:t>
      </w:r>
      <w:r>
        <w:rPr>
          <w:rFonts w:ascii="Arial" w:cs="Arial" w:eastAsia="Arial" w:hAnsi="Arial"/>
          <w:sz w:val="17"/>
          <w:szCs w:val="17"/>
          <w:u w:val="single" w:color="auto"/>
          <w:color w:val="auto"/>
        </w:rPr>
        <w:t>Outstanding Balance</w:t>
      </w:r>
      <w:r>
        <w:rPr>
          <w:rFonts w:ascii="Arial" w:cs="Arial" w:eastAsia="Arial" w:hAnsi="Arial"/>
          <w:sz w:val="17"/>
          <w:szCs w:val="17"/>
          <w:color w:val="auto"/>
        </w:rPr>
        <w:t xml:space="preserve">”) shall automatically convert into such securities, including warrants of the Company as are issued in the Qualified Financing, the amount of which shall be determined in accordance with the following formula: (the Outstanding Balance as of the closing of the Qualified Financing) x (1.25) / (the per security price of the securities sold in the Qualified Financing); </w:t>
      </w:r>
      <w:r>
        <w:rPr>
          <w:rFonts w:ascii="Arial" w:cs="Arial" w:eastAsia="Arial" w:hAnsi="Arial"/>
          <w:sz w:val="17"/>
          <w:szCs w:val="17"/>
          <w:i w:val="1"/>
          <w:iCs w:val="1"/>
          <w:color w:val="auto"/>
        </w:rPr>
        <w:t>provided, however</w:t>
      </w:r>
      <w:r>
        <w:rPr>
          <w:rFonts w:ascii="Arial" w:cs="Arial" w:eastAsia="Arial" w:hAnsi="Arial"/>
          <w:sz w:val="17"/>
          <w:szCs w:val="17"/>
          <w:color w:val="auto"/>
        </w:rPr>
        <w:t>, for purposes of the per security price of the securities sold in the Qualified Financing, such price shall be not less than $2.00 per share of Common Stock for purposes of determining the amount of securities issuable upon automatic conversion hereunder. The principal amount of this Note and of Notes of like tenor issued between the date hereof and the closing of the Qualified Financing shall be excluded in determining the Qualified Financing Threshold Amount. Upon such conversion, the Holder shall be deemed to be a Holder in the Qualified Financing and shall be granted all rights afforded to an investor in the Qualified Financing. Notwithstanding anything to the contrary contained in this Section 4, the Company shall have the right, at the Company’s option, to pay all or a portion of the accrued and unpaid interest due and payable to Holder upon such automatic conversion in cash.</w:t>
      </w:r>
    </w:p>
    <w:p>
      <w:pPr>
        <w:spacing w:after="0" w:line="241" w:lineRule="exact"/>
        <w:rPr>
          <w:rFonts w:ascii="Arial" w:cs="Arial" w:eastAsia="Arial" w:hAnsi="Arial"/>
          <w:sz w:val="17"/>
          <w:szCs w:val="17"/>
          <w:color w:val="auto"/>
        </w:rPr>
      </w:pPr>
    </w:p>
    <w:p>
      <w:pPr>
        <w:ind w:left="180" w:right="60" w:firstLine="1449"/>
        <w:spacing w:after="0" w:line="284" w:lineRule="auto"/>
        <w:tabs>
          <w:tab w:leader="none" w:pos="1989" w:val="left"/>
        </w:tabs>
        <w:numPr>
          <w:ilvl w:val="2"/>
          <w:numId w:val="25"/>
        </w:numPr>
        <w:rPr>
          <w:rFonts w:ascii="Arial" w:cs="Arial" w:eastAsia="Arial" w:hAnsi="Arial"/>
          <w:sz w:val="16"/>
          <w:szCs w:val="16"/>
          <w:color w:val="auto"/>
        </w:rPr>
      </w:pPr>
      <w:r>
        <w:rPr>
          <w:rFonts w:ascii="Arial" w:cs="Arial" w:eastAsia="Arial" w:hAnsi="Arial"/>
          <w:sz w:val="16"/>
          <w:szCs w:val="16"/>
          <w:u w:val="single" w:color="auto"/>
          <w:color w:val="auto"/>
        </w:rPr>
        <w:t>Voluntary Conversion</w:t>
      </w:r>
      <w:r>
        <w:rPr>
          <w:rFonts w:ascii="Arial" w:cs="Arial" w:eastAsia="Arial" w:hAnsi="Arial"/>
          <w:sz w:val="16"/>
          <w:szCs w:val="16"/>
          <w:color w:val="auto"/>
        </w:rPr>
        <w:t>. Subject to the terms and conditions of this Section 5, and provided this Note remains outstanding and has not otherwise been converted pursuant to Section 4, the Holder shall have the right, at the Holder’s option, to convert the Outstanding Balance (the “</w:t>
      </w:r>
      <w:r>
        <w:rPr>
          <w:rFonts w:ascii="Arial" w:cs="Arial" w:eastAsia="Arial" w:hAnsi="Arial"/>
          <w:sz w:val="16"/>
          <w:szCs w:val="16"/>
          <w:u w:val="single" w:color="auto"/>
          <w:color w:val="auto"/>
        </w:rPr>
        <w:t>Conversion Option</w:t>
      </w:r>
      <w:r>
        <w:rPr>
          <w:rFonts w:ascii="Arial" w:cs="Arial" w:eastAsia="Arial" w:hAnsi="Arial"/>
          <w:sz w:val="16"/>
          <w:szCs w:val="16"/>
          <w:color w:val="auto"/>
        </w:rPr>
        <w:t>”) into such number of fully paid and non-assessable shares of the Company’s Common Stock (the “Conversion Shares”) as is determined in accordance with the following formula: (the Outstanding Balance as of the date of the exercise of the Conversion Option) / $3.00) (the “</w:t>
      </w:r>
      <w:r>
        <w:rPr>
          <w:rFonts w:ascii="Arial" w:cs="Arial" w:eastAsia="Arial" w:hAnsi="Arial"/>
          <w:sz w:val="16"/>
          <w:szCs w:val="16"/>
          <w:u w:val="single" w:color="auto"/>
          <w:color w:val="auto"/>
        </w:rPr>
        <w:t>Conversion Price</w:t>
      </w:r>
      <w:r>
        <w:rPr>
          <w:rFonts w:ascii="Arial" w:cs="Arial" w:eastAsia="Arial" w:hAnsi="Arial"/>
          <w:sz w:val="16"/>
          <w:szCs w:val="16"/>
          <w:color w:val="auto"/>
        </w:rPr>
        <w:t>”). If the Holder desires to exercise the Conversion Option, the Holder shall, by personal delivery or nationally-recognized overnight carrier, surrender the original of this Note and give written notice to the Company (the “</w:t>
      </w:r>
      <w:r>
        <w:rPr>
          <w:rFonts w:ascii="Arial" w:cs="Arial" w:eastAsia="Arial" w:hAnsi="Arial"/>
          <w:sz w:val="16"/>
          <w:szCs w:val="16"/>
          <w:u w:val="single" w:color="auto"/>
          <w:color w:val="auto"/>
        </w:rPr>
        <w:t>Conversion Notice</w:t>
      </w:r>
      <w:r>
        <w:rPr>
          <w:rFonts w:ascii="Arial" w:cs="Arial" w:eastAsia="Arial" w:hAnsi="Arial"/>
          <w:sz w:val="16"/>
          <w:szCs w:val="16"/>
          <w:color w:val="auto"/>
        </w:rPr>
        <w:t>”), which Conversion Notice shall (a) state the Holder’s election to exercise the Conversion Option, and (b) provide for a representation and warranty of the Holder to the Company that, as of the date of the Conversion Notice, the Holder has not assigned or otherwise transferred all or any portion of the Holder’s rights under this Note to any third</w:t>
      </w:r>
    </w:p>
    <w:p>
      <w:pPr>
        <w:spacing w:after="0" w:line="1" w:lineRule="exact"/>
        <w:rPr>
          <w:rFonts w:ascii="Arial" w:cs="Arial" w:eastAsia="Arial" w:hAnsi="Arial"/>
          <w:sz w:val="16"/>
          <w:szCs w:val="16"/>
          <w:color w:val="auto"/>
        </w:rPr>
      </w:pPr>
    </w:p>
    <w:p>
      <w:pPr>
        <w:jc w:val="both"/>
        <w:ind w:left="180"/>
        <w:spacing w:after="0" w:line="254" w:lineRule="auto"/>
        <w:rPr>
          <w:rFonts w:ascii="Arial" w:cs="Arial" w:eastAsia="Arial" w:hAnsi="Arial"/>
          <w:sz w:val="16"/>
          <w:szCs w:val="16"/>
          <w:color w:val="auto"/>
        </w:rPr>
      </w:pPr>
      <w:r>
        <w:rPr>
          <w:rFonts w:ascii="Arial" w:cs="Arial" w:eastAsia="Arial" w:hAnsi="Arial"/>
          <w:sz w:val="18"/>
          <w:szCs w:val="18"/>
          <w:color w:val="auto"/>
        </w:rPr>
        <w:t>parties. The Company shall, as soon as practicable thereafter, issue and deliver to the Holder the number of Conversion Shares to which the Holder shall be entitled upon exercise of the Conversion Option. Notwithstanding anything to the contrary contained in this Section 5, the Company shall have the right, at the Company’s option, to pay all or a portion of the accrued and unpaid interest due and payable to Holder upon Holder’s exercise of the Conversion Option in cash.</w:t>
      </w:r>
    </w:p>
    <w:p>
      <w:pPr>
        <w:spacing w:after="0" w:line="216" w:lineRule="exact"/>
        <w:rPr>
          <w:rFonts w:ascii="Arial" w:cs="Arial" w:eastAsia="Arial" w:hAnsi="Arial"/>
          <w:sz w:val="16"/>
          <w:szCs w:val="16"/>
          <w:color w:val="auto"/>
        </w:rPr>
      </w:pPr>
    </w:p>
    <w:p>
      <w:pPr>
        <w:ind w:left="1940" w:hanging="635"/>
        <w:spacing w:after="0"/>
        <w:tabs>
          <w:tab w:leader="none" w:pos="194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Adjustment of Conversion Price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8"/>
        <w:spacing w:after="0" w:line="291" w:lineRule="auto"/>
        <w:tabs>
          <w:tab w:leader="none" w:pos="757"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Conversion Price shall be subject to adjustment from time to time upon the occurrence of certain events described in this Section 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notwithstanding the provisions of this Section 6, the Company shall not be required to make any adjustment if and to the extent that such</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 would require the Company to issue a number of shares of Common Stock in excess of its authorized but unissued shares of Common Stock, less all amounts of Common Stock that have been reserved for issue upon the conversion of all outstanding securities convertible into shares of Common Stock and the exercise of all outstanding options, warrants and other rights exercisable for shares of Common Stock. If the Company does not have the requisite number of authorized but unissued shares of Common Stock to make any adjustment, the Company shall use its commercially best efforts to obtain the necessary stockholder consent to increase the authorized number of shares of Common Stock to make such an adjustment pursuant to this Section 6.</w:t>
      </w:r>
    </w:p>
    <w:p>
      <w:pPr>
        <w:sectPr>
          <w:pgSz w:w="11900" w:h="16838" w:orient="portrait"/>
          <w:cols w:equalWidth="0" w:num="1">
            <w:col w:w="11420"/>
          </w:cols>
          <w:pgMar w:left="240" w:top="121" w:right="239" w:bottom="0" w:gutter="0" w:footer="0" w:header="0"/>
        </w:sectPr>
      </w:pPr>
    </w:p>
    <w:bookmarkStart w:id="13" w:name="page14"/>
    <w:bookmarkEnd w:id="13"/>
    <w:p>
      <w:pPr>
        <w:jc w:val="both"/>
        <w:ind w:firstLine="2341"/>
        <w:spacing w:after="0" w:line="255" w:lineRule="auto"/>
        <w:tabs>
          <w:tab w:leader="none" w:pos="3099"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Subdivision or Combination of Stock</w:t>
      </w:r>
      <w:r>
        <w:rPr>
          <w:rFonts w:ascii="Arial" w:cs="Arial" w:eastAsia="Arial" w:hAnsi="Arial"/>
          <w:sz w:val="18"/>
          <w:szCs w:val="18"/>
          <w:color w:val="auto"/>
        </w:rPr>
        <w:t>. In case the Company shall at any time subdivide (whether by way of stock dividend, stock split or otherwise) its outstanding shares of Common Stock into a greater number of shares, the Conversion Price in effect immediately prior to such subdivision shall be proportionately reduced, and conversely, in case the outstanding shares of Common Stock of the Company shall be combined (whether by way of stock combination, reverse stock split or otherwise) into a smaller number of shares, the Conversion Price in effect immediately prior to such combination shall be proportionately increased. The Conversion Price shall be readjusted in the same manner upon the happening of any successive event or events described in this Section 6.</w:t>
      </w:r>
    </w:p>
    <w:p>
      <w:pPr>
        <w:spacing w:after="0" w:line="220" w:lineRule="exact"/>
        <w:rPr>
          <w:rFonts w:ascii="Arial" w:cs="Arial" w:eastAsia="Arial" w:hAnsi="Arial"/>
          <w:sz w:val="18"/>
          <w:szCs w:val="18"/>
          <w:color w:val="auto"/>
        </w:rPr>
      </w:pPr>
    </w:p>
    <w:p>
      <w:pPr>
        <w:jc w:val="both"/>
        <w:ind w:firstLine="2040"/>
        <w:spacing w:after="0" w:line="264" w:lineRule="auto"/>
        <w:tabs>
          <w:tab w:leader="none" w:pos="277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Dividends in Stock, Property, Reclassification</w:t>
      </w:r>
      <w:r>
        <w:rPr>
          <w:rFonts w:ascii="Arial" w:cs="Arial" w:eastAsia="Arial" w:hAnsi="Arial"/>
          <w:sz w:val="18"/>
          <w:szCs w:val="18"/>
          <w:color w:val="auto"/>
        </w:rPr>
        <w:t>. If at any time, or from time to time, all of the holders of Common Stock (or any shares of stock or other securities at the time receivable upon the conversion of this Note) shall have received or become entitled to receive, without payment therefore:</w:t>
      </w:r>
    </w:p>
    <w:p>
      <w:pPr>
        <w:spacing w:after="0" w:line="208" w:lineRule="exact"/>
        <w:rPr>
          <w:rFonts w:ascii="Arial" w:cs="Arial" w:eastAsia="Arial" w:hAnsi="Arial"/>
          <w:sz w:val="18"/>
          <w:szCs w:val="18"/>
          <w:color w:val="auto"/>
        </w:rPr>
      </w:pPr>
    </w:p>
    <w:p>
      <w:pPr>
        <w:ind w:firstLine="2552"/>
        <w:spacing w:after="0" w:line="342" w:lineRule="auto"/>
        <w:tabs>
          <w:tab w:leader="none" w:pos="3312" w:val="left"/>
        </w:tabs>
        <w:numPr>
          <w:ilvl w:val="2"/>
          <w:numId w:val="29"/>
        </w:numPr>
        <w:rPr>
          <w:rFonts w:ascii="Arial" w:cs="Arial" w:eastAsia="Arial" w:hAnsi="Arial"/>
          <w:sz w:val="16"/>
          <w:szCs w:val="16"/>
          <w:color w:val="auto"/>
        </w:rPr>
      </w:pPr>
      <w:r>
        <w:rPr>
          <w:rFonts w:ascii="Arial" w:cs="Arial" w:eastAsia="Arial" w:hAnsi="Arial"/>
          <w:sz w:val="16"/>
          <w:szCs w:val="16"/>
          <w:color w:val="auto"/>
        </w:rPr>
        <w:t>any shares of stock or other securities that are at any time directly or indirectly convertible into or exchangeable for Common Stock, or any rights or options to subscribe for, purchase or otherwise acquire any of the foregoing by way of dividend or other distribution, or</w:t>
      </w:r>
    </w:p>
    <w:p>
      <w:pPr>
        <w:spacing w:after="0" w:line="150" w:lineRule="exact"/>
        <w:rPr>
          <w:rFonts w:ascii="Arial" w:cs="Arial" w:eastAsia="Arial" w:hAnsi="Arial"/>
          <w:sz w:val="16"/>
          <w:szCs w:val="16"/>
          <w:color w:val="auto"/>
        </w:rPr>
      </w:pPr>
    </w:p>
    <w:p>
      <w:pPr>
        <w:jc w:val="both"/>
        <w:ind w:firstLine="2752"/>
        <w:spacing w:after="0" w:line="264" w:lineRule="auto"/>
        <w:tabs>
          <w:tab w:leader="none" w:pos="3543" w:val="left"/>
        </w:tabs>
        <w:numPr>
          <w:ilvl w:val="3"/>
          <w:numId w:val="29"/>
        </w:numPr>
        <w:rPr>
          <w:rFonts w:ascii="Arial" w:cs="Arial" w:eastAsia="Arial" w:hAnsi="Arial"/>
          <w:sz w:val="18"/>
          <w:szCs w:val="18"/>
          <w:color w:val="auto"/>
        </w:rPr>
      </w:pPr>
      <w:r>
        <w:rPr>
          <w:rFonts w:ascii="Arial" w:cs="Arial" w:eastAsia="Arial" w:hAnsi="Arial"/>
          <w:sz w:val="18"/>
          <w:szCs w:val="18"/>
          <w:color w:val="auto"/>
        </w:rPr>
        <w:t>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6(a)(i) above),</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then and in each such case, the Conversion Price shall be adjusted proportionately, and the Holder hereof shall, upon the conversion of this Note, be entitled to receive, in addition to the number of shares of Common Stock receivable thereupon, and without payment of any additional consideration therefor, the amount of stock and other securities and property (including cash in the cases referred to above) that such Holder would hold on the date of such conversion had such Holder been the holder of record of such Common Stock as of the date on which holders of Common Stock received or became entitled to receive such shares or all other additional stock and other securities and property. The Conversion Price shall be readjusted in the same manner upon the happening of any successive event or events described in this Section 6(a)(ii)</w:t>
      </w:r>
      <w:r>
        <w:rPr>
          <w:rFonts w:ascii="Arial" w:cs="Arial" w:eastAsia="Arial" w:hAnsi="Arial"/>
          <w:sz w:val="17"/>
          <w:szCs w:val="17"/>
          <w:b w:val="1"/>
          <w:bCs w:val="1"/>
          <w:color w:val="auto"/>
        </w:rPr>
        <w:t>.</w:t>
      </w:r>
    </w:p>
    <w:p>
      <w:pPr>
        <w:spacing w:after="0" w:line="205" w:lineRule="exact"/>
        <w:rPr>
          <w:sz w:val="20"/>
          <w:szCs w:val="20"/>
          <w:color w:val="auto"/>
        </w:rPr>
      </w:pPr>
    </w:p>
    <w:p>
      <w:pPr>
        <w:jc w:val="both"/>
        <w:ind w:firstLine="2653"/>
        <w:spacing w:after="0" w:line="284" w:lineRule="auto"/>
        <w:tabs>
          <w:tab w:leader="none" w:pos="3591" w:val="left"/>
        </w:tabs>
        <w:numPr>
          <w:ilvl w:val="4"/>
          <w:numId w:val="30"/>
        </w:numPr>
        <w:rPr>
          <w:rFonts w:ascii="Arial" w:cs="Arial" w:eastAsia="Arial" w:hAnsi="Arial"/>
          <w:sz w:val="16"/>
          <w:szCs w:val="16"/>
          <w:color w:val="auto"/>
        </w:rPr>
      </w:pPr>
      <w:r>
        <w:rPr>
          <w:rFonts w:ascii="Arial" w:cs="Arial" w:eastAsia="Arial" w:hAnsi="Arial"/>
          <w:sz w:val="16"/>
          <w:szCs w:val="16"/>
          <w:u w:val="single" w:color="auto"/>
          <w:color w:val="auto"/>
        </w:rPr>
        <w:t>Reorganization, Reclassification, Consolidation, Merger or Sale</w:t>
      </w:r>
      <w:r>
        <w:rPr>
          <w:rFonts w:ascii="Arial" w:cs="Arial" w:eastAsia="Arial" w:hAnsi="Arial"/>
          <w:sz w:val="16"/>
          <w:szCs w:val="16"/>
          <w:color w:val="auto"/>
        </w:rPr>
        <w:t>. If any recapitalization, reclassification or reorganization of the capital stock of the Company, or any consolidation or merger of the Company with another corporation, or the sale of all or substantially all of its assets or other transaction shall be effected in such a way that holders of Common Stock shall be entitled to receive stock, securities, or other assets or property (an “</w:t>
      </w:r>
      <w:r>
        <w:rPr>
          <w:rFonts w:ascii="Arial" w:cs="Arial" w:eastAsia="Arial" w:hAnsi="Arial"/>
          <w:sz w:val="16"/>
          <w:szCs w:val="16"/>
          <w:u w:val="single" w:color="auto"/>
          <w:color w:val="auto"/>
        </w:rPr>
        <w:t>Organic Change</w:t>
      </w:r>
      <w:r>
        <w:rPr>
          <w:rFonts w:ascii="Arial" w:cs="Arial" w:eastAsia="Arial" w:hAnsi="Arial"/>
          <w:sz w:val="16"/>
          <w:szCs w:val="16"/>
          <w:color w:val="auto"/>
        </w:rPr>
        <w:t xml:space="preserve">”), then, as a condition of such Organic Change, lawful and adequate provisions shall be made by the Company whereby the Holder hereof shall thereafter have the right to purchase and receive (in lieu of the shares of the Common Stock of the Company immediately theretofore purchasable and receivable upon the conversion of the rights represented by this Note) such shares of stock, securities or other assets or property as may be issued or payable with respect to or in exchange for a number of outstanding shares of such Common Stock equal to the number of shares of such stock immediately theretofore purchasable and receivable assuming the full exercise of the rights represented by this Note. In the event of any Organic Change, appropriate provision shall be made by the Company with respect to the rights and interests of the Holder of this Note to the end that the provisions hereof (including, without limitation, provisions for adjustments of the Conversion Price and of the number of shares receivable upon the conversion of this Note) shall thereafter be applicable, in relation to any shares of stock, securities or assets thereafter deliverable upon the conversion hereof. The Company will not effect any such consolidation, merger or sale unless, prior to the consummation thereof, the successor corporation (if other than the Company) resulting from such consolidation or merger or the corporation purchasing such assets shall assume by written instrument reasonably satisfactory in form and substance to the Holder executed and mailed or delivered to the registered Holder hereof at the last address of such Holder appearing on the books of the Company, the obligation to deliver to such Holder such shares of stock, securities or assets as, in accordance with the foregoing provisions, such Holder may be entitled to purchase. If there is an Organic Change, then the Company shall cause to be mailed to the Holder at its last address as it shall appear on the books and records of the Company, at least 10 calendar days before the effective date of the Organic Change, a notice stating the date on which such Organic Change is expected to become effective or close, and the date as of which it is expected that holders of the Common Stock of record shall be entitled to exchange their shares for securities, cash, or other property delivered upon such Organic Change;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to mail such notice or any defect therein or in the mailing thereof shall not affect the validity of the corporate action required to be specified in such notice. The Holder is entitled to convert this Note during the 10-day period commencing on the date of such notice to the effective date of the event triggering such notice. In any event, the successor corporation (if other than the Company) resulting from such consolidation or merger or the corporation purchasing such assets shall be deemed to assume such obligation to deliver to such Holder such shares of stock, securities or assets even in the absence of a written instrument assuming such obligation to the extent such assumption occurs by operation of law.</w:t>
      </w:r>
    </w:p>
    <w:p>
      <w:pPr>
        <w:spacing w:after="0" w:line="203" w:lineRule="exact"/>
        <w:rPr>
          <w:rFonts w:ascii="Arial" w:cs="Arial" w:eastAsia="Arial" w:hAnsi="Arial"/>
          <w:sz w:val="16"/>
          <w:szCs w:val="16"/>
          <w:color w:val="auto"/>
        </w:rPr>
      </w:pPr>
    </w:p>
    <w:p>
      <w:pPr>
        <w:jc w:val="both"/>
        <w:ind w:firstLine="8"/>
        <w:spacing w:after="0" w:line="302" w:lineRule="auto"/>
        <w:tabs>
          <w:tab w:leader="none" w:pos="73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Upon the occurrence of each adjustment or readjustment pursuant to this Section 6, the Company at its expense shall promptly compute such adjustment or readjustment in accordance with the terms hereof and furnish to each Holder of this Note a certificate setting forth such adjustment or readjustment and showing in detail the facts upon which such adjustment or readjustment is based. The Company shall promptly furnish or cause to be furnished to such Holder a like certificate setting forth such adjustments and readjustments and the Conversion Price.</w:t>
      </w:r>
    </w:p>
    <w:p>
      <w:pPr>
        <w:spacing w:after="0" w:line="181" w:lineRule="exact"/>
        <w:rPr>
          <w:rFonts w:ascii="Arial" w:cs="Arial" w:eastAsia="Arial" w:hAnsi="Arial"/>
          <w:sz w:val="16"/>
          <w:szCs w:val="16"/>
          <w:color w:val="auto"/>
        </w:rPr>
      </w:pPr>
    </w:p>
    <w:p>
      <w:pPr>
        <w:jc w:val="both"/>
        <w:ind w:firstLine="510"/>
        <w:spacing w:after="0" w:line="297" w:lineRule="auto"/>
        <w:tabs>
          <w:tab w:leader="none" w:pos="1203"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Certain Events</w:t>
      </w:r>
      <w:r>
        <w:rPr>
          <w:rFonts w:ascii="Arial" w:cs="Arial" w:eastAsia="Arial" w:hAnsi="Arial"/>
          <w:sz w:val="16"/>
          <w:szCs w:val="16"/>
          <w:color w:val="auto"/>
        </w:rPr>
        <w:t xml:space="preserve">. If any event occurs as to which the other provisions of this Section 6 are not strictly applicable but the lack of any adjustment would not fairly protect the conversion rights of the Holder under this Note in accordance with the basic intent and principles of such provisions, or if strictly applicable would not fairly protect the conversion rights of the Holder under this Note in accordance with the basic intent and principles of such provisions, then the Company's Board of Directors will, in good faith, make an appropriate adjustment to protect the rights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adjustment pursuant to this Section 6 will increase the Conversion Price as otherwise determined pursuant to this Section 6.</w:t>
      </w:r>
    </w:p>
    <w:p>
      <w:pPr>
        <w:spacing w:after="0" w:line="212" w:lineRule="exact"/>
        <w:rPr>
          <w:rFonts w:ascii="Arial" w:cs="Arial" w:eastAsia="Arial" w:hAnsi="Arial"/>
          <w:sz w:val="16"/>
          <w:szCs w:val="16"/>
          <w:color w:val="auto"/>
        </w:rPr>
      </w:pPr>
    </w:p>
    <w:p>
      <w:pPr>
        <w:ind w:left="1980" w:hanging="351"/>
        <w:spacing w:after="0"/>
        <w:tabs>
          <w:tab w:leader="none" w:pos="1980"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of the following events shall be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Note:</w:t>
      </w:r>
    </w:p>
    <w:p>
      <w:pPr>
        <w:spacing w:after="0" w:line="279" w:lineRule="exact"/>
        <w:rPr>
          <w:rFonts w:ascii="Arial" w:cs="Arial" w:eastAsia="Arial" w:hAnsi="Arial"/>
          <w:sz w:val="18"/>
          <w:szCs w:val="18"/>
          <w:color w:val="auto"/>
        </w:rPr>
      </w:pPr>
    </w:p>
    <w:p>
      <w:pPr>
        <w:ind w:right="360" w:firstLine="1953"/>
        <w:spacing w:after="0" w:line="277" w:lineRule="auto"/>
        <w:tabs>
          <w:tab w:leader="none" w:pos="2361" w:val="left"/>
        </w:tabs>
        <w:numPr>
          <w:ilvl w:val="3"/>
          <w:numId w:val="31"/>
        </w:numPr>
        <w:rPr>
          <w:rFonts w:ascii="Arial" w:cs="Arial" w:eastAsia="Arial" w:hAnsi="Arial"/>
          <w:sz w:val="18"/>
          <w:szCs w:val="18"/>
          <w:color w:val="auto"/>
        </w:rPr>
      </w:pPr>
      <w:r>
        <w:rPr>
          <w:rFonts w:ascii="Arial" w:cs="Arial" w:eastAsia="Arial" w:hAnsi="Arial"/>
          <w:sz w:val="18"/>
          <w:szCs w:val="18"/>
          <w:color w:val="auto"/>
        </w:rPr>
        <w:t>the Company shall fail to make the payment of any amount of any principal outstanding for a period of ten (10) business days after the date such payment shall become due and payable hereunder; or</w:t>
      </w:r>
    </w:p>
    <w:p>
      <w:pPr>
        <w:spacing w:after="0" w:line="224" w:lineRule="exact"/>
        <w:rPr>
          <w:rFonts w:ascii="Arial" w:cs="Arial" w:eastAsia="Arial" w:hAnsi="Arial"/>
          <w:sz w:val="18"/>
          <w:szCs w:val="18"/>
          <w:color w:val="auto"/>
        </w:rPr>
      </w:pPr>
    </w:p>
    <w:p>
      <w:pPr>
        <w:ind w:right="340" w:firstLine="1953"/>
        <w:spacing w:after="0" w:line="277" w:lineRule="auto"/>
        <w:tabs>
          <w:tab w:leader="none" w:pos="2371" w:val="left"/>
        </w:tabs>
        <w:numPr>
          <w:ilvl w:val="3"/>
          <w:numId w:val="31"/>
        </w:numPr>
        <w:rPr>
          <w:rFonts w:ascii="Arial" w:cs="Arial" w:eastAsia="Arial" w:hAnsi="Arial"/>
          <w:sz w:val="18"/>
          <w:szCs w:val="18"/>
          <w:color w:val="auto"/>
        </w:rPr>
      </w:pPr>
      <w:r>
        <w:rPr>
          <w:rFonts w:ascii="Arial" w:cs="Arial" w:eastAsia="Arial" w:hAnsi="Arial"/>
          <w:sz w:val="18"/>
          <w:szCs w:val="18"/>
          <w:color w:val="auto"/>
        </w:rPr>
        <w:t>the Company shall fail to make the payment of any amount of any interest for a period of ten (10) business days after the date such interest shall become due and payable hereunder; or</w:t>
      </w:r>
    </w:p>
    <w:p>
      <w:pPr>
        <w:spacing w:after="0" w:line="224" w:lineRule="exact"/>
        <w:rPr>
          <w:rFonts w:ascii="Arial" w:cs="Arial" w:eastAsia="Arial" w:hAnsi="Arial"/>
          <w:sz w:val="18"/>
          <w:szCs w:val="18"/>
          <w:color w:val="auto"/>
        </w:rPr>
      </w:pPr>
    </w:p>
    <w:p>
      <w:pPr>
        <w:ind w:right="20" w:firstLine="1953"/>
        <w:spacing w:after="0" w:line="302" w:lineRule="auto"/>
        <w:tabs>
          <w:tab w:leader="none" w:pos="2361" w:val="left"/>
        </w:tabs>
        <w:numPr>
          <w:ilvl w:val="3"/>
          <w:numId w:val="31"/>
        </w:numPr>
        <w:rPr>
          <w:rFonts w:ascii="Arial" w:cs="Arial" w:eastAsia="Arial" w:hAnsi="Arial"/>
          <w:sz w:val="16"/>
          <w:szCs w:val="16"/>
          <w:color w:val="auto"/>
        </w:rPr>
      </w:pPr>
      <w:r>
        <w:rPr>
          <w:rFonts w:ascii="Arial" w:cs="Arial" w:eastAsia="Arial" w:hAnsi="Arial"/>
          <w:sz w:val="16"/>
          <w:szCs w:val="16"/>
          <w:color w:val="auto"/>
        </w:rPr>
        <w:t>the Company shall default in the payment of any indebtedness equal to or in excess of $250,000 (the "</w:t>
      </w:r>
      <w:r>
        <w:rPr>
          <w:rFonts w:ascii="Arial" w:cs="Arial" w:eastAsia="Arial" w:hAnsi="Arial"/>
          <w:sz w:val="16"/>
          <w:szCs w:val="16"/>
          <w:u w:val="single" w:color="auto"/>
          <w:color w:val="auto"/>
        </w:rPr>
        <w:t>Indebtedness</w:t>
      </w:r>
      <w:r>
        <w:rPr>
          <w:rFonts w:ascii="Arial" w:cs="Arial" w:eastAsia="Arial" w:hAnsi="Arial"/>
          <w:sz w:val="16"/>
          <w:szCs w:val="16"/>
          <w:color w:val="auto"/>
        </w:rPr>
        <w:t>") (other than the Indebtedness hereunder) at its stated maturity or payment date, whether such Indebtedness now exists or shall hereinafter be created, and such default is evidenced by a notice of default delivered to the Company by the holder of such Indebtedness, and such Indebtedness has not been discharged in full or such payment has not been stayed, rescinded, annulled or cured within thirty (30) days following the delivery of such notice of default; or</w:t>
      </w:r>
    </w:p>
    <w:p>
      <w:pPr>
        <w:sectPr>
          <w:pgSz w:w="11900" w:h="16838" w:orient="portrait"/>
          <w:cols w:equalWidth="0" w:num="1">
            <w:col w:w="11420"/>
          </w:cols>
          <w:pgMar w:left="240" w:top="125" w:right="239" w:bottom="0" w:gutter="0" w:footer="0" w:header="0"/>
        </w:sectPr>
      </w:pPr>
    </w:p>
    <w:bookmarkStart w:id="14" w:name="page15"/>
    <w:bookmarkEnd w:id="14"/>
    <w:p>
      <w:pPr>
        <w:ind w:firstLine="1953"/>
        <w:spacing w:after="0" w:line="255" w:lineRule="auto"/>
        <w:tabs>
          <w:tab w:leader="none" w:pos="237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judgment or order for the payment of money shall be rendered against the Company or any of its subsidiaries in excess of $250,000 in the aggregate (net of any applicable insurance coverage) for all such judgments or orders against all such persons (treating any deductibles, self insurance or retention as not so covered) that shall not be discharged, and all such judgments and orders remain outstanding, and there shall be any period of sixty (60) consecutive days following entry of the judgment or order in excess of $250,000 or the judgment or order which causes the aggregate amount described above to exceed $250,000 during which a stay of enforcement of such judgment or order, by reason of a pending appeal or otherwise, shall not be in effect; or</w:t>
      </w:r>
    </w:p>
    <w:p>
      <w:pPr>
        <w:spacing w:after="0" w:line="247" w:lineRule="exact"/>
        <w:rPr>
          <w:rFonts w:ascii="Arial" w:cs="Arial" w:eastAsia="Arial" w:hAnsi="Arial"/>
          <w:sz w:val="18"/>
          <w:szCs w:val="18"/>
          <w:color w:val="auto"/>
        </w:rPr>
      </w:pPr>
    </w:p>
    <w:p>
      <w:pPr>
        <w:ind w:right="40" w:firstLine="1953"/>
        <w:spacing w:after="0" w:line="273" w:lineRule="auto"/>
        <w:tabs>
          <w:tab w:leader="none" w:pos="2361"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Company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Bankruptcy Code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involuntary case under the Bankruptcy Code or under the comparable laws of any jurisdiction (foreign or domestic), or (vi) take any action under the laws of any jurisdiction (foreign or domestic) analogous to any of the foregoing; or</w:t>
      </w:r>
    </w:p>
    <w:p>
      <w:pPr>
        <w:spacing w:after="0" w:line="232" w:lineRule="exact"/>
        <w:rPr>
          <w:rFonts w:ascii="Arial" w:cs="Arial" w:eastAsia="Arial" w:hAnsi="Arial"/>
          <w:sz w:val="17"/>
          <w:szCs w:val="17"/>
          <w:color w:val="auto"/>
        </w:rPr>
      </w:pPr>
    </w:p>
    <w:p>
      <w:pPr>
        <w:ind w:right="20" w:firstLine="1953"/>
        <w:spacing w:after="0" w:line="271" w:lineRule="auto"/>
        <w:tabs>
          <w:tab w:leader="none" w:pos="2341" w:val="left"/>
        </w:tabs>
        <w:numPr>
          <w:ilvl w:val="1"/>
          <w:numId w:val="32"/>
        </w:numPr>
        <w:rPr>
          <w:rFonts w:ascii="Arial" w:cs="Arial" w:eastAsia="Arial" w:hAnsi="Arial"/>
          <w:sz w:val="17"/>
          <w:szCs w:val="17"/>
          <w:color w:val="auto"/>
        </w:rPr>
      </w:pPr>
      <w:r>
        <w:rPr>
          <w:rFonts w:ascii="Arial" w:cs="Arial" w:eastAsia="Arial" w:hAnsi="Arial"/>
          <w:sz w:val="17"/>
          <w:szCs w:val="17"/>
          <w:color w:val="auto"/>
        </w:rPr>
        <w:t>a proceeding or case shall be commenced in respect of the Company or any of its subsidiaries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or (iii) similar relief in respect of it under any law providing for the relief of debtors, and such proceeding or case described in clause (i), (ii) or (iii) shall continue undismissed, or unstayed and in effect, for a period of thirty (30) consecutive days or any order for relief shall be entered in an involuntary case under the Bankruptcy Code or under the comparable laws of any jurisdiction (foreign or domestic) against the Company or any of its subsidiaries or action under the laws of any jurisdiction (foreign or domestic) analogous to any of the foregoing shall be taken with respect to the Company or any of its subsidiaries and shall continue undismissed, or unstayed and in effect for a period of thirty (30) consecutive days.</w:t>
      </w:r>
    </w:p>
    <w:p>
      <w:pPr>
        <w:spacing w:after="0" w:line="232" w:lineRule="exact"/>
        <w:rPr>
          <w:rFonts w:ascii="Arial" w:cs="Arial" w:eastAsia="Arial" w:hAnsi="Arial"/>
          <w:sz w:val="17"/>
          <w:szCs w:val="17"/>
          <w:color w:val="auto"/>
        </w:rPr>
      </w:pPr>
    </w:p>
    <w:p>
      <w:pPr>
        <w:ind w:left="180" w:right="20" w:firstLine="1449"/>
        <w:spacing w:after="0" w:line="270" w:lineRule="auto"/>
        <w:tabs>
          <w:tab w:leader="none" w:pos="1989" w:val="left"/>
        </w:tabs>
        <w:numPr>
          <w:ilvl w:val="0"/>
          <w:numId w:val="33"/>
        </w:numPr>
        <w:rPr>
          <w:rFonts w:ascii="Arial" w:cs="Arial" w:eastAsia="Arial" w:hAnsi="Arial"/>
          <w:sz w:val="17"/>
          <w:szCs w:val="17"/>
          <w:b w:val="1"/>
          <w:bCs w:val="1"/>
          <w:color w:val="auto"/>
        </w:rPr>
      </w:pPr>
      <w:r>
        <w:rPr>
          <w:rFonts w:ascii="Arial" w:cs="Arial" w:eastAsia="Arial" w:hAnsi="Arial"/>
          <w:sz w:val="17"/>
          <w:szCs w:val="17"/>
          <w:u w:val="single" w:color="auto"/>
          <w:color w:val="auto"/>
        </w:rPr>
        <w:t>Remedies Upon An Event of Default</w:t>
      </w:r>
      <w:r>
        <w:rPr>
          <w:rFonts w:ascii="Arial" w:cs="Arial" w:eastAsia="Arial" w:hAnsi="Arial"/>
          <w:sz w:val="17"/>
          <w:szCs w:val="17"/>
          <w:color w:val="auto"/>
        </w:rPr>
        <w:t xml:space="preserve">. If an Event of Default shall have occurred and shall be continuing, the Holder of this Note may at any time at its option, (a) declare the entire unpaid principal balance of this Note, together with all interest accrued hereon, due and payable, and thereupon, the same shall be accelerated and so due and payable; </w:t>
      </w:r>
      <w:r>
        <w:rPr>
          <w:rFonts w:ascii="Arial" w:cs="Arial" w:eastAsia="Arial" w:hAnsi="Arial"/>
          <w:sz w:val="17"/>
          <w:szCs w:val="17"/>
          <w:i w:val="1"/>
          <w:iCs w:val="1"/>
          <w:color w:val="auto"/>
        </w:rPr>
        <w:t>provided, however</w:t>
      </w:r>
      <w:r>
        <w:rPr>
          <w:rFonts w:ascii="Arial" w:cs="Arial" w:eastAsia="Arial" w:hAnsi="Arial"/>
          <w:sz w:val="17"/>
          <w:szCs w:val="17"/>
          <w:color w:val="auto"/>
        </w:rPr>
        <w:t>, that upon the occurrence of an Event of Default described in (i) Sections 7(e) and (f), without presentment, demand, protest, or notice, all of which are hereby expressly unconditionally and irrevocably waived by the Company, the outstanding principal balance and accrued interest hereunder shall be automatically due and payable, and (ii) Sections 7(a) through (d), the Holder may exercise or otherwise enforce any one or more of the Holder's rights, powers, privileges, remedies and interests under this Note or applicable law. No course of delay on the part of the Holder shall operate as a waiver thereof or otherwise prejudice the right of the Holder. No remedy conferred hereby shall be exclusive of any other remedy referred to herein or now or hereafter available at law, in equity, by statute or otherwise. Notwithstanding the foregoing, Holder agrees that its rights and remedies hereunder are limited to receipt of cash or shares of the Company’s equity securities, at the Holder’s option, in the amounts described herein.</w:t>
      </w:r>
    </w:p>
    <w:p>
      <w:pPr>
        <w:spacing w:after="0" w:line="231" w:lineRule="exact"/>
        <w:rPr>
          <w:rFonts w:ascii="Arial" w:cs="Arial" w:eastAsia="Arial" w:hAnsi="Arial"/>
          <w:sz w:val="17"/>
          <w:szCs w:val="17"/>
          <w:b w:val="1"/>
          <w:bCs w:val="1"/>
          <w:color w:val="auto"/>
        </w:rPr>
      </w:pPr>
    </w:p>
    <w:p>
      <w:pPr>
        <w:ind w:left="180" w:right="80" w:firstLine="1449"/>
        <w:spacing w:after="0" w:line="302" w:lineRule="auto"/>
        <w:tabs>
          <w:tab w:leader="none" w:pos="1989"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Replacement</w:t>
      </w:r>
      <w:r>
        <w:rPr>
          <w:rFonts w:ascii="Arial" w:cs="Arial" w:eastAsia="Arial" w:hAnsi="Arial"/>
          <w:sz w:val="16"/>
          <w:szCs w:val="16"/>
          <w:color w:val="auto"/>
        </w:rPr>
        <w:t>. Upon receipt by the Company of (i) evidence of the loss, theft, destruction or mutilation of any Note and (ii) (y) in the case of loss, theft or destruction, of indemnity (without any bond or other security) reasonably satisfactory to the Company, or (z) in the case of mutilation, the Note (surrendered for cancellation), the Company shall execute and deliver a new Note of like tenor and date. However, the Company shall not be obligated to reissue such lost, stolen, destroyed or mutilated Note if the Holder contemporaneously requests the Company to convert such Note.</w:t>
      </w:r>
    </w:p>
    <w:p>
      <w:pPr>
        <w:spacing w:after="0" w:line="208" w:lineRule="exact"/>
        <w:rPr>
          <w:rFonts w:ascii="Arial" w:cs="Arial" w:eastAsia="Arial" w:hAnsi="Arial"/>
          <w:sz w:val="16"/>
          <w:szCs w:val="16"/>
          <w:color w:val="auto"/>
        </w:rPr>
      </w:pPr>
    </w:p>
    <w:p>
      <w:pPr>
        <w:ind w:left="180" w:right="160" w:firstLine="1449"/>
        <w:spacing w:after="0" w:line="259" w:lineRule="auto"/>
        <w:tabs>
          <w:tab w:leader="none" w:pos="207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Parties in Interest, Transferability</w:t>
      </w:r>
      <w:r>
        <w:rPr>
          <w:rFonts w:ascii="Arial" w:cs="Arial" w:eastAsia="Arial" w:hAnsi="Arial"/>
          <w:sz w:val="18"/>
          <w:szCs w:val="18"/>
          <w:color w:val="auto"/>
        </w:rPr>
        <w:t>. This Note shall be binding upon the Company and its successors and assigns and the terms hereof shall inure to the benefit of the Holder and its successors and permitted assigns. This Note may only be transferred or sold subject to the provisions of Section 17 of this Note, or pledged, hypothecated or otherwise granted as security by the Holder, provided that the Holder receives the express written consent of the Company, which consent shall not be unreasonably withheld,</w:t>
      </w:r>
    </w:p>
    <w:p>
      <w:pPr>
        <w:spacing w:after="0" w:line="240" w:lineRule="exact"/>
        <w:rPr>
          <w:rFonts w:ascii="Arial" w:cs="Arial" w:eastAsia="Arial" w:hAnsi="Arial"/>
          <w:sz w:val="18"/>
          <w:szCs w:val="18"/>
          <w:color w:val="auto"/>
        </w:rPr>
      </w:pPr>
    </w:p>
    <w:p>
      <w:pPr>
        <w:ind w:left="2060" w:hanging="431"/>
        <w:spacing w:after="0"/>
        <w:tabs>
          <w:tab w:leader="none" w:pos="206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This Note may not be modified or amended in any manner except in writing executed by the Company and the</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64" w:lineRule="exact"/>
        <w:rPr>
          <w:rFonts w:ascii="Arial" w:cs="Arial" w:eastAsia="Arial" w:hAnsi="Arial"/>
          <w:sz w:val="16"/>
          <w:szCs w:val="16"/>
          <w:color w:val="auto"/>
        </w:rPr>
      </w:pPr>
    </w:p>
    <w:p>
      <w:pPr>
        <w:ind w:left="180" w:right="20" w:firstLine="1449"/>
        <w:spacing w:after="0" w:line="269" w:lineRule="auto"/>
        <w:tabs>
          <w:tab w:leader="none" w:pos="2079"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Company will give written notice to the Holder at least thirty (30) days prior to the date on which the Company closes its books or takes a record (x) with respect to any dividend or distribution upon the common stock of the Company, (y) with respect to any pro rata subscription offer to holders of common stock of the Company or (z) for determining rights to vote with respect to a major transaction for which shareholder approval is required under California law, dissolution, liquidation or winding-up and in no event shall such notice be provided to such holder prior to such information being made known to the public. The Company will also give written notice to the Holder at least twenty (20) days prior to the date on which dissolution, liquidation or winding-up will take place and in no event shall such notice be provided to the Holder prior to such information being made known to the public.</w:t>
      </w:r>
    </w:p>
    <w:p>
      <w:pPr>
        <w:sectPr>
          <w:pgSz w:w="11900" w:h="16838" w:orient="portrait"/>
          <w:cols w:equalWidth="0" w:num="1">
            <w:col w:w="11420"/>
          </w:cols>
          <w:pgMar w:left="240" w:top="152" w:right="239" w:bottom="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Address of the Holder: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___________</w:t>
      </w:r>
    </w:p>
    <w:p>
      <w:pPr>
        <w:spacing w:after="0" w:line="9" w:lineRule="exact"/>
        <w:rPr>
          <w:sz w:val="20"/>
          <w:szCs w:val="20"/>
          <w:color w:val="auto"/>
        </w:rPr>
      </w:pPr>
    </w:p>
    <w:p>
      <w:pPr>
        <w:sectPr>
          <w:pgSz w:w="11900" w:h="16838" w:orient="portrait"/>
          <w:cols w:equalWidth="0" w:num="2">
            <w:col w:w="2520" w:space="720"/>
            <w:col w:w="8180"/>
          </w:cols>
          <w:pgMar w:left="240" w:top="152" w:right="239" w:bottom="0" w:gutter="0" w:footer="0" w:header="0"/>
          <w:type w:val="continuous"/>
        </w:sectPr>
      </w:pPr>
    </w:p>
    <w:p>
      <w:pPr>
        <w:spacing w:after="0"/>
        <w:rPr>
          <w:sz w:val="20"/>
          <w:szCs w:val="20"/>
          <w:color w:val="auto"/>
        </w:rPr>
      </w:pPr>
      <w:r>
        <w:rPr>
          <w:rFonts w:ascii="Arial" w:cs="Arial" w:eastAsia="Arial" w:hAnsi="Arial"/>
          <w:sz w:val="16"/>
          <w:szCs w:val="16"/>
          <w:color w:val="auto"/>
        </w:rPr>
        <w:t>Tel.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Fax No.:</w:t>
      </w:r>
    </w:p>
    <w:p>
      <w:pPr>
        <w:sectPr>
          <w:pgSz w:w="11900" w:h="16838" w:orient="portrait"/>
          <w:cols w:equalWidth="0" w:num="1">
            <w:col w:w="11420"/>
          </w:cols>
          <w:pgMar w:left="240" w:top="152" w:right="239" w:bottom="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Address of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384 Oyster Point Boulevard, No. 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VistaGen Therapeutics, Inc.</w:t>
      </w:r>
    </w:p>
    <w:p>
      <w:pPr>
        <w:spacing w:after="0" w:line="657" w:lineRule="exact"/>
        <w:rPr>
          <w:sz w:val="20"/>
          <w:szCs w:val="20"/>
          <w:color w:val="auto"/>
        </w:rPr>
      </w:pPr>
    </w:p>
    <w:p>
      <w:pPr>
        <w:sectPr>
          <w:pgSz w:w="11900" w:h="16838" w:orient="portrait"/>
          <w:cols w:equalWidth="0" w:num="2">
            <w:col w:w="4000" w:space="720"/>
            <w:col w:w="6700"/>
          </w:cols>
          <w:pgMar w:left="240" w:top="152" w:right="239" w:bottom="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Tel. No.: 650-244-9990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ectPr>
          <w:pgSz w:w="11900" w:h="16838" w:orient="portrait"/>
          <w:cols w:equalWidth="0" w:num="1">
            <w:col w:w="11420"/>
          </w:cols>
          <w:pgMar w:left="240" w:top="152" w:right="239" w:bottom="0" w:gutter="0" w:footer="0" w:header="0"/>
          <w:type w:val="continuous"/>
        </w:sectPr>
      </w:pPr>
    </w:p>
    <w:bookmarkStart w:id="15" w:name="page16"/>
    <w:bookmarkEnd w:id="15"/>
    <w:p>
      <w:pPr>
        <w:jc w:val="both"/>
        <w:ind w:left="160" w:right="220" w:firstLine="1449"/>
        <w:spacing w:after="0" w:line="264" w:lineRule="auto"/>
        <w:tabs>
          <w:tab w:leader="none" w:pos="205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construed in accordance with the internal laws of the State of California, without giving effect to the choice of law provisions. This Note shall not be interpreted or construed with any presumption against the party causing this Note to be drafted.</w:t>
      </w:r>
    </w:p>
    <w:p>
      <w:pPr>
        <w:spacing w:after="0" w:line="235" w:lineRule="exact"/>
        <w:rPr>
          <w:rFonts w:ascii="Arial" w:cs="Arial" w:eastAsia="Arial" w:hAnsi="Arial"/>
          <w:sz w:val="18"/>
          <w:szCs w:val="18"/>
          <w:color w:val="auto"/>
        </w:rPr>
      </w:pPr>
    </w:p>
    <w:p>
      <w:pPr>
        <w:ind w:left="160" w:right="120" w:firstLine="1449"/>
        <w:spacing w:after="0" w:line="277" w:lineRule="auto"/>
        <w:tabs>
          <w:tab w:leader="none" w:pos="205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in this Note are included herein for purposes of convenience of reference only and shall not constitute a part of this Note for any other purpose.</w:t>
      </w:r>
    </w:p>
    <w:p>
      <w:pPr>
        <w:spacing w:after="0" w:line="224" w:lineRule="exact"/>
        <w:rPr>
          <w:rFonts w:ascii="Arial" w:cs="Arial" w:eastAsia="Arial" w:hAnsi="Arial"/>
          <w:sz w:val="18"/>
          <w:szCs w:val="18"/>
          <w:color w:val="auto"/>
        </w:rPr>
      </w:pPr>
    </w:p>
    <w:p>
      <w:pPr>
        <w:ind w:left="160" w:right="300" w:firstLine="1449"/>
        <w:spacing w:after="0" w:line="286" w:lineRule="auto"/>
        <w:tabs>
          <w:tab w:leader="none" w:pos="2059"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at law or in equity (including, without limitation, a decree of specific performance and/or other injunctive relief), no remedy contained herein shall be deemed a waiver of compliance with the provisions giving rise to such remedy and nothing herein shall limit a Holder's right to pursue actual damages for any failure by the Company to comply with the terms of this</w:t>
      </w:r>
    </w:p>
    <w:p>
      <w:pPr>
        <w:spacing w:after="0" w:line="1" w:lineRule="exact"/>
        <w:rPr>
          <w:rFonts w:ascii="Arial" w:cs="Arial" w:eastAsia="Arial" w:hAnsi="Arial"/>
          <w:sz w:val="16"/>
          <w:szCs w:val="16"/>
          <w:color w:val="auto"/>
        </w:rPr>
      </w:pPr>
    </w:p>
    <w:p>
      <w:pPr>
        <w:ind w:left="160" w:right="120"/>
        <w:spacing w:after="0" w:line="252" w:lineRule="auto"/>
        <w:rPr>
          <w:rFonts w:ascii="Arial" w:cs="Arial" w:eastAsia="Arial" w:hAnsi="Arial"/>
          <w:sz w:val="16"/>
          <w:szCs w:val="16"/>
          <w:color w:val="auto"/>
        </w:rPr>
      </w:pPr>
      <w:r>
        <w:rPr>
          <w:rFonts w:ascii="Arial" w:cs="Arial" w:eastAsia="Arial" w:hAnsi="Arial"/>
          <w:sz w:val="18"/>
          <w:szCs w:val="18"/>
          <w:color w:val="auto"/>
        </w:rPr>
        <w:t>Note. Amounts set forth or provided for herein with respect to payments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and material harm to the Holder and that the remedy at law for any such breach may be inadequate. Therefore the Company agrees that, in the event of any such breach or threatened breach, the Holder shall be entitled, in addition to all other available rights and remedies, at law or in equity, to seek and obtain such equitable relief, including but not limited to an injunction restraining any such breach or threatened breach, without the necessity of showing economic loss and without any bond or other security being required.</w:t>
      </w:r>
    </w:p>
    <w:p>
      <w:pPr>
        <w:spacing w:after="0" w:line="247" w:lineRule="exact"/>
        <w:rPr>
          <w:rFonts w:ascii="Arial" w:cs="Arial" w:eastAsia="Arial" w:hAnsi="Arial"/>
          <w:sz w:val="16"/>
          <w:szCs w:val="16"/>
          <w:color w:val="auto"/>
        </w:rPr>
      </w:pPr>
    </w:p>
    <w:p>
      <w:pPr>
        <w:jc w:val="both"/>
        <w:ind w:left="160" w:right="200" w:firstLine="1449"/>
        <w:spacing w:after="0" w:line="264" w:lineRule="auto"/>
        <w:tabs>
          <w:tab w:leader="none" w:pos="205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235" w:lineRule="exact"/>
        <w:rPr>
          <w:rFonts w:ascii="Arial" w:cs="Arial" w:eastAsia="Arial" w:hAnsi="Arial"/>
          <w:sz w:val="18"/>
          <w:szCs w:val="18"/>
          <w:color w:val="auto"/>
        </w:rPr>
      </w:pPr>
    </w:p>
    <w:p>
      <w:pPr>
        <w:ind w:left="160" w:right="460" w:firstLine="1449"/>
        <w:spacing w:after="0" w:line="277" w:lineRule="auto"/>
        <w:tabs>
          <w:tab w:leader="none" w:pos="205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Enforcement Expenses</w:t>
      </w:r>
      <w:r>
        <w:rPr>
          <w:rFonts w:ascii="Arial" w:cs="Arial" w:eastAsia="Arial" w:hAnsi="Arial"/>
          <w:sz w:val="18"/>
          <w:szCs w:val="18"/>
          <w:color w:val="auto"/>
        </w:rPr>
        <w:t>. The Company agrees to pay all costs and expenses of enforcement of this Note, including, without limitation, reasonable attorneys' fees and expenses.</w:t>
      </w:r>
    </w:p>
    <w:p>
      <w:pPr>
        <w:spacing w:after="0" w:line="224" w:lineRule="exact"/>
        <w:rPr>
          <w:rFonts w:ascii="Arial" w:cs="Arial" w:eastAsia="Arial" w:hAnsi="Arial"/>
          <w:sz w:val="18"/>
          <w:szCs w:val="18"/>
          <w:color w:val="auto"/>
        </w:rPr>
      </w:pPr>
    </w:p>
    <w:p>
      <w:pPr>
        <w:ind w:left="160" w:right="540" w:firstLine="1449"/>
        <w:spacing w:after="0" w:line="277" w:lineRule="auto"/>
        <w:tabs>
          <w:tab w:leader="none" w:pos="205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The obligations of the Company and the Holder set forth herein shall be binding upon the successors and assigns of each such party, whether or not such successors or assigns are permitted by the terms hereof.</w:t>
      </w:r>
    </w:p>
    <w:p>
      <w:pPr>
        <w:spacing w:after="0" w:line="224" w:lineRule="exact"/>
        <w:rPr>
          <w:rFonts w:ascii="Arial" w:cs="Arial" w:eastAsia="Arial" w:hAnsi="Arial"/>
          <w:sz w:val="18"/>
          <w:szCs w:val="18"/>
          <w:color w:val="auto"/>
        </w:rPr>
      </w:pPr>
    </w:p>
    <w:p>
      <w:pPr>
        <w:ind w:left="160" w:right="60" w:firstLine="1449"/>
        <w:spacing w:after="0" w:line="302" w:lineRule="auto"/>
        <w:tabs>
          <w:tab w:leader="none" w:pos="2059"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The Holder of this Note acknowledges that this Note is being acquired solely for the Holder's own account and not as a nominee for any other party, and for investment, and that the Holder shall not offer, sell or otherwise dispose of this Note other than in compliance with the laws of the United States of America and as guided by the rules of the Securities and Exchange Commission. This Note and any Note issued in substitution or replacement therefore shall be stamped or imprinted with a legend in substantially the following form:</w:t>
      </w:r>
    </w:p>
    <w:p>
      <w:pPr>
        <w:spacing w:after="0" w:line="181" w:lineRule="exact"/>
        <w:rPr>
          <w:sz w:val="20"/>
          <w:szCs w:val="20"/>
          <w:color w:val="auto"/>
        </w:rPr>
      </w:pPr>
    </w:p>
    <w:p>
      <w:pPr>
        <w:jc w:val="both"/>
        <w:ind w:left="1280" w:right="1280"/>
        <w:spacing w:after="0" w:line="255" w:lineRule="auto"/>
        <w:rPr>
          <w:sz w:val="20"/>
          <w:szCs w:val="20"/>
          <w:color w:val="auto"/>
        </w:rPr>
      </w:pPr>
      <w:r>
        <w:rPr>
          <w:rFonts w:ascii="Arial" w:cs="Arial" w:eastAsia="Arial" w:hAnsi="Arial"/>
          <w:sz w:val="18"/>
          <w:szCs w:val="18"/>
          <w:color w:val="auto"/>
        </w:rPr>
        <w:t>"THIS NOTE HAS NOT BEEN REGISTERED UNDER THE SECURITIES ACT OF 1933, AS AMENDED (THE "SECURITIES ACT"), OR ANY STATE SECURITIES LAW AND MAY NOT BE SOLD, TRANSFERRED OR OTHERWISE DISPOSED OF UNLESS REGISTERED UNDER THE SECURITIES ACT AND UNDER APPLICABLE STATE SECURITIES LAWS OR BOND LABORATORIES, INC. SHALL HAVE RECEIVED AN OPINION OF ITS COUNSEL THAT REGISTRATION OF SUCH SECURITIES UNDER THE SECURITIES ACT AND UNDER THE PROVISIONS OF APPLICABLE STATE SECURITIES LAWS IS NOT REQUIRED."</w:t>
      </w:r>
    </w:p>
    <w:p>
      <w:pPr>
        <w:spacing w:after="0" w:line="247" w:lineRule="exact"/>
        <w:rPr>
          <w:sz w:val="20"/>
          <w:szCs w:val="20"/>
          <w:color w:val="auto"/>
        </w:rPr>
      </w:pPr>
    </w:p>
    <w:p>
      <w:pPr>
        <w:ind w:left="160" w:right="20" w:firstLine="1449"/>
        <w:spacing w:after="0" w:line="264" w:lineRule="auto"/>
        <w:tabs>
          <w:tab w:leader="none" w:pos="205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Note are severable, and if any provision shall be held invalid or unenforceable in whole or in part in any jurisdiction, then such invalidity or unenforceability shall not in any manner affect such provision in any other jurisdiction or any other provision of this Note in any jurisdiction.</w:t>
      </w:r>
    </w:p>
    <w:p>
      <w:pPr>
        <w:spacing w:after="0" w:line="235" w:lineRule="exact"/>
        <w:rPr>
          <w:rFonts w:ascii="Arial" w:cs="Arial" w:eastAsia="Arial" w:hAnsi="Arial"/>
          <w:sz w:val="18"/>
          <w:szCs w:val="18"/>
          <w:color w:val="auto"/>
        </w:rPr>
      </w:pPr>
    </w:p>
    <w:p>
      <w:pPr>
        <w:ind w:left="160" w:firstLine="1449"/>
        <w:spacing w:after="0" w:line="291" w:lineRule="auto"/>
        <w:tabs>
          <w:tab w:leader="none" w:pos="205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Consent to Jurisdiction</w:t>
      </w:r>
      <w:r>
        <w:rPr>
          <w:rFonts w:ascii="Arial" w:cs="Arial" w:eastAsia="Arial" w:hAnsi="Arial"/>
          <w:sz w:val="16"/>
          <w:szCs w:val="16"/>
          <w:color w:val="auto"/>
        </w:rPr>
        <w:t>. Each of the Company and the Holder (i) hereby irrevocably submits to the jurisdiction of the United States District Court sitting in the Northern District of California and the courts of the State of California for the purposes of any suit, action or proceeding arising out of or relating to this Note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Holder consents to process being served in any such suit, action or proceeding by mailing a copy thereof to such party at the address set forth in Section 12 hereof and agrees that such service shall constitute good and sufficient service of process and notice thereof. Nothing in this Section 21 shall affect or limit any right to serve process in any other manner permitted by law.</w:t>
      </w:r>
    </w:p>
    <w:p>
      <w:pPr>
        <w:spacing w:after="0" w:line="221" w:lineRule="exact"/>
        <w:rPr>
          <w:rFonts w:ascii="Arial" w:cs="Arial" w:eastAsia="Arial" w:hAnsi="Arial"/>
          <w:sz w:val="16"/>
          <w:szCs w:val="16"/>
          <w:color w:val="auto"/>
        </w:rPr>
      </w:pPr>
    </w:p>
    <w:p>
      <w:pPr>
        <w:ind w:left="160" w:right="80" w:firstLine="1449"/>
        <w:spacing w:after="0" w:line="273" w:lineRule="auto"/>
        <w:tabs>
          <w:tab w:leader="none" w:pos="2059"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Company Waivers</w:t>
      </w:r>
      <w:r>
        <w:rPr>
          <w:rFonts w:ascii="Arial" w:cs="Arial" w:eastAsia="Arial" w:hAnsi="Arial"/>
          <w:sz w:val="17"/>
          <w:szCs w:val="17"/>
          <w:color w:val="auto"/>
        </w:rPr>
        <w:t>. Except as otherwise specifically provided herein, the Company and all others that may become liable for all or any part of the obligations evidenced by this Note, hereby waive presentment, demand, notice of nonpayment, protest and all other demands and notices in connection with the delivery, acceptance, performance and enforcement of this Note, and do hereby consent to any number of renewals of extensions of the time or payment hereof and agree that any such renewals or extensions may be made without notice to any such persons and without affecting their liability herein and do further consent to the release of any person liable hereon, all without affecting the liability of the other persons, firms or Company liable for the payment of this Note, AND DO HEREBY WAIVE TRIAL BY JURY.</w:t>
      </w:r>
    </w:p>
    <w:p>
      <w:pPr>
        <w:spacing w:after="0" w:line="232" w:lineRule="exact"/>
        <w:rPr>
          <w:rFonts w:ascii="Arial" w:cs="Arial" w:eastAsia="Arial" w:hAnsi="Arial"/>
          <w:sz w:val="17"/>
          <w:szCs w:val="17"/>
          <w:color w:val="auto"/>
        </w:rPr>
      </w:pPr>
    </w:p>
    <w:p>
      <w:pPr>
        <w:ind w:left="-20" w:right="80" w:firstLine="1953"/>
        <w:spacing w:after="0" w:line="264" w:lineRule="auto"/>
        <w:tabs>
          <w:tab w:leader="none" w:pos="2341"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delay or omission on the part of the Holder in exercising its rights under this Note, or course of conduct relating hereto, shall operate as a waiver of such rights or any other right of the Holder, nor shall any waiver by the Holder of any such right or rights on any one occasion be deemed a waiver of the same right or rights on any future occasion.</w:t>
      </w:r>
    </w:p>
    <w:p>
      <w:pPr>
        <w:spacing w:after="0" w:line="235" w:lineRule="exact"/>
        <w:rPr>
          <w:rFonts w:ascii="Arial" w:cs="Arial" w:eastAsia="Arial" w:hAnsi="Arial"/>
          <w:sz w:val="18"/>
          <w:szCs w:val="18"/>
          <w:color w:val="auto"/>
        </w:rPr>
      </w:pPr>
    </w:p>
    <w:p>
      <w:pPr>
        <w:ind w:left="-20" w:right="280" w:firstLine="1953"/>
        <w:spacing w:after="0" w:line="259" w:lineRule="auto"/>
        <w:tabs>
          <w:tab w:leader="none" w:pos="23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ACKNOWLEDGES THAT THE TRANSACTION OF WHICH THIS NOTE IS A PART IS A COMMERCIAL TRANSACTION, AND TO THE EXTENT ALLOWED BY APPLICABLE LAW, HEREBY WAIVES ITS RIGHT TO NOTICE AND HEARING WITH RESPECT TO ANY PREJUDGMENT REMEDY WHICH THE HOLDER OR ITS SUCCESSORS OR ASSIGNS MAY DESIRE TO USE.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380"/>
          </w:cols>
          <w:pgMar w:left="260" w:top="395" w:right="259" w:bottom="0"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344170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ind w:right="719"/>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executed and delivered this Note as of the date first written above.</w:t>
      </w:r>
    </w:p>
    <w:p>
      <w:pPr>
        <w:spacing w:after="0" w:line="200" w:lineRule="exact"/>
        <w:rPr>
          <w:sz w:val="20"/>
          <w:szCs w:val="20"/>
          <w:color w:val="auto"/>
        </w:rPr>
      </w:pPr>
    </w:p>
    <w:p>
      <w:pPr>
        <w:spacing w:after="0" w:line="29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Shawn Singh</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039"/>
          </w:cols>
          <w:pgMar w:left="420" w:top="756" w:right="1440"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b w:val="1"/>
          <w:bCs w:val="1"/>
          <w:i w:val="1"/>
          <w:iCs w:val="1"/>
          <w:color w:val="auto"/>
        </w:rPr>
        <w:t>THE SECURITIES REPRESENTED BY THIS CERTIFICATE HAVE BEEN ACQUIRED FOR INVESTMENT AND HAVE NOT BEEN REGISTERED UNDER THE SECURITIES ACT OF 1933, AS AMENDED, OR ANY STATE SECURITIES LAWS. SUCH SECURITIES MAY NOT BE SOLD OR TRANSFERRED IN THE ABSENCE OF SUCH REGISTRATION OR AN EXEMPTION THEREFROM UNDER SAID ACT AND ANY APPLICABLE STATE SECURITIES LAWS.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THIS WARRANT AND THE SHARES PURCHASABLE HEREUNDER ARE SUBJECT TO RESTRICTIONS ON TRANSFER CONTAINED IN THAT CERTAIN CONVERTIBLE BRIDGE NOTE AND WARRANT PURCHASE AGREEMENT DATED FEBRUARY __, 2012, AS AMENDED, WHICH RESTRICTIONS ON TRANSFER ARE INCORPORATED HEREIN BY REFERENCE.</w:t>
      </w:r>
    </w:p>
    <w:p>
      <w:pPr>
        <w:sectPr>
          <w:pgSz w:w="11900" w:h="16838" w:orient="portrait"/>
          <w:cols w:equalWidth="0" w:num="1">
            <w:col w:w="11420"/>
          </w:cols>
          <w:pgMar w:left="240" w:top="125" w:right="239" w:bottom="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28, 2012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 Number: CSW-___</w:t>
      </w:r>
    </w:p>
    <w:p>
      <w:pPr>
        <w:spacing w:after="0" w:line="46" w:lineRule="exact"/>
        <w:rPr>
          <w:sz w:val="20"/>
          <w:szCs w:val="20"/>
          <w:color w:val="auto"/>
        </w:rPr>
      </w:pPr>
    </w:p>
    <w:p>
      <w:pPr>
        <w:sectPr>
          <w:pgSz w:w="11900" w:h="16838" w:orient="portrait"/>
          <w:cols w:equalWidth="0" w:num="2">
            <w:col w:w="8620" w:space="720"/>
            <w:col w:w="2080"/>
          </w:cols>
          <w:pgMar w:left="240" w:top="125"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WARRANT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ectPr>
          <w:pgSz w:w="11900" w:h="16838" w:orient="portrait"/>
          <w:cols w:equalWidth="0" w:num="1">
            <w:col w:w="11420"/>
          </w:cols>
          <w:pgMar w:left="240" w:top="125" w:right="239" w:bottom="0" w:gutter="0" w:footer="0" w:header="0"/>
          <w:type w:val="continuous"/>
        </w:sect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certifies that </w:t>
      </w:r>
      <w:r>
        <w:rPr>
          <w:rFonts w:ascii="Arial" w:cs="Arial" w:eastAsia="Arial" w:hAnsi="Arial"/>
          <w:sz w:val="16"/>
          <w:szCs w:val="16"/>
          <w:b w:val="1"/>
          <w:bCs w:val="1"/>
          <w:color w:val="auto"/>
        </w:rPr>
        <w:t>_____________________</w:t>
      </w:r>
      <w:r>
        <w:rPr>
          <w:rFonts w:ascii="Arial" w:cs="Arial" w:eastAsia="Arial" w:hAnsi="Arial"/>
          <w:sz w:val="16"/>
          <w:szCs w:val="16"/>
          <w:color w:val="auto"/>
        </w:rPr>
        <w:t>, or its permitted assigns (each a “Holder”), for value received, is entitled to purchase, at an exercise</w:t>
      </w:r>
    </w:p>
    <w:p>
      <w:pPr>
        <w:spacing w:after="0" w:line="5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price per share equal to $2.75 (the “Exercise Price”) from VISTAGEN THERAPEUTICS, INC., a Nevada corporation (the “Company”), up to that number of fully paid and nonassessable shares of the Company’s Common Stock, $.001 par value (“Common Stock”), equal to the quotient obtained in accordance with the following calculation:</w:t>
      </w:r>
    </w:p>
    <w:p>
      <w:pPr>
        <w:sectPr>
          <w:pgSz w:w="11900" w:h="16838" w:orient="portrait"/>
          <w:cols w:equalWidth="0" w:num="1">
            <w:col w:w="11420"/>
          </w:cols>
          <w:pgMar w:left="240" w:top="125" w:right="239" w:bottom="0" w:gutter="0" w:footer="0" w:header="0"/>
          <w:type w:val="continuous"/>
        </w:sectPr>
      </w:pPr>
    </w:p>
    <w:p>
      <w:pPr>
        <w:spacing w:after="0" w:line="2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Number of Shares of Common Stock Issuable Upon Exercise of Each Warrant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right"/>
        <w:ind w:right="2320"/>
        <w:spacing w:after="0" w:line="266" w:lineRule="auto"/>
        <w:rPr>
          <w:sz w:val="20"/>
          <w:szCs w:val="20"/>
          <w:color w:val="auto"/>
        </w:rPr>
      </w:pPr>
      <w:r>
        <w:rPr>
          <w:rFonts w:ascii="Arial" w:cs="Arial" w:eastAsia="Arial" w:hAnsi="Arial"/>
          <w:sz w:val="18"/>
          <w:szCs w:val="18"/>
          <w:color w:val="auto"/>
        </w:rPr>
        <w:t>Principal Amount of the Note x 150% $2.75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32156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5640" w:space="300"/>
            <w:col w:w="100" w:space="320"/>
            <w:col w:w="5060"/>
          </w:cols>
          <w:pgMar w:left="240" w:top="125" w:right="239" w:bottom="0" w:gutter="0" w:footer="0" w:header="0"/>
          <w:type w:val="continuous"/>
        </w:sectPr>
      </w:pPr>
    </w:p>
    <w:p>
      <w:pPr>
        <w:jc w:val="both"/>
        <w:spacing w:after="0" w:line="253" w:lineRule="auto"/>
        <w:rPr>
          <w:sz w:val="20"/>
          <w:szCs w:val="20"/>
          <w:color w:val="auto"/>
        </w:rPr>
      </w:pPr>
      <w:r>
        <w:rPr>
          <w:rFonts w:ascii="Arial" w:cs="Arial" w:eastAsia="Arial" w:hAnsi="Arial"/>
          <w:sz w:val="18"/>
          <w:szCs w:val="18"/>
          <w:color w:val="auto"/>
        </w:rPr>
        <w:t>This Warrant shall be exercisable at any time from time to time from and after the date hereof (such date being referred to herein as the “Initial Exercise Date”) up to and including 5:00 p.m. (Pacific Time) on the first to occur of (</w:t>
      </w:r>
      <w:r>
        <w:rPr>
          <w:rFonts w:ascii="Arial" w:cs="Arial" w:eastAsia="Arial" w:hAnsi="Arial"/>
          <w:sz w:val="18"/>
          <w:szCs w:val="18"/>
          <w:color w:val="auto"/>
        </w:rPr>
        <w:t>і</w:t>
      </w:r>
      <w:r>
        <w:rPr>
          <w:rFonts w:ascii="Arial" w:cs="Arial" w:eastAsia="Arial" w:hAnsi="Arial"/>
          <w:sz w:val="18"/>
          <w:szCs w:val="18"/>
          <w:color w:val="auto"/>
        </w:rPr>
        <w:t>) February __, 2017, or (ii) ten (10) days preceding the closing date of any of the following transactions: (A) the acquisition of the Company by another entity by means of any transaction or series of related transactions (including, without limitation, any reorganization, merger or consolidation but, excluding any merger effected exclusively for the purpose of changing the domicile of the Company); or (B) a sale of all or substantially all of the assets of the Company by means of a transaction or series of related transactions; unless the Company’s shareholders of record as constituted immediately prior to such acquisition or sale will, immediately after such acquisition or sale (by virtue of securities issued as consideration for the Company’s acquisition or sale or otherwise) hold at least 50% of the voting power of the surviving or acquiring entity (any such transaction, a “Change of Control”) (such earlier date being referred to herein as the “Expiration Date”). For purposes of this Warrant, the term “Note” shall mean the note issued to the original Holder of this Warrant pursuant to the terms of that certain Convertible Bridge Note and Warrant Purchase Agreement dated as of February __, 2012, by and between Company and the purchasers set forth in the Schedule of Purchasers attached thereto as Exhibit A, (the “Agreement”).</w:t>
      </w:r>
    </w:p>
    <w:p>
      <w:pPr>
        <w:spacing w:after="0" w:line="220" w:lineRule="exact"/>
        <w:rPr>
          <w:sz w:val="20"/>
          <w:szCs w:val="20"/>
          <w:color w:val="auto"/>
        </w:rPr>
      </w:pPr>
    </w:p>
    <w:p>
      <w:pPr>
        <w:jc w:val="both"/>
        <w:ind w:firstLine="656"/>
        <w:spacing w:after="0" w:line="254" w:lineRule="auto"/>
        <w:tabs>
          <w:tab w:leader="none" w:pos="13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Holder hereof may exercise this Warrant, in whole or in part, by the surrender of this Warrant (with the Form of Subscription attached hereto duly completed and executed) at the principal office of the Company, and by the payment to the Company of an amount of consideration therefor equal to the Exercise Price in effect on the date of such exercise multiplied by the number of shares of Common Stock with respect to which this Warrant is then being exercised, payable at such Holder's election (i) by certified or official bank check or by wire transfer to an account designated by the Company, (ii) by "cashless exercise" in accordance with the provisions of Section 2, but only until the date that a registration statement under the Securities Act of 1933, as amended (“Securities Act”) providing for the resale of the shares of Common Stock issuable upon exercise of this Warrant has been declared effective by the Securities and Exchange Commission, or (iii) by a combination of the foregoing methods of payment selected by the Holder of this Warrant.</w:t>
      </w:r>
    </w:p>
    <w:p>
      <w:pPr>
        <w:spacing w:after="0" w:line="219" w:lineRule="exact"/>
        <w:rPr>
          <w:rFonts w:ascii="Arial" w:cs="Arial" w:eastAsia="Arial" w:hAnsi="Arial"/>
          <w:sz w:val="18"/>
          <w:szCs w:val="18"/>
          <w:color w:val="auto"/>
        </w:rPr>
      </w:pPr>
    </w:p>
    <w:p>
      <w:pPr>
        <w:jc w:val="both"/>
        <w:ind w:firstLine="656"/>
        <w:spacing w:after="0" w:line="271" w:lineRule="auto"/>
        <w:tabs>
          <w:tab w:leader="none" w:pos="145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 provisions herein to the contrary, if (i) the arithmetic average closing bid price for a share of Common Stock in the over-the-counter market, as reported by the OTC Bulletin Board or other recognized securities quotation service, bureau or exchange for the five (5) consecutive trading days ending on the date immediately preceding the date of the Form of Subscription (“Per Share Market Value”), is greater than the Exercise Price and (ii) a registration statement under the Securities Act providing for the resale of the Warrant Shares has not been declared effective by the Securities and Exchange Commission within 180 days from the date of this Warrant, in lieu of exercising this Warrant by payment of cash, the Holder may exercise this Warrant by a cashless exercise and shall receive the number of shares of Common Stock equal to an amount (as determined below) by surrender of this Warrant at the principal office of the Company together with the properly endorsed Form of Subscription in which event the Company shall issue to the Holder a number of shares of Common Stock computed using the following formula: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X = Y - </w:t>
      </w:r>
      <w:r>
        <w:rPr>
          <w:rFonts w:ascii="Arial" w:cs="Arial" w:eastAsia="Arial" w:hAnsi="Arial"/>
          <w:sz w:val="18"/>
          <w:szCs w:val="18"/>
          <w:u w:val="single" w:color="auto"/>
          <w:color w:val="auto"/>
        </w:rPr>
        <w:t>(A)(Y)</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B</w:t>
      </w:r>
    </w:p>
    <w:p>
      <w:pPr>
        <w:spacing w:after="0" w:line="238" w:lineRule="exact"/>
        <w:rPr>
          <w:sz w:val="20"/>
          <w:szCs w:val="20"/>
          <w:color w:val="auto"/>
        </w:rPr>
      </w:pPr>
    </w:p>
    <w:p>
      <w:pPr>
        <w:spacing w:after="0"/>
        <w:tabs>
          <w:tab w:leader="none" w:pos="1280" w:val="left"/>
          <w:tab w:leader="none" w:pos="194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of Common Stock to be issued to the Holder.</w:t>
      </w:r>
    </w:p>
    <w:p>
      <w:pPr>
        <w:spacing w:after="0" w:line="252" w:lineRule="exact"/>
        <w:rPr>
          <w:sz w:val="20"/>
          <w:szCs w:val="20"/>
          <w:color w:val="auto"/>
        </w:rPr>
      </w:pPr>
    </w:p>
    <w:p>
      <w:pPr>
        <w:ind w:left="1960" w:right="20" w:hanging="647"/>
        <w:spacing w:after="0" w:line="277" w:lineRule="auto"/>
        <w:tabs>
          <w:tab w:leader="none" w:pos="194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of Common Stock purchasable upon exercise of all of the Warrant or, if only a portion of the Warrant is being exercised, the portion of the Warrant being exercised.</w:t>
      </w:r>
    </w:p>
    <w:p>
      <w:pPr>
        <w:spacing w:after="0" w:line="1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Exercise Price.</w:t>
      </w:r>
    </w:p>
    <w:p>
      <w:pPr>
        <w:spacing w:after="0" w:line="2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Per Share Market Value of one share of Common Stock.</w:t>
      </w:r>
    </w:p>
    <w:p>
      <w:pPr>
        <w:spacing w:after="0" w:line="252" w:lineRule="exact"/>
        <w:rPr>
          <w:sz w:val="20"/>
          <w:szCs w:val="20"/>
          <w:color w:val="auto"/>
        </w:rPr>
      </w:pPr>
    </w:p>
    <w:p>
      <w:pPr>
        <w:jc w:val="both"/>
        <w:ind w:firstLine="8"/>
        <w:spacing w:after="0" w:line="255" w:lineRule="auto"/>
        <w:tabs>
          <w:tab w:leader="none" w:pos="64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Shares to be Fully Paid; Reservation of Shares</w:t>
      </w:r>
      <w:r>
        <w:rPr>
          <w:rFonts w:ascii="Arial" w:cs="Arial" w:eastAsia="Arial" w:hAnsi="Arial"/>
          <w:sz w:val="18"/>
          <w:szCs w:val="18"/>
          <w:color w:val="auto"/>
        </w:rPr>
        <w:t>. The Company covenants and agrees that all shares of Common Stock which may be issued upon the exercise of the rights represented by this Warrant will, upon issuance, be duly authorized, validly issued, fully paid and nonassessable and free from all preemptive rights of any shareholder and free of all taxes, liens and charges with respect to the issue thereof. The Company further covenants and agrees that during the period within which the rights represented by this Warrant may be exercised, the Company will at all times have authorized and reserved, for the purpose of issue or transfer upon exercise of the subscription rights evidenced by this Warrant, a sufficient number of shares of authorized but unissued shares of Common Stock.</w:t>
      </w:r>
    </w:p>
    <w:p>
      <w:pPr>
        <w:spacing w:after="0" w:line="220" w:lineRule="exact"/>
        <w:rPr>
          <w:rFonts w:ascii="Arial" w:cs="Arial" w:eastAsia="Arial" w:hAnsi="Arial"/>
          <w:sz w:val="18"/>
          <w:szCs w:val="18"/>
          <w:color w:val="auto"/>
        </w:rPr>
      </w:pPr>
    </w:p>
    <w:p>
      <w:pPr>
        <w:jc w:val="both"/>
        <w:ind w:firstLine="8"/>
        <w:spacing w:after="0" w:line="312" w:lineRule="auto"/>
        <w:tabs>
          <w:tab w:leader="none" w:pos="72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Adjustment of Exercise Price and Number of Shares</w:t>
      </w:r>
      <w:r>
        <w:rPr>
          <w:rFonts w:ascii="Arial" w:cs="Arial" w:eastAsia="Arial" w:hAnsi="Arial"/>
          <w:sz w:val="16"/>
          <w:szCs w:val="16"/>
          <w:color w:val="auto"/>
        </w:rPr>
        <w:t>. The Exercise Price and the number of shares purchasable upon the exercise of this Warrant shall be subject to adjustment from time to time upon the occurrence of certain events described in this Section 4. Upon each adjustment of the Exercise Price, the Holder of this Warrant shall thereafter be entitled to purchase, at the Exercise Price resulting from such adjustment, the number of shares obtained</w:t>
      </w:r>
    </w:p>
    <w:p>
      <w:pPr>
        <w:sectPr>
          <w:pgSz w:w="11900" w:h="16838" w:orient="portrait"/>
          <w:cols w:equalWidth="0" w:num="1">
            <w:col w:w="11420"/>
          </w:cols>
          <w:pgMar w:left="240" w:top="125" w:right="239" w:bottom="0" w:gutter="0" w:footer="0" w:header="0"/>
          <w:type w:val="continuous"/>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color w:val="auto"/>
        </w:rPr>
        <w:t>by multiplying the Exercise Price in effect immediately prior to such adjustment by the number of shares purchasable pursuant hereto immediately prior to such adjustment, and dividing the product thereof by the Exercise Price resulting from such adjustment.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Subdivision or Combination of Stock</w:t>
      </w:r>
      <w:r>
        <w:rPr>
          <w:rFonts w:ascii="Arial" w:cs="Arial" w:eastAsia="Arial" w:hAnsi="Arial"/>
          <w:sz w:val="18"/>
          <w:szCs w:val="18"/>
          <w:color w:val="auto"/>
        </w:rPr>
        <w:t>. In case the Company shall at any time subdivide its outstanding shares of Common Stock into a greater number of shares, the Exercise Price in effect immediately prior to such subdivision shall be proportionately reduced, and conversely, in case the outstanding shares of the Common Stock of the Company shall be combined into a smaller number of shares, the Exercise Price in effect immediately prior to such combination shall be proportionately increased.</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Reclassification</w:t>
      </w:r>
      <w:r>
        <w:rPr>
          <w:rFonts w:ascii="Arial" w:cs="Arial" w:eastAsia="Arial" w:hAnsi="Arial"/>
          <w:sz w:val="16"/>
          <w:szCs w:val="16"/>
          <w:color w:val="auto"/>
        </w:rPr>
        <w:t>. If any reclassification of the capital stock of the Company shall be effected in such a way that holders of Common Stock shall be entitled to receive stock, securities, or other assets or property, then, as a condition of such reclassification, lawful and adequate provisions shall be made whereby the Holder hereof shall thereafter have the right to purchase and receive (in lieu of the shares of the Common Stock immediately theretofore purchasable and receivable upon the exercise of the rights represented hereby) such shares of stock, securities or other assets or property as may be issued or payable with respect to or in exchange for a number of outstanding shares of such Common Stock equal to the number of shares of such Common Stock immediately theretofore purchasable and receivable upon the exercise of the rights represented hereby. In any reclassification described above, appropriate provision shall be made with respect to the rights and interests of the Holder of this Warrant to the end that the provisions hereof (including, without limitation, provisions for adjustments of the Exercise Price and of the number of shares purchasable and receivable upon the exercise of this Warrant) shall thereafter be applicable, as nearly as may be, in relation to any shares of stock, securities or assets thereafter deliverable upon the exercise hereof.</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Notice of Adjustment</w:t>
      </w:r>
      <w:r>
        <w:rPr>
          <w:rFonts w:ascii="Arial" w:cs="Arial" w:eastAsia="Arial" w:hAnsi="Arial"/>
          <w:sz w:val="17"/>
          <w:szCs w:val="17"/>
          <w:color w:val="auto"/>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2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Other Notices</w:t>
      </w:r>
      <w:r>
        <w:rPr>
          <w:rFonts w:ascii="Arial" w:cs="Arial" w:eastAsia="Arial" w:hAnsi="Arial"/>
          <w:sz w:val="17"/>
          <w:szCs w:val="17"/>
          <w:color w:val="auto"/>
        </w:rPr>
        <w:t>. If at any time:</w:t>
      </w:r>
    </w:p>
    <w:p>
      <w:pPr>
        <w:spacing w:after="0" w:line="252" w:lineRule="exact"/>
        <w:rPr>
          <w:sz w:val="20"/>
          <w:szCs w:val="20"/>
          <w:color w:val="auto"/>
        </w:rPr>
      </w:pPr>
    </w:p>
    <w:p>
      <w:pPr>
        <w:ind w:left="720" w:hanging="71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shall declare any cash dividend upon its Common Stock;</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shall be a Change of Control;</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shall be an initial public offering of the Company’s equity securities;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then, in any one or more of said cases, the Company shall give, by first class mail, postage prepaid, addressed to the Holder of this Warrant at the address of such Holder as shown on the books of the Company, (a) at least twenty (20) days prior written notice of the date on which the books of the Company shall close or a record shall be taken for such dividend or for determining rights to vote in respect of any such Change of Control or dissolution, liquidation or winding-up, and (b) in the case of any such Change of Control or dissolution, liquidation, winding-up or initial public offering, at least twenty (20)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Common Stock shall be entitled thereto. Any notice given in accordance with the foregoing clause (b) shall also specify the date on which the holders of Common Stock shall be entitled to exchange their Common Stock for securities or other property deliverable upon such Change of Control, dissolution, liquidation, winding-up, conversion or initial public offering, as the case may be.</w:t>
      </w:r>
    </w:p>
    <w:p>
      <w:pPr>
        <w:spacing w:after="0" w:line="194" w:lineRule="exact"/>
        <w:rPr>
          <w:sz w:val="20"/>
          <w:szCs w:val="20"/>
          <w:color w:val="auto"/>
        </w:rPr>
      </w:pPr>
    </w:p>
    <w:p>
      <w:pPr>
        <w:jc w:val="both"/>
        <w:ind w:firstLine="8"/>
        <w:spacing w:after="0" w:line="259" w:lineRule="auto"/>
        <w:tabs>
          <w:tab w:leader="none" w:pos="75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Voting or Dividend Rights</w:t>
      </w:r>
      <w:r>
        <w:rPr>
          <w:rFonts w:ascii="Arial" w:cs="Arial" w:eastAsia="Arial" w:hAnsi="Arial"/>
          <w:sz w:val="18"/>
          <w:szCs w:val="18"/>
          <w:color w:val="auto"/>
        </w:rPr>
        <w:t>. Nothing contained in this Warrant shall be construed as conferring upon the Holder hereof the right to vote or to consent to receive notice as a shareholder of the Company or any other matters or any rights whatsoever as a shareholder of the Company. No dividends or interest shall be payable or accrued in respect of this Warrant or the interest represented hereby or the shares purchasable hereunder until, and only to the extent that, this Warrant shall have been exercised.</w:t>
      </w:r>
    </w:p>
    <w:p>
      <w:pPr>
        <w:spacing w:after="0" w:line="213" w:lineRule="exact"/>
        <w:rPr>
          <w:rFonts w:ascii="Arial" w:cs="Arial" w:eastAsia="Arial" w:hAnsi="Arial"/>
          <w:sz w:val="18"/>
          <w:szCs w:val="18"/>
          <w:color w:val="auto"/>
        </w:rPr>
      </w:pPr>
    </w:p>
    <w:p>
      <w:pPr>
        <w:jc w:val="both"/>
        <w:ind w:firstLine="8"/>
        <w:spacing w:after="0" w:line="254" w:lineRule="auto"/>
        <w:tabs>
          <w:tab w:leader="none" w:pos="87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Warrants Transferable</w:t>
      </w:r>
      <w:r>
        <w:rPr>
          <w:rFonts w:ascii="Arial" w:cs="Arial" w:eastAsia="Arial" w:hAnsi="Arial"/>
          <w:sz w:val="18"/>
          <w:szCs w:val="18"/>
          <w:color w:val="auto"/>
        </w:rPr>
        <w:t>. Subject to compliance with applicable federal and state securities laws, this Warrant and all rights hereunder may be transferred, in whole or in part, without charge to the holder hereof (except for transfer taxes), upon the prior written consent of the Company and, thereafter, upon surrender of this Warrant properly endorsed and compliance with the provisions of the Agreement. Each taker and holder of this Warrant, by taking or holding the same, consents and agrees that this Warrant, when endorsed in blank, shall be deemed negotiable, and that the holder hereof, when this Warrant shall have been so endorsed, may be treated by the Company, at the Company’s option, and all other persons dealing with this Warrant as the absolute owner hereof for any purpose and as the person entitled to exercise the rights represented by this Warrant, or to the transfer hereof on the books of the Company and notice to the contrary notwithstanding; but until such transfer on such books, the Company may treat the registered owner hereof as the owner for all purposes.</w:t>
      </w:r>
    </w:p>
    <w:p>
      <w:pPr>
        <w:spacing w:after="0" w:line="219" w:lineRule="exact"/>
        <w:rPr>
          <w:rFonts w:ascii="Arial" w:cs="Arial" w:eastAsia="Arial" w:hAnsi="Arial"/>
          <w:sz w:val="18"/>
          <w:szCs w:val="18"/>
          <w:color w:val="auto"/>
        </w:rPr>
      </w:pPr>
    </w:p>
    <w:p>
      <w:pPr>
        <w:jc w:val="both"/>
        <w:ind w:firstLine="8"/>
        <w:spacing w:after="0" w:line="259" w:lineRule="auto"/>
        <w:tabs>
          <w:tab w:leader="none" w:pos="67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Lost Warrants</w:t>
      </w:r>
      <w:r>
        <w:rPr>
          <w:rFonts w:ascii="Arial" w:cs="Arial" w:eastAsia="Arial" w:hAnsi="Arial"/>
          <w:sz w:val="18"/>
          <w:szCs w:val="18"/>
          <w:color w:val="auto"/>
        </w:rPr>
        <w:t>. Upon receipt of evidence reasonably satisfactory to the Company of the loss, theft, destruction, or mutilation of this Warrant and, in the case of any such loss, theft or destruction, upon receipt of an indemnity reasonably satisfactory to the Company, or in the case of any such mutilation upon surrender and cancellation of such Warrant, the Company, at its expense, will make and deliver a new Warrant, of like tenor, in lieu of the lost, stolen, destroyed or mutilated Warrant.</w:t>
      </w:r>
    </w:p>
    <w:p>
      <w:pPr>
        <w:spacing w:after="0" w:line="213" w:lineRule="exact"/>
        <w:rPr>
          <w:rFonts w:ascii="Arial" w:cs="Arial" w:eastAsia="Arial" w:hAnsi="Arial"/>
          <w:sz w:val="18"/>
          <w:szCs w:val="18"/>
          <w:color w:val="auto"/>
        </w:rPr>
      </w:pPr>
    </w:p>
    <w:p>
      <w:pPr>
        <w:jc w:val="both"/>
        <w:ind w:right="20" w:firstLine="8"/>
        <w:spacing w:after="0" w:line="274" w:lineRule="auto"/>
        <w:tabs>
          <w:tab w:leader="none" w:pos="84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Modification and Waiver</w:t>
      </w:r>
      <w:r>
        <w:rPr>
          <w:rFonts w:ascii="Arial" w:cs="Arial" w:eastAsia="Arial" w:hAnsi="Arial"/>
          <w:sz w:val="17"/>
          <w:szCs w:val="17"/>
          <w:color w:val="auto"/>
        </w:rPr>
        <w:t>. Any term of this Warrant may be amended and the observance of any term of this Warrant may be waived (either generally or in a particular instance and either retroactively or prospectively) only (a) with the written consent of the Company and the Holder hereof, or</w:t>
      </w:r>
    </w:p>
    <w:p>
      <w:pPr>
        <w:spacing w:after="0" w:line="261" w:lineRule="auto"/>
        <w:rPr>
          <w:rFonts w:ascii="Arial" w:cs="Arial" w:eastAsia="Arial" w:hAnsi="Arial"/>
          <w:sz w:val="17"/>
          <w:szCs w:val="17"/>
          <w:color w:val="auto"/>
        </w:rPr>
      </w:pPr>
      <w:r>
        <w:rPr>
          <w:rFonts w:ascii="Arial" w:cs="Arial" w:eastAsia="Arial" w:hAnsi="Arial"/>
          <w:sz w:val="18"/>
          <w:szCs w:val="18"/>
          <w:color w:val="auto"/>
        </w:rPr>
        <w:t>(b) as provided in Section 5.7 of the Agreement. Any amendment or waiver effected in accordance with this paragraph shall be binding upon the Company and the Holder.</w:t>
      </w:r>
    </w:p>
    <w:p>
      <w:pPr>
        <w:spacing w:after="0" w:line="210" w:lineRule="exact"/>
        <w:rPr>
          <w:rFonts w:ascii="Arial" w:cs="Arial" w:eastAsia="Arial" w:hAnsi="Arial"/>
          <w:sz w:val="17"/>
          <w:szCs w:val="17"/>
          <w:color w:val="auto"/>
        </w:rPr>
      </w:pPr>
    </w:p>
    <w:p>
      <w:pPr>
        <w:jc w:val="both"/>
        <w:ind w:firstLine="8"/>
        <w:spacing w:after="0" w:line="264" w:lineRule="auto"/>
        <w:tabs>
          <w:tab w:leader="none" w:pos="67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from the Company to the Holder, or vice versa, shall be deemed delivered and effective when given personally or mailed by first-class registered or certified mail, postage prepaid, at such address as may have been furnished to the Company or the Holder, as the case may be, in writing by the Company or such holder from time to time.</w:t>
      </w:r>
    </w:p>
    <w:p>
      <w:pPr>
        <w:spacing w:after="0" w:line="208" w:lineRule="exact"/>
        <w:rPr>
          <w:rFonts w:ascii="Arial" w:cs="Arial" w:eastAsia="Arial" w:hAnsi="Arial"/>
          <w:sz w:val="18"/>
          <w:szCs w:val="18"/>
          <w:color w:val="auto"/>
        </w:rPr>
      </w:pPr>
    </w:p>
    <w:p>
      <w:pPr>
        <w:jc w:val="both"/>
        <w:ind w:firstLine="8"/>
        <w:spacing w:after="0" w:line="342" w:lineRule="auto"/>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Titles and Subtitles; Governing Law; Venue</w:t>
      </w:r>
      <w:r>
        <w:rPr>
          <w:rFonts w:ascii="Arial" w:cs="Arial" w:eastAsia="Arial" w:hAnsi="Arial"/>
          <w:sz w:val="16"/>
          <w:szCs w:val="16"/>
          <w:color w:val="auto"/>
        </w:rPr>
        <w:t>. The titles and subtitles used in this Warrant are used for convenience only and are not to be considered in construing or interpreting this Agreement. This Warrant is to be construed in accordance with and governed by the internal laws of the State of California</w:t>
      </w:r>
    </w:p>
    <w:p>
      <w:pPr>
        <w:sectPr>
          <w:pgSz w:w="11900" w:h="16838" w:orient="portrait"/>
          <w:cols w:equalWidth="0" w:num="1">
            <w:col w:w="11420"/>
          </w:cols>
          <w:pgMar w:left="240" w:top="125" w:right="239" w:bottom="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without giving effect to any choice of law rule that would cause the application of the laws of any jurisdiction other than the internal laws of the State of California to the rights and duties of the Company and the Holder. All disputes and controversies arising out of or in connection with this Warrant shall be resolved exclusively by the state and federal courts located in San Mateo County in the State of California, and each of the Company and the Holder hereto agrees to submit to the jurisdiction of said courts and agrees that venue shall lie exclusively with such courts.</w:t>
      </w:r>
    </w:p>
    <w:p>
      <w:pPr>
        <w:spacing w:after="0" w:line="198" w:lineRule="exact"/>
        <w:rPr>
          <w:sz w:val="20"/>
          <w:szCs w:val="20"/>
          <w:color w:val="auto"/>
        </w:rPr>
      </w:pPr>
    </w:p>
    <w:p>
      <w:pPr>
        <w:ind w:firstLine="8"/>
        <w:spacing w:after="0" w:line="277" w:lineRule="auto"/>
        <w:tabs>
          <w:tab w:leader="none" w:pos="71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 of Warrant Shares</w:t>
      </w:r>
      <w:r>
        <w:rPr>
          <w:rFonts w:ascii="Arial" w:cs="Arial" w:eastAsia="Arial" w:hAnsi="Arial"/>
          <w:sz w:val="18"/>
          <w:szCs w:val="18"/>
          <w:color w:val="auto"/>
        </w:rPr>
        <w:t>. For purposes of this Agreement, “Warrant Shares” shall mean the number of shares of the Company’s Common Stock issuable upon exercise of this Warrant.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Warrant to be duly executed by its officers, thereunto duly authorized as of the date first above written.</w:t>
      </w:r>
    </w:p>
    <w:p>
      <w:pPr>
        <w:spacing w:after="0" w:line="1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Shawn Singh, Chief Executive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u w:val="single" w:color="auto"/>
          <w:color w:val="auto"/>
        </w:rPr>
        <w:t>FORM OF SUBSCRIPTION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upon exercise of Warrant)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VISTAGEN THERAPEUTICS, INC.</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undersigned, the holder of a right to purchase shares of Common Stock of Vistagen Therapeutics, Inc. (the “Company”) pursuant to that certain Warrant to Purchase Common Stock of Vistagen Therapeutics, Inc. Number CSW-___ (the “Warrant”), dated as of ___________, 2012 hereby irrevocably elects to</w:t>
      </w:r>
    </w:p>
    <w:p>
      <w:pPr>
        <w:spacing w:after="0"/>
        <w:rPr>
          <w:sz w:val="20"/>
          <w:szCs w:val="20"/>
          <w:color w:val="auto"/>
        </w:rPr>
      </w:pPr>
      <w:r>
        <w:rPr>
          <w:rFonts w:ascii="Arial" w:cs="Arial" w:eastAsia="Arial" w:hAnsi="Arial"/>
          <w:sz w:val="16"/>
          <w:szCs w:val="16"/>
          <w:color w:val="auto"/>
        </w:rPr>
        <w:t>exercise the purchase right represented by such Warrant for, and to purchase thereunder, __________________________ (_________)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of the Company and herewith makes payment of ________________________ Dollars ($__________) therefor in cash.</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undersigned represents that it is acquiring such securities for its own account for investment and not with a view to or for sale in connection with any distribution thereof and in order to induce the issuance of such securities makes to the Company, as of the date hereof, the representations and warranties set forth in Section 3 of the Convertible Bridge Note and Warrant Purchase Agreement, dated as of February __, 2012, by and among the Company and the Purchasers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thereto.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[WARRANT HOLDER]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[WARRANT HOLDER]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acknowledges that as of the date hereof, __________________ (___________) shares of Common Stock remain subject to the right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purchase in favor of _____________ pursuant to that certain Warrant to Purchase Common Stock of Vistagen Therapeutics, Inc., number CSW-___ 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____________,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4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Its:</w:t>
      </w:r>
    </w:p>
    <w:p>
      <w:pPr>
        <w:sectPr>
          <w:pgSz w:w="11900" w:h="16838" w:orient="portrait"/>
          <w:cols w:equalWidth="0" w:num="1">
            <w:col w:w="11420"/>
          </w:cols>
          <w:pgMar w:left="240" w:top="999"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Registration Rights Agreement (the “Agreement”) is made and entered into as of this 28th day of February by and among VistaGen Therapeutics, Inc., a Nevada corporation (the “Company”), and the “Lenders” named in that certain Convertible Note and Warrant Purchase Agreement by and among the Company and the Lenders (the “Purchase Agreement”). Capitalized terms used herein have the respective meanings ascribed thereto in the Purchase Agreement unless otherwise defined herein.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hereby agree as follows:</w:t>
      </w:r>
    </w:p>
    <w:p>
      <w:pPr>
        <w:spacing w:after="0" w:line="279" w:lineRule="exact"/>
        <w:rPr>
          <w:sz w:val="20"/>
          <w:szCs w:val="20"/>
          <w:color w:val="auto"/>
        </w:rPr>
      </w:pPr>
    </w:p>
    <w:p>
      <w:pPr>
        <w:ind w:left="1000" w:hanging="344"/>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shall have the following meanings: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$0.001 per share, and any securities into which such shares may hereinafter be reclassified.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Lenders identified in the Purchase Agreement and any Affiliate or permitted transferee of any Lender who is a subsequent holder of any Registrable Securities.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Shares</w:t>
      </w:r>
      <w:r>
        <w:rPr>
          <w:rFonts w:ascii="Arial" w:cs="Arial" w:eastAsia="Arial" w:hAnsi="Arial"/>
          <w:sz w:val="18"/>
          <w:szCs w:val="18"/>
          <w:color w:val="auto"/>
        </w:rPr>
        <w:t>” means shares of the Company’s Common Stock that may be issued to Lenders upon conversion of the Notes issued pursuant to the Purchase Agreement.</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w:t>
      </w:r>
      <w:r>
        <w:rPr>
          <w:rFonts w:ascii="Arial" w:cs="Arial" w:eastAsia="Arial" w:hAnsi="Arial"/>
          <w:sz w:val="17"/>
          <w:szCs w:val="17"/>
          <w:u w:val="single" w:color="auto"/>
          <w:color w:val="auto"/>
        </w:rPr>
        <w:t>registered</w:t>
      </w:r>
      <w:r>
        <w:rPr>
          <w:rFonts w:ascii="Arial" w:cs="Arial" w:eastAsia="Arial" w:hAnsi="Arial"/>
          <w:sz w:val="17"/>
          <w:szCs w:val="17"/>
          <w:color w:val="auto"/>
        </w:rPr>
        <w:t>” and “</w:t>
      </w:r>
      <w:r>
        <w:rPr>
          <w:rFonts w:ascii="Arial" w:cs="Arial" w:eastAsia="Arial" w:hAnsi="Arial"/>
          <w:sz w:val="17"/>
          <w:szCs w:val="17"/>
          <w:u w:val="single" w:color="auto"/>
          <w:color w:val="auto"/>
        </w:rPr>
        <w:t>registration</w:t>
      </w:r>
      <w:r>
        <w:rPr>
          <w:rFonts w:ascii="Arial" w:cs="Arial" w:eastAsia="Arial" w:hAnsi="Arial"/>
          <w:sz w:val="17"/>
          <w:szCs w:val="17"/>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the Note Shares; (ii) Warrant Shares; and (iii) any other securities issued or issuable with respect to or in exchange for Registrable Securities, whether by merger, charter amendment or otherwise; provided, that, a security shall cease to be a Registrable Security upon (A) sale pursuant to a Registration Statement or Rule 144 under the 1933 Act, or (B) such security becoming eligible for sale without restriction by the Lenders pursuant to Rule 144.</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filed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the Lenders holding a majority of the Registrable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Shares</w:t>
      </w:r>
      <w:r>
        <w:rPr>
          <w:rFonts w:ascii="Arial" w:cs="Arial" w:eastAsia="Arial" w:hAnsi="Arial"/>
          <w:sz w:val="17"/>
          <w:szCs w:val="17"/>
          <w:color w:val="auto"/>
        </w:rPr>
        <w:t>” means the shares of Common Stock issuable upon exercise of the Warrants issued pursuant to the Purchase Agreement.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 and the rules and regulations promulgated thereunder.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 and the rules and regulations promulgated thereunder.</w:t>
      </w:r>
    </w:p>
    <w:p>
      <w:pPr>
        <w:spacing w:after="0" w:line="279" w:lineRule="exact"/>
        <w:rPr>
          <w:sz w:val="20"/>
          <w:szCs w:val="20"/>
          <w:color w:val="auto"/>
        </w:rPr>
      </w:pPr>
    </w:p>
    <w:p>
      <w:pPr>
        <w:ind w:left="1000" w:hanging="344"/>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20" w:firstLine="1953"/>
        <w:spacing w:after="0" w:line="268" w:lineRule="auto"/>
        <w:tabs>
          <w:tab w:leader="none" w:pos="2331" w:val="left"/>
        </w:tabs>
        <w:numPr>
          <w:ilvl w:val="2"/>
          <w:numId w:val="42"/>
        </w:numPr>
        <w:rPr>
          <w:rFonts w:ascii="Arial" w:cs="Arial" w:eastAsia="Arial" w:hAnsi="Arial"/>
          <w:sz w:val="17"/>
          <w:szCs w:val="17"/>
          <w:color w:val="auto"/>
        </w:rPr>
      </w:pPr>
      <w:r>
        <w:rPr>
          <w:rFonts w:ascii="Arial" w:cs="Arial" w:eastAsia="Arial" w:hAnsi="Arial"/>
          <w:sz w:val="17"/>
          <w:szCs w:val="17"/>
          <w:color w:val="auto"/>
        </w:rPr>
        <w:t>Promptly following the closing of the purchase and sale of the securities contemplated by the Purchase Agreement (the “Closing Date”) but no later than 90 days after the Closing Date (the “Filing Deadline”), the Company shall prepare and file with the SEC one Registration Statement on Form S-1, covering the resale of the Registrable Securities.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without the prior written consent of the Required Lenders. The Registration Statement (and each amendment or supplement thereto, and each request for acceleration of effectiveness thereof) shall be provided in accordance with Section 3(c) to the Lenders prior to its filing or other submission. If a Registration Statement covering the Registrable Securities is not filed with the SEC on or prior to the Filing Deadline, the Company will make pro rata payments to each Lender, as liquidated damages and not as a penalty, in an amount equal to 1.0% of the aggregate amount invested by such Lender for each 30-day period or pro rata for any portion thereof following the Filing Deadline for which no Registration Statement is filed with respect to the Registrable Securities; provided, that the maximum pro rata payments to the Lenders shall not exceed 10.0% of the aggregate amount invested by such Lender. Such payments shall constitute the Lenders’ exclusive monetary remedy for such events, but shall not affect the right of the Lenders to seek injunctive relief. Such payments shall be made to each Lender in cash no later than three (3) Business Days after the end of each 30-day period.</w:t>
      </w:r>
    </w:p>
    <w:p>
      <w:pPr>
        <w:spacing w:after="0" w:line="239" w:lineRule="exact"/>
        <w:rPr>
          <w:rFonts w:ascii="Arial" w:cs="Arial" w:eastAsia="Arial" w:hAnsi="Arial"/>
          <w:sz w:val="17"/>
          <w:szCs w:val="17"/>
          <w:color w:val="auto"/>
        </w:rPr>
      </w:pPr>
    </w:p>
    <w:p>
      <w:pPr>
        <w:ind w:right="60" w:firstLine="1953"/>
        <w:spacing w:after="0" w:line="257" w:lineRule="auto"/>
        <w:tabs>
          <w:tab w:leader="none" w:pos="2381" w:val="left"/>
        </w:tabs>
        <w:numPr>
          <w:ilvl w:val="2"/>
          <w:numId w:val="42"/>
        </w:numPr>
        <w:rPr>
          <w:rFonts w:ascii="Arial" w:cs="Arial" w:eastAsia="Arial" w:hAnsi="Arial"/>
          <w:sz w:val="18"/>
          <w:szCs w:val="18"/>
          <w:color w:val="auto"/>
        </w:rPr>
      </w:pPr>
      <w:r>
        <w:rPr>
          <w:rFonts w:ascii="Arial" w:cs="Arial" w:eastAsia="Arial" w:hAnsi="Arial"/>
          <w:sz w:val="18"/>
          <w:szCs w:val="18"/>
          <w:u w:val="single" w:color="auto"/>
          <w:color w:val="auto"/>
        </w:rPr>
        <w:t>S-3 Qualification</w:t>
      </w:r>
      <w:r>
        <w:rPr>
          <w:rFonts w:ascii="Arial" w:cs="Arial" w:eastAsia="Arial" w:hAnsi="Arial"/>
          <w:sz w:val="18"/>
          <w:szCs w:val="18"/>
          <w:color w:val="auto"/>
        </w:rPr>
        <w:t>. Promptly following the date (the “Qualification Date”) upon which the Company becomes eligible to use a registration statement on Form S-3 to register the Registrable Securities for resale, but in no event more than thirty (30) days after the Qualification Date (the “Qualification Deadline”), the Company shall file a registration statement on Form S-3 covering the Registrable Securities (or a post-effective amendment on Form S-3 to the registration statement on Form S-1) (a “Shelf Registration Statement”) and shall use commercially reasonable efforts to cause such Shelf Registration Statement to be declared effective as promptly as practicable thereafter.</w:t>
      </w:r>
    </w:p>
    <w:p>
      <w:pPr>
        <w:sectPr>
          <w:pgSz w:w="11900" w:h="16838" w:orient="portrait"/>
          <w:cols w:equalWidth="0" w:num="1">
            <w:col w:w="11420"/>
          </w:cols>
          <w:pgMar w:left="240" w:top="121" w:right="239" w:bottom="0" w:gutter="0" w:footer="0" w:header="0"/>
        </w:sectPr>
      </w:pPr>
    </w:p>
    <w:bookmarkStart w:id="25" w:name="page26"/>
    <w:bookmarkEnd w:id="25"/>
    <w:p>
      <w:pPr>
        <w:ind w:right="80" w:firstLine="1305"/>
        <w:spacing w:after="0" w:line="257" w:lineRule="auto"/>
        <w:tabs>
          <w:tab w:leader="none" w:pos="172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pay all costs and expenses associated with each registration, including filing and printing fees, the Company’s counsel and accounting fees and expenses, costs associated with clearing the Registrable Securities for sale under applicable state securities laws, listing fees, fees and expenses. Lenders shall be responsible for its own costs and expenses, including the costs and expenses of counsel to the Lenders and the Lenders’ expenses in connection with discounts, commissions, fees of underwriters, selling brokers, dealer managers or similar securities industry professionals with respect to the Registrable Securities being sold.</w:t>
      </w:r>
    </w:p>
    <w:p>
      <w:pPr>
        <w:spacing w:after="0" w:line="242" w:lineRule="exact"/>
        <w:rPr>
          <w:rFonts w:ascii="Arial" w:cs="Arial" w:eastAsia="Arial" w:hAnsi="Arial"/>
          <w:sz w:val="18"/>
          <w:szCs w:val="18"/>
          <w:color w:val="auto"/>
        </w:rPr>
      </w:pPr>
    </w:p>
    <w:p>
      <w:pPr>
        <w:ind w:left="1720" w:hanging="415"/>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80" w:firstLine="1953"/>
        <w:spacing w:after="0" w:line="265" w:lineRule="auto"/>
        <w:tabs>
          <w:tab w:leader="none" w:pos="2331"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Company shall use its best efforts to have the Registration Statement declared effective as soon as practicable. The Company shall notify the Lenders by facsimile or e-mail as promptly as practicable, and in any event, within twenty-four (24) hours, after any Registration Statement is declared effective and shall simultaneously provide the Lenders with copies of any related Prospectus to be used in connection with the sale or other disposition of the securities covered thereby. If (A)(x) a Registration Statement covering the Registrable Securities is not declared effective by the SEC prior to the earlier of (i) five (5) Business Days after the SEC shall have informed the Company that no review of the Registration Statement will be made or that the SEC has no further comments on the Registration Statement or (ii)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the Filing Deadline or (y) a Shelf Registration Statement is not declared effective by the SEC prior to the earlier of (i) five (5) Business Days after the SEC shall have informed the Company that no review of the Registration Statement will be made or that the SEC has no further comments on the Registration Statement or (ii)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the Qualification Deadline, or (B) after a Registration Statement has been declared effective by the SEC, sales cannot be made pursuant to such Registration Statement for any reason (including without limitation by reason of a stop order, or the Company’s failure to update the Registration Statement), but excluding any Allowed Delay (as defined below), then the Company will make pro rata payments to each Lender, as liquidated damages and not as a penalty, in an amount equal to</w:t>
      </w:r>
    </w:p>
    <w:p>
      <w:pPr>
        <w:spacing w:after="0" w:line="4" w:lineRule="exact"/>
        <w:rPr>
          <w:rFonts w:ascii="Arial" w:cs="Arial" w:eastAsia="Arial" w:hAnsi="Arial"/>
          <w:sz w:val="16"/>
          <w:szCs w:val="16"/>
          <w:color w:val="auto"/>
        </w:rPr>
      </w:pPr>
    </w:p>
    <w:p>
      <w:pPr>
        <w:ind w:right="60"/>
        <w:spacing w:after="0" w:line="270" w:lineRule="auto"/>
        <w:rPr>
          <w:rFonts w:ascii="Arial" w:cs="Arial" w:eastAsia="Arial" w:hAnsi="Arial"/>
          <w:sz w:val="16"/>
          <w:szCs w:val="16"/>
          <w:color w:val="auto"/>
        </w:rPr>
      </w:pPr>
      <w:r>
        <w:rPr>
          <w:rFonts w:ascii="Arial" w:cs="Arial" w:eastAsia="Arial" w:hAnsi="Arial"/>
          <w:sz w:val="17"/>
          <w:szCs w:val="17"/>
          <w:color w:val="auto"/>
        </w:rPr>
        <w:t>1.0% of the aggregate amount invested by such Lender for each 30-day period or pro rata for any portion thereof following the Filing Deadline for which no Registration Statement is filed with respect to the Registrable Securities (the “Blackout Period”); provided, that the maximum payments to the Lenders pursuant to this Section 2(a) and Section 2(c) shall not exceed 10.0% of the aggregate amount invested by such Lender. Such payments shall constitute the Lenders’ exclusive monetary remedy for such events, but shall not affect the right of the Lenders to seek injunctive relief. The amounts payable as liquidated damages pursuant to this paragraph shall be paid monthly within three (3) Business Days of the last day of each month following the commencement of the Blackout Period until the termination of the Blackout Period. Such payments shall be made to each Lender in cash.</w:t>
      </w:r>
    </w:p>
    <w:p>
      <w:pPr>
        <w:spacing w:after="0" w:line="232" w:lineRule="exact"/>
        <w:rPr>
          <w:rFonts w:ascii="Arial" w:cs="Arial" w:eastAsia="Arial" w:hAnsi="Arial"/>
          <w:sz w:val="16"/>
          <w:szCs w:val="16"/>
          <w:color w:val="auto"/>
        </w:rPr>
      </w:pPr>
    </w:p>
    <w:p>
      <w:pPr>
        <w:ind w:right="80" w:firstLine="1953"/>
        <w:spacing w:after="0" w:line="288" w:lineRule="auto"/>
        <w:tabs>
          <w:tab w:leader="none" w:pos="2381" w:val="left"/>
        </w:tabs>
        <w:numPr>
          <w:ilvl w:val="1"/>
          <w:numId w:val="43"/>
        </w:numPr>
        <w:rPr>
          <w:rFonts w:ascii="Arial" w:cs="Arial" w:eastAsia="Arial" w:hAnsi="Arial"/>
          <w:sz w:val="16"/>
          <w:szCs w:val="16"/>
          <w:color w:val="auto"/>
        </w:rPr>
      </w:pPr>
      <w:r>
        <w:rPr>
          <w:rFonts w:ascii="Arial" w:cs="Arial" w:eastAsia="Arial" w:hAnsi="Arial"/>
          <w:sz w:val="16"/>
          <w:szCs w:val="16"/>
          <w:color w:val="auto"/>
        </w:rPr>
        <w:t>For not more than twenty (20) consecutive days or for a total of not more than forty-five (45) days in any twelve (12) 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“Allowed Delay”); provided, that the Company shall promptly (a) notify each Lender in writing of the commencement of an Allowed Delay, but shall not (without the prior written consent of an Lender) disclose to such Lender any material non-public information giving rise to an Allowed Delay, (b) advise the Lenders in writing to cease all sales under the Registration Statement until the end of the Allowed Delay and (c) use commercially reasonable efforts to terminate an Allowed Delay as promptly as practicable.</w:t>
      </w:r>
    </w:p>
    <w:p>
      <w:pPr>
        <w:spacing w:after="0" w:line="223" w:lineRule="exact"/>
        <w:rPr>
          <w:rFonts w:ascii="Arial" w:cs="Arial" w:eastAsia="Arial" w:hAnsi="Arial"/>
          <w:sz w:val="16"/>
          <w:szCs w:val="16"/>
          <w:color w:val="auto"/>
        </w:rPr>
      </w:pPr>
    </w:p>
    <w:p>
      <w:pPr>
        <w:ind w:firstLine="1305"/>
        <w:spacing w:after="0" w:line="281" w:lineRule="auto"/>
        <w:tabs>
          <w:tab w:leader="none" w:pos="172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is not eligible to be made on a delayed or continuous basis under the provisions of Rule 415 under the 1933 Act or requires any Lender to be named as an “underwriter”, the Company shall use its best efforts to persuade the SEC that the offering contemplated by the Registration Statement is a valid secondary offering and not an offering “by or on behalf of the issuer” as defined in Rule 415 and that none of the Lenders is an “underwriter”. The Lenders shall have the right to participate or have their counsel participate in any meetings or discussions with the SEC regarding the SEC’s position and to comment or have their counsel comment on any written submission made to the SEC with respect thereto. No such written submission shall be made to the SEC to which the Lenders’ counsel reasonably objects. In the event that, despite the Company’s best efforts and compliance with the terms of this Section 2(d), the SEC refuses to alter its position, the Company shall (i) remove from the Registration Statement such portion of the Registrable Securities (the “Cut Back Shares”) and/or (ii) agree to such restrictions and limitations on the registration and resale of the Registrable Securities as the SEC may require to assure the Company’s compliance with the requirements of Rule 415 (collectively, the “SEC Restrictions”); provided, however, that the Company shall not agree to name any Lender as an “underwriter” in such Registration Statement without the prior written consent of such Lender. Any cut-back imposed on the Lenders pursuant to this Section 2(d) shall be allocated among the Lenders on a pro rata basis. No liquidated damages shall accrue as to any Cut Back Shares until such date as the Company is able to effect the registration of such Cut Back Shares in accordance with any SEC Restrictions (such date, the “Restriction Termination Date” of such Cut Back Shares). From and after the Restriction Termination Date applicable to any Cut Back Shares, all of the provisions of this Section 2 (including the liquidated damages provisions) shall again be applicable to such Cut Back Shares; provided, however, that (i) the Filing Deadline and/or the Qualification Deadline, as applicable, for the Registration Statement including such Cut Back Shares shall be ten (10) Business Days after such Restriction Termination Date, and (ii) the date by which the Company is required to obtain effectiveness with respect to such Cut Back Shares under Section 2(c) shall be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immediately after the Restriction Termination Date (the 120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if the SEC reviews the Registration Statement).</w:t>
      </w:r>
    </w:p>
    <w:p>
      <w:pPr>
        <w:spacing w:after="0" w:line="120" w:lineRule="exact"/>
        <w:rPr>
          <w:rFonts w:ascii="Arial" w:cs="Arial" w:eastAsia="Arial" w:hAnsi="Arial"/>
          <w:sz w:val="16"/>
          <w:szCs w:val="16"/>
          <w:color w:val="auto"/>
        </w:rPr>
      </w:pPr>
    </w:p>
    <w:p>
      <w:pPr>
        <w:ind w:left="1720" w:hanging="415"/>
        <w:spacing w:after="0"/>
        <w:tabs>
          <w:tab w:leader="none" w:pos="1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Right to Piggyback Registration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100" w:firstLine="1953"/>
        <w:spacing w:after="0" w:line="289" w:lineRule="auto"/>
        <w:tabs>
          <w:tab w:leader="none" w:pos="2331"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at any time following the date of this Agreement that any Registrable Securities remain outstanding (A) there is not one or more effective Registration Statements covering all of the Registrable Securities and (B) the Company proposes for any reason to register any shares of Common Stock under the 1933 Act (other than pursuant to a registration statement on Form S-4 or Form S-8 (or a similar or successor form)) with respect to an offering of Common Stock by the Company for its own account or for the account of any of its stockholders, it shall at each such time promptly give written notice to the holders of the Registrable Securities of its intention to do so (but in no event less than thirty (30) days before the anticipated filing date) and, to the extent permitted under the provisions of Rule 415 under the 1933 Act, include in such registration all Registrable Securities with respect to which the Company has received written requests for inclusion therein within fifteen (15) days after receipt of the Company’s notice (a “Piggyback Registration”). Such notice shall offer the holders of the Registrable Securities the opportunity to register such number of shares of Registrable Securities as each such holder may request and shall indicate the intended method of distribution of such Registrable Securities.</w:t>
      </w:r>
    </w:p>
    <w:p>
      <w:pPr>
        <w:spacing w:after="0" w:line="220" w:lineRule="exact"/>
        <w:rPr>
          <w:rFonts w:ascii="Arial" w:cs="Arial" w:eastAsia="Arial" w:hAnsi="Arial"/>
          <w:sz w:val="16"/>
          <w:szCs w:val="16"/>
          <w:color w:val="auto"/>
        </w:rPr>
      </w:pPr>
    </w:p>
    <w:p>
      <w:pPr>
        <w:ind w:right="40" w:firstLine="1953"/>
        <w:spacing w:after="0" w:line="297" w:lineRule="auto"/>
        <w:tabs>
          <w:tab w:leader="none" w:pos="2381"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Notwithstanding the foregoing, (A) if such registration involves an underwritten public offering, the Lenders must sell their Registrable Securities to, if applicable, the underwriter(s) at the same price and subject to the same underwriting discounts and commissions that apply to the other securities sold in such offering (it being acknowledged that the Company shall be responsible for other expenses as set forth in Section 2(b)) and subject to the Lenders entering into customary underwriting documentation for selling stockholders in an underwritten public offering, and (B) if, at any time after giving written notice of its intention to register any Registrable Securities pursuant to Section 2(e)(i) and prior to the effective date of the registration</w:t>
      </w:r>
    </w:p>
    <w:p>
      <w:pPr>
        <w:sectPr>
          <w:pgSz w:w="11900" w:h="16838" w:orient="portrait"/>
          <w:cols w:equalWidth="0" w:num="1">
            <w:col w:w="11420"/>
          </w:cols>
          <w:pgMar w:left="240" w:top="395" w:right="239" w:bottom="0" w:gutter="0" w:footer="0" w:header="0"/>
        </w:sectPr>
      </w:pPr>
    </w:p>
    <w:bookmarkStart w:id="26" w:name="page27"/>
    <w:bookmarkEnd w:id="26"/>
    <w:p>
      <w:pPr>
        <w:ind w:right="100"/>
        <w:spacing w:after="0" w:line="279" w:lineRule="auto"/>
        <w:rPr>
          <w:sz w:val="20"/>
          <w:szCs w:val="20"/>
          <w:color w:val="auto"/>
        </w:rPr>
      </w:pPr>
      <w:r>
        <w:rPr>
          <w:rFonts w:ascii="Arial" w:cs="Arial" w:eastAsia="Arial" w:hAnsi="Arial"/>
          <w:sz w:val="17"/>
          <w:szCs w:val="17"/>
          <w:color w:val="auto"/>
        </w:rPr>
        <w:t>statement filed in connection with such registration, the Company shall determine for any reason not to cause such registration statement to become effective under the 1933 Act, the Company shall deliver written notice to the Lenders and, thereupon, shall be relieved of its obligation to register any Registrable Securities in connection with such registration; provided, however, that nothing contained in this Section 2(e)(ii) shall limit the Company’s liabilities and/or obligations under this Agreement, including, without limitation, the obligation to pay liquidated damages under this Section 2.</w:t>
      </w:r>
    </w:p>
    <w:p>
      <w:pPr>
        <w:spacing w:after="0" w:line="198" w:lineRule="exact"/>
        <w:rPr>
          <w:sz w:val="20"/>
          <w:szCs w:val="20"/>
          <w:color w:val="auto"/>
        </w:rPr>
      </w:pPr>
    </w:p>
    <w:p>
      <w:pPr>
        <w:jc w:val="both"/>
        <w:ind w:firstLine="1305"/>
        <w:spacing w:after="0" w:line="255" w:lineRule="auto"/>
        <w:tabs>
          <w:tab w:leader="none" w:pos="2236" w:val="left"/>
        </w:tabs>
        <w:numPr>
          <w:ilvl w:val="2"/>
          <w:numId w:val="4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 THE EVENT THE COMPANY CONSUMMATES A QUALIFIED FINANCING, AS SUCH TERM IS DEFINED IN THE PURCHASE AGREEMENT, ON OR BEFORE THE FILING DEADLINE, AND THE SECURITIES ISSUED IN CONNECTION WITH THE QUALIFIED FINANCING ARE ENTITLED TO REGISTRATION RIGHTS, THEN THE OBLIGATIONS OF THE COMPANY HEREUNDER TO REGISTER THE REGISTERABLE SECURITIES SHALL TERMINATE AND THE COMPANY SHALL ONLY BE REQUIRED TO REGISTER THE SECURITIES ISSUED IN CONNECTION WITH SUCH QUALIFIED FINANCING ACCORDING TO THE TERMS SET FORTH IN SUCH QUALIFIED FINANCING, WHICH TERMS SHALL INCLUDE THE REQUIREMENT TO REGISTER THE WARRANT SHARES.</w:t>
      </w:r>
    </w:p>
    <w:p>
      <w:pPr>
        <w:spacing w:after="0" w:line="243" w:lineRule="exact"/>
        <w:rPr>
          <w:rFonts w:ascii="Arial" w:cs="Arial" w:eastAsia="Arial" w:hAnsi="Arial"/>
          <w:sz w:val="18"/>
          <w:szCs w:val="18"/>
          <w:color w:val="auto"/>
        </w:rPr>
      </w:pPr>
    </w:p>
    <w:p>
      <w:pPr>
        <w:ind w:right="680" w:firstLine="656"/>
        <w:spacing w:after="0" w:line="277" w:lineRule="auto"/>
        <w:tabs>
          <w:tab w:leader="none" w:pos="999"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224" w:lineRule="exact"/>
        <w:rPr>
          <w:rFonts w:ascii="Arial" w:cs="Arial" w:eastAsia="Arial" w:hAnsi="Arial"/>
          <w:sz w:val="18"/>
          <w:szCs w:val="18"/>
          <w:color w:val="auto"/>
        </w:rPr>
      </w:pPr>
    </w:p>
    <w:p>
      <w:pPr>
        <w:ind w:firstLine="1305"/>
        <w:spacing w:after="0" w:line="279" w:lineRule="auto"/>
        <w:tabs>
          <w:tab w:leader="none" w:pos="1712" w:val="left"/>
        </w:tabs>
        <w:numPr>
          <w:ilvl w:val="2"/>
          <w:numId w:val="45"/>
        </w:numPr>
        <w:rPr>
          <w:rFonts w:ascii="Arial" w:cs="Arial" w:eastAsia="Arial" w:hAnsi="Arial"/>
          <w:sz w:val="17"/>
          <w:szCs w:val="17"/>
          <w:color w:val="auto"/>
        </w:rPr>
      </w:pPr>
      <w:r>
        <w:rPr>
          <w:rFonts w:ascii="Arial" w:cs="Arial" w:eastAsia="Arial" w:hAnsi="Arial"/>
          <w:sz w:val="17"/>
          <w:szCs w:val="17"/>
          <w:color w:val="auto"/>
        </w:rPr>
        <w:t>use commercially reasonable efforts to cause such Registration Statement to become effective and to remain continuously effective for a period that will terminate upon the earlier of (i) the date on which all Registrable Securities covered by such Registration Statement as amended from time to time, have been sold, and (ii) the date on which all Registrable Securities covered by such Registration Statement may be sold without restriction pursuant to Rule 144 (the “Effectiveness Period”) and advise the Lenders in writing when the Effectiveness Period has expired;</w:t>
      </w:r>
    </w:p>
    <w:p>
      <w:pPr>
        <w:spacing w:after="0" w:line="225" w:lineRule="exact"/>
        <w:rPr>
          <w:rFonts w:ascii="Arial" w:cs="Arial" w:eastAsia="Arial" w:hAnsi="Arial"/>
          <w:sz w:val="17"/>
          <w:szCs w:val="17"/>
          <w:color w:val="auto"/>
        </w:rPr>
      </w:pPr>
    </w:p>
    <w:p>
      <w:pPr>
        <w:jc w:val="both"/>
        <w:ind w:right="200" w:firstLine="1305"/>
        <w:spacing w:after="0" w:line="264" w:lineRule="auto"/>
        <w:tabs>
          <w:tab w:leader="none" w:pos="1722" w:val="left"/>
        </w:tabs>
        <w:numPr>
          <w:ilvl w:val="2"/>
          <w:numId w:val="45"/>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the Registration Statement and the Prospectus as may be necessary to keep the Registration Statement effective for the Effectiveness Period and to comply with the provisions of the 1933 Act and the 1934 Act with respect to the distribution of all of the Registrable Securities covered thereby;</w:t>
      </w:r>
    </w:p>
    <w:p>
      <w:pPr>
        <w:spacing w:after="0" w:line="235" w:lineRule="exact"/>
        <w:rPr>
          <w:rFonts w:ascii="Arial" w:cs="Arial" w:eastAsia="Arial" w:hAnsi="Arial"/>
          <w:sz w:val="18"/>
          <w:szCs w:val="18"/>
          <w:color w:val="auto"/>
        </w:rPr>
      </w:pPr>
    </w:p>
    <w:p>
      <w:pPr>
        <w:ind w:right="20" w:firstLine="1305"/>
        <w:spacing w:after="0" w:line="285" w:lineRule="auto"/>
        <w:tabs>
          <w:tab w:leader="none" w:pos="1712" w:val="left"/>
        </w:tabs>
        <w:numPr>
          <w:ilvl w:val="2"/>
          <w:numId w:val="45"/>
        </w:numPr>
        <w:rPr>
          <w:rFonts w:ascii="Arial" w:cs="Arial" w:eastAsia="Arial" w:hAnsi="Arial"/>
          <w:sz w:val="16"/>
          <w:szCs w:val="16"/>
          <w:color w:val="auto"/>
        </w:rPr>
      </w:pPr>
      <w:r>
        <w:rPr>
          <w:rFonts w:ascii="Arial" w:cs="Arial" w:eastAsia="Arial" w:hAnsi="Arial"/>
          <w:sz w:val="16"/>
          <w:szCs w:val="16"/>
          <w:color w:val="auto"/>
        </w:rPr>
        <w:t>furnish to the Lenders (i) promptly after the same is prepared and publicly distributed, filed with the SEC, or received by the Company (but not later than two (2) Business Days after the filing date, receipt date or sending date, as the case may be)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and</w:t>
      </w:r>
    </w:p>
    <w:p>
      <w:pPr>
        <w:spacing w:after="0" w:line="2" w:lineRule="exact"/>
        <w:rPr>
          <w:rFonts w:ascii="Arial" w:cs="Arial" w:eastAsia="Arial" w:hAnsi="Arial"/>
          <w:sz w:val="16"/>
          <w:szCs w:val="16"/>
          <w:color w:val="auto"/>
        </w:rPr>
      </w:pPr>
    </w:p>
    <w:p>
      <w:pPr>
        <w:ind w:right="240" w:firstLine="8"/>
        <w:spacing w:after="0" w:line="255" w:lineRule="auto"/>
        <w:tabs>
          <w:tab w:leader="none" w:pos="2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number of copies of a Prospectus, including a preliminary prospectus, and all amendments and supplements thereto and such other documents as each Lender may reasonably request in order to facilitate the disposition of the Registrable Securities owned by such Lender that are covered by the related Registration Statement;</w:t>
      </w:r>
    </w:p>
    <w:p>
      <w:pPr>
        <w:spacing w:after="0" w:line="244" w:lineRule="exact"/>
        <w:rPr>
          <w:rFonts w:ascii="Arial" w:cs="Arial" w:eastAsia="Arial" w:hAnsi="Arial"/>
          <w:sz w:val="18"/>
          <w:szCs w:val="18"/>
          <w:color w:val="auto"/>
        </w:rPr>
      </w:pPr>
    </w:p>
    <w:p>
      <w:pPr>
        <w:ind w:right="140" w:firstLine="1305"/>
        <w:spacing w:after="0" w:line="277" w:lineRule="auto"/>
        <w:tabs>
          <w:tab w:leader="none" w:pos="1722" w:val="left"/>
        </w:tabs>
        <w:numPr>
          <w:ilvl w:val="2"/>
          <w:numId w:val="46"/>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at the earliest possible moment;</w:t>
      </w:r>
    </w:p>
    <w:p>
      <w:pPr>
        <w:spacing w:after="0" w:line="224" w:lineRule="exact"/>
        <w:rPr>
          <w:rFonts w:ascii="Arial" w:cs="Arial" w:eastAsia="Arial" w:hAnsi="Arial"/>
          <w:sz w:val="18"/>
          <w:szCs w:val="18"/>
          <w:color w:val="auto"/>
        </w:rPr>
      </w:pPr>
    </w:p>
    <w:p>
      <w:pPr>
        <w:ind w:right="140" w:firstLine="1305"/>
        <w:spacing w:after="0" w:line="255" w:lineRule="auto"/>
        <w:tabs>
          <w:tab w:leader="none" w:pos="1712" w:val="left"/>
        </w:tabs>
        <w:numPr>
          <w:ilvl w:val="2"/>
          <w:numId w:val="46"/>
        </w:numPr>
        <w:rPr>
          <w:rFonts w:ascii="Arial" w:cs="Arial" w:eastAsia="Arial" w:hAnsi="Arial"/>
          <w:sz w:val="18"/>
          <w:szCs w:val="18"/>
          <w:b w:val="1"/>
          <w:bCs w:val="1"/>
          <w:color w:val="auto"/>
        </w:rPr>
      </w:pPr>
      <w:r>
        <w:rPr>
          <w:rFonts w:ascii="Arial" w:cs="Arial" w:eastAsia="Arial" w:hAnsi="Arial"/>
          <w:sz w:val="18"/>
          <w:szCs w:val="18"/>
          <w:color w:val="auto"/>
        </w:rPr>
        <w:t>prior to any public offering of Registrable Securities, use commercially reasonable efforts to register or qualify or cooperate with the Lenders in connection with the registration or qualification of such Registrable Securities for offer and sale under the securities or blue sky laws of such jurisdictions requested by the Lenders and do any and all other commercially reasonable acts or things necessary or advisable to enable the distribution in such jurisdictions of the Registrable Securities covered by the Registration Statement</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however,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spacing w:after="0" w:line="243" w:lineRule="exact"/>
        <w:rPr>
          <w:rFonts w:ascii="Arial" w:cs="Arial" w:eastAsia="Arial" w:hAnsi="Arial"/>
          <w:sz w:val="18"/>
          <w:szCs w:val="18"/>
          <w:b w:val="1"/>
          <w:bCs w:val="1"/>
          <w:color w:val="auto"/>
        </w:rPr>
      </w:pPr>
    </w:p>
    <w:p>
      <w:pPr>
        <w:ind w:right="560" w:firstLine="1305"/>
        <w:spacing w:after="0" w:line="308" w:lineRule="auto"/>
        <w:tabs>
          <w:tab w:leader="none" w:pos="1692" w:val="left"/>
        </w:tabs>
        <w:numPr>
          <w:ilvl w:val="2"/>
          <w:numId w:val="46"/>
        </w:numPr>
        <w:rPr>
          <w:rFonts w:ascii="Arial" w:cs="Arial" w:eastAsia="Arial" w:hAnsi="Arial"/>
          <w:sz w:val="17"/>
          <w:szCs w:val="17"/>
          <w:color w:val="auto"/>
        </w:rPr>
      </w:pPr>
      <w:r>
        <w:rPr>
          <w:rFonts w:ascii="Arial" w:cs="Arial" w:eastAsia="Arial" w:hAnsi="Arial"/>
          <w:sz w:val="17"/>
          <w:szCs w:val="17"/>
          <w:color w:val="auto"/>
        </w:rPr>
        <w:t>use commercially reasonable efforts to cause all Registrable Securities covered by a Registration Statement to be listed on each securities exchange, interdealer quotation system or other market on which similar securities issued by the Company are then listed;</w:t>
      </w:r>
    </w:p>
    <w:p>
      <w:pPr>
        <w:spacing w:after="0" w:line="200" w:lineRule="exact"/>
        <w:rPr>
          <w:rFonts w:ascii="Arial" w:cs="Arial" w:eastAsia="Arial" w:hAnsi="Arial"/>
          <w:sz w:val="17"/>
          <w:szCs w:val="17"/>
          <w:color w:val="auto"/>
        </w:rPr>
      </w:pPr>
    </w:p>
    <w:p>
      <w:pPr>
        <w:ind w:right="60" w:firstLine="1305"/>
        <w:spacing w:after="0" w:line="255" w:lineRule="auto"/>
        <w:tabs>
          <w:tab w:leader="none" w:pos="1722" w:val="left"/>
        </w:tabs>
        <w:numPr>
          <w:ilvl w:val="2"/>
          <w:numId w:val="46"/>
        </w:numPr>
        <w:rPr>
          <w:rFonts w:ascii="Arial" w:cs="Arial" w:eastAsia="Arial" w:hAnsi="Arial"/>
          <w:sz w:val="18"/>
          <w:szCs w:val="18"/>
          <w:color w:val="auto"/>
        </w:rPr>
      </w:pPr>
      <w:r>
        <w:rPr>
          <w:rFonts w:ascii="Arial" w:cs="Arial" w:eastAsia="Arial" w:hAnsi="Arial"/>
          <w:sz w:val="18"/>
          <w:szCs w:val="18"/>
          <w:color w:val="auto"/>
        </w:rPr>
        <w:t>immediately notify the Lenders,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247" w:lineRule="exact"/>
        <w:rPr>
          <w:rFonts w:ascii="Arial" w:cs="Arial" w:eastAsia="Arial" w:hAnsi="Arial"/>
          <w:sz w:val="18"/>
          <w:szCs w:val="18"/>
          <w:color w:val="auto"/>
        </w:rPr>
      </w:pPr>
    </w:p>
    <w:p>
      <w:pPr>
        <w:ind w:firstLine="1305"/>
        <w:spacing w:after="0" w:line="288" w:lineRule="auto"/>
        <w:tabs>
          <w:tab w:leader="none" w:pos="1722" w:val="left"/>
        </w:tabs>
        <w:numPr>
          <w:ilvl w:val="2"/>
          <w:numId w:val="46"/>
        </w:numPr>
        <w:rPr>
          <w:rFonts w:ascii="Arial" w:cs="Arial" w:eastAsia="Arial" w:hAnsi="Arial"/>
          <w:sz w:val="16"/>
          <w:szCs w:val="16"/>
          <w:color w:val="auto"/>
        </w:rPr>
      </w:pPr>
      <w:r>
        <w:rPr>
          <w:rFonts w:ascii="Arial" w:cs="Arial" w:eastAsia="Arial" w:hAnsi="Arial"/>
          <w:sz w:val="16"/>
          <w:szCs w:val="16"/>
          <w:color w:val="auto"/>
        </w:rPr>
        <w:t>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Lenders in writing if, at any time during the Effectiveness Period, the Company does not satisfy the conditions specified in Rule 172 and, as a result thereof, the Lenders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subsection 3(i), “Availability Date” means the 45th day following the end of the fourth fiscal quarter that includes the effective date of such Registration Statement, except that, if such fourth fiscal quarter is the last quarter of the Company’s fiscal year, “Availability Date” means the 90th day after the end of such fourth fiscal quarter); and</w:t>
      </w:r>
    </w:p>
    <w:p>
      <w:pPr>
        <w:spacing w:after="0" w:line="223" w:lineRule="exact"/>
        <w:rPr>
          <w:rFonts w:ascii="Arial" w:cs="Arial" w:eastAsia="Arial" w:hAnsi="Arial"/>
          <w:sz w:val="16"/>
          <w:szCs w:val="16"/>
          <w:color w:val="auto"/>
        </w:rPr>
      </w:pPr>
    </w:p>
    <w:p>
      <w:pPr>
        <w:ind w:right="40" w:firstLine="1305"/>
        <w:spacing w:after="0" w:line="291" w:lineRule="auto"/>
        <w:tabs>
          <w:tab w:leader="none" w:pos="1682" w:val="left"/>
        </w:tabs>
        <w:numPr>
          <w:ilvl w:val="2"/>
          <w:numId w:val="46"/>
        </w:numPr>
        <w:rPr>
          <w:rFonts w:ascii="Arial" w:cs="Arial" w:eastAsia="Arial" w:hAnsi="Arial"/>
          <w:sz w:val="16"/>
          <w:szCs w:val="16"/>
          <w:color w:val="auto"/>
        </w:rPr>
      </w:pPr>
      <w:r>
        <w:rPr>
          <w:rFonts w:ascii="Arial" w:cs="Arial" w:eastAsia="Arial" w:hAnsi="Arial"/>
          <w:sz w:val="16"/>
          <w:szCs w:val="16"/>
          <w:color w:val="auto"/>
        </w:rPr>
        <w:t>With a view to making available to the Lenders the benefits of Rule 144 (or its successor rule) and any other rule or regulation of the SEC that may at any time permit the Lenders to sell shares of Common Stock to the public without registration, the Company covenants and agrees to: (i) make and keep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all of the Registrable Securities shall have been resold; (ii) file with the SEC in a timely manner all reports and other documents required of the Company under the 1934 Act; and (iii) furnish to each Lender upon request, as long as such Lender owns any Registrable Securities, (A) a written statement by the Company that it has complied with the reporting requirements of the 1934 Act, (B) a copy of the Company’s most recent Annual Report on Form 10-K or Quarterly</w:t>
      </w:r>
    </w:p>
    <w:p>
      <w:pPr>
        <w:sectPr>
          <w:pgSz w:w="11900" w:h="16838" w:orient="portrait"/>
          <w:cols w:equalWidth="0" w:num="1">
            <w:col w:w="11420"/>
          </w:cols>
          <w:pgMar w:left="240" w:top="125" w:right="239" w:bottom="0" w:gutter="0" w:footer="0" w:header="0"/>
        </w:sectPr>
      </w:pPr>
    </w:p>
    <w:bookmarkStart w:id="27" w:name="page28"/>
    <w:bookmarkEnd w:id="27"/>
    <w:p>
      <w:pPr>
        <w:spacing w:after="0" w:line="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Report on Form 10-Q, and (C) such other information as may be reasonably requested in order to avail such Lender of any rule or regulation of the SEC that permits the selling of any such Registrable Securities without registration.</w:t>
      </w:r>
    </w:p>
    <w:p>
      <w:pPr>
        <w:spacing w:after="0" w:line="224" w:lineRule="exact"/>
        <w:rPr>
          <w:sz w:val="20"/>
          <w:szCs w:val="20"/>
          <w:color w:val="auto"/>
        </w:rPr>
      </w:pPr>
    </w:p>
    <w:p>
      <w:pPr>
        <w:ind w:left="1000" w:hanging="344"/>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Obligations of the Lenders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firstLine="1305"/>
        <w:spacing w:after="0" w:line="255" w:lineRule="auto"/>
        <w:tabs>
          <w:tab w:leader="none" w:pos="1712"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Lender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the Company shall notify each Lender of the information the Company requires from such Lender if such Lender elects to have any of the Registrable Securities included in the Registration Statement. An Lender shall provide such information to the Company at least two (2) Business Days prior to the first anticipated filing date of such Registration Statement if such Lender elects to have any of the Registrable Securities included in the Registration Statement.</w:t>
      </w:r>
    </w:p>
    <w:p>
      <w:pPr>
        <w:spacing w:after="0" w:line="243" w:lineRule="exact"/>
        <w:rPr>
          <w:rFonts w:ascii="Arial" w:cs="Arial" w:eastAsia="Arial" w:hAnsi="Arial"/>
          <w:sz w:val="18"/>
          <w:szCs w:val="18"/>
          <w:color w:val="auto"/>
        </w:rPr>
      </w:pPr>
    </w:p>
    <w:p>
      <w:pPr>
        <w:ind w:right="160" w:firstLine="1305"/>
        <w:spacing w:after="0" w:line="264" w:lineRule="auto"/>
        <w:tabs>
          <w:tab w:leader="none" w:pos="1722"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Lender, by its acceptance of the Registrable Securities agrees to cooperate with the Company as reasonably requested by the Company in connection with the preparation and filing of a Registration Statement hereunder, unless such Lender has notified the Company in writing of its election to exclude all of its Registrable Securities from such Registration Statement.</w:t>
      </w:r>
    </w:p>
    <w:p>
      <w:pPr>
        <w:spacing w:after="0" w:line="235" w:lineRule="exact"/>
        <w:rPr>
          <w:rFonts w:ascii="Arial" w:cs="Arial" w:eastAsia="Arial" w:hAnsi="Arial"/>
          <w:sz w:val="18"/>
          <w:szCs w:val="18"/>
          <w:color w:val="auto"/>
        </w:rPr>
      </w:pPr>
    </w:p>
    <w:p>
      <w:pPr>
        <w:ind w:right="40" w:firstLine="1305"/>
        <w:spacing w:after="0" w:line="259" w:lineRule="auto"/>
        <w:tabs>
          <w:tab w:leader="none" w:pos="1712"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Lender agrees that, upon receipt of any notice from the Company of either (i) the commencement of an Allowed Delay pursuant to Section 2(c)(ii) or (ii) the happening of an event pursuant to Section 3(h) hereof, such Lender will immediately discontinue disposition of Registrable Securities pursuant to the Registration Statement covering such Registrable Securities, until the Lender is advised by the Company that such dispositions may again be made.</w:t>
      </w:r>
    </w:p>
    <w:p>
      <w:pPr>
        <w:spacing w:after="0" w:line="240" w:lineRule="exact"/>
        <w:rPr>
          <w:rFonts w:ascii="Arial" w:cs="Arial" w:eastAsia="Arial" w:hAnsi="Arial"/>
          <w:sz w:val="18"/>
          <w:szCs w:val="18"/>
          <w:color w:val="auto"/>
        </w:rPr>
      </w:pPr>
    </w:p>
    <w:p>
      <w:pPr>
        <w:ind w:left="1000" w:hanging="344"/>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80" w:firstLine="1305"/>
        <w:spacing w:after="0" w:line="285" w:lineRule="auto"/>
        <w:tabs>
          <w:tab w:leader="none" w:pos="1712"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xml:space="preserve">. The Company will indemnify and hold harmless each Lender and its officers, directors, members, employees and agents, successors and assigns, and each other person, if any, who controls such Lender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(ii) any blue sky application or other document executed by the Company specifically for that purpose or based upon written information furnished by the Company filed in any state or other jurisdiction in order to qualify any or all of the Registrable Securities under the securities laws thereof (any such application, document or information herein called a “Blue Sky Application”); (iii) the omission or alleged omission to state in a Blue Sky Application a material fact required to be stated therein or necessary to make the statements therein not misleading; (iv) any violation by the Company or its agents of any rule or regulation promulgated under the 1933 Act applicable to the Company or its agents and relating to action or inaction required of the Company in connection with such registration; or (v) any failure to register or qualify the Registrable Securities included in any such Registration Statement in any state where the Company or its agents has affirmatively undertaken or agreed in writing that the Company will undertake such registration or qualification on an Lender’s behalf and will reimburse such Lender, and each such officer, director or member and each such controlling person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if and to the extent that any such loss, claim, damage or liability arises out of or is based upon an untrue statement or alleged untrue statement or omission or alleged omission so made in conformity with information furnished by such Lender or any such controlling person in writing specifically for use in such Registration Statement or Prospectus.</w:t>
      </w:r>
    </w:p>
    <w:p>
      <w:pPr>
        <w:spacing w:after="0" w:line="229" w:lineRule="exact"/>
        <w:rPr>
          <w:rFonts w:ascii="Arial" w:cs="Arial" w:eastAsia="Arial" w:hAnsi="Arial"/>
          <w:sz w:val="16"/>
          <w:szCs w:val="16"/>
          <w:color w:val="auto"/>
        </w:rPr>
      </w:pPr>
    </w:p>
    <w:p>
      <w:pPr>
        <w:ind w:right="60" w:firstLine="1305"/>
        <w:spacing w:after="0" w:line="270" w:lineRule="auto"/>
        <w:tabs>
          <w:tab w:leader="none" w:pos="1722"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Each Lender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the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such Lender to the Company specifically for inclusion in such Registration Statement or Prospectus or amendment or supplement thereto. In no event shall the liability of an Lender be greater in amount than the dollar amount of the proceeds (net of all expenses paid by such Lender in connection with any claim relating to this Section 6 and the amount of any damages such Lender has otherwise been required to pay by reason of such untrue statement or omission) received by such Lender upon the sale of the Registrable Securities included in the Registration Statement giving rise to such indemnification obligation.</w:t>
      </w:r>
    </w:p>
    <w:p>
      <w:pPr>
        <w:spacing w:after="0" w:line="231" w:lineRule="exact"/>
        <w:rPr>
          <w:rFonts w:ascii="Arial" w:cs="Arial" w:eastAsia="Arial" w:hAnsi="Arial"/>
          <w:sz w:val="17"/>
          <w:szCs w:val="17"/>
          <w:color w:val="auto"/>
        </w:rPr>
      </w:pPr>
    </w:p>
    <w:p>
      <w:pPr>
        <w:ind w:right="20" w:firstLine="1305"/>
        <w:spacing w:after="0" w:line="286" w:lineRule="auto"/>
        <w:tabs>
          <w:tab w:leader="none" w:pos="1712"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225" w:lineRule="exact"/>
        <w:rPr>
          <w:rFonts w:ascii="Arial" w:cs="Arial" w:eastAsia="Arial" w:hAnsi="Arial"/>
          <w:sz w:val="16"/>
          <w:szCs w:val="16"/>
          <w:color w:val="auto"/>
        </w:rPr>
      </w:pPr>
    </w:p>
    <w:p>
      <w:pPr>
        <w:ind w:right="60" w:firstLine="1305"/>
        <w:spacing w:after="0" w:line="293" w:lineRule="auto"/>
        <w:tabs>
          <w:tab w:leader="none" w:pos="1722"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be greater in amount than the dollar amount of the proceeds (net of all expenses paid by</w:t>
      </w:r>
    </w:p>
    <w:p>
      <w:pPr>
        <w:sectPr>
          <w:pgSz w:w="11900" w:h="16853" w:orient="portrait"/>
          <w:cols w:equalWidth="0" w:num="1">
            <w:col w:w="11420"/>
          </w:cols>
          <w:pgMar w:left="240" w:top="125" w:right="239" w:bottom="0" w:gutter="0" w:footer="0" w:header="0"/>
        </w:sectPr>
      </w:pPr>
    </w:p>
    <w:bookmarkStart w:id="28" w:name="page29"/>
    <w:bookmarkEnd w:id="28"/>
    <w:p>
      <w:pPr>
        <w:ind w:right="140"/>
        <w:spacing w:after="0" w:line="264" w:lineRule="auto"/>
        <w:rPr>
          <w:sz w:val="20"/>
          <w:szCs w:val="20"/>
          <w:color w:val="auto"/>
        </w:rPr>
      </w:pPr>
      <w:r>
        <w:rPr>
          <w:rFonts w:ascii="Arial" w:cs="Arial" w:eastAsia="Arial" w:hAnsi="Arial"/>
          <w:sz w:val="18"/>
          <w:szCs w:val="18"/>
          <w:color w:val="auto"/>
        </w:rPr>
        <w:t>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235" w:lineRule="exact"/>
        <w:rPr>
          <w:sz w:val="20"/>
          <w:szCs w:val="20"/>
          <w:color w:val="auto"/>
        </w:rPr>
      </w:pPr>
    </w:p>
    <w:p>
      <w:pPr>
        <w:ind w:left="1000" w:hanging="344"/>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260" w:firstLine="1305"/>
        <w:spacing w:after="0" w:line="264" w:lineRule="auto"/>
        <w:tabs>
          <w:tab w:leader="none" w:pos="171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be amended only by a writing signed by the Company and the Required Lenders. The Company may take any action herein prohibited, or omit to perform any act herein required to be performed by it, only if the Company shall have obtained the written consent to such amendment, action or omission to act, of the Required Lenders.</w:t>
      </w:r>
    </w:p>
    <w:p>
      <w:pPr>
        <w:spacing w:after="0" w:line="235" w:lineRule="exact"/>
        <w:rPr>
          <w:rFonts w:ascii="Arial" w:cs="Arial" w:eastAsia="Arial" w:hAnsi="Arial"/>
          <w:sz w:val="18"/>
          <w:szCs w:val="18"/>
          <w:color w:val="auto"/>
        </w:rPr>
      </w:pPr>
    </w:p>
    <w:p>
      <w:pPr>
        <w:ind w:left="1740" w:hanging="435"/>
        <w:spacing w:after="0"/>
        <w:tabs>
          <w:tab w:leader="none" w:pos="1740"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provided for or permitted hereunder shall be made as set forth in the Purchase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64" w:lineRule="exact"/>
        <w:rPr>
          <w:rFonts w:ascii="Arial" w:cs="Arial" w:eastAsia="Arial" w:hAnsi="Arial"/>
          <w:sz w:val="17"/>
          <w:szCs w:val="17"/>
          <w:color w:val="auto"/>
        </w:rPr>
      </w:pPr>
    </w:p>
    <w:p>
      <w:pPr>
        <w:ind w:right="120" w:firstLine="1305"/>
        <w:spacing w:after="0" w:line="279" w:lineRule="auto"/>
        <w:tabs>
          <w:tab w:leader="none" w:pos="1712"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Assignments and Transfers by Lenders</w:t>
      </w:r>
      <w:r>
        <w:rPr>
          <w:rFonts w:ascii="Arial" w:cs="Arial" w:eastAsia="Arial" w:hAnsi="Arial"/>
          <w:sz w:val="17"/>
          <w:szCs w:val="17"/>
          <w:color w:val="auto"/>
        </w:rPr>
        <w:t>. The provisions of this Agreement shall be binding upon and inure to the benefit of the Lenders and their respective successors and assigns. A Lender may transfer or assign, in whole or from time to time in part, to one or more persons its rights hereunder in connection with the transfer of Registrable Securities by such Lender to such person, provided that such Lender complies with all laws applicable thereto and provides written notice of assignment to the Company promptly after such assignment is effected.</w:t>
      </w:r>
    </w:p>
    <w:p>
      <w:pPr>
        <w:spacing w:after="0" w:line="225" w:lineRule="exact"/>
        <w:rPr>
          <w:rFonts w:ascii="Arial" w:cs="Arial" w:eastAsia="Arial" w:hAnsi="Arial"/>
          <w:sz w:val="17"/>
          <w:szCs w:val="17"/>
          <w:color w:val="auto"/>
        </w:rPr>
      </w:pPr>
    </w:p>
    <w:p>
      <w:pPr>
        <w:ind w:right="40" w:firstLine="1305"/>
        <w:spacing w:after="0" w:line="255" w:lineRule="auto"/>
        <w:tabs>
          <w:tab w:leader="none" w:pos="172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This Agreement may not be assigned by the Company (whether by operation of law or otherwise) without the prior written consent of the Required Lenders,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Lenders in connection with such transaction unless such securities are otherwise freely tradable by the Lenders after giving effect to such transaction.</w:t>
      </w:r>
    </w:p>
    <w:p>
      <w:pPr>
        <w:spacing w:after="0" w:line="243" w:lineRule="exact"/>
        <w:rPr>
          <w:rFonts w:ascii="Arial" w:cs="Arial" w:eastAsia="Arial" w:hAnsi="Arial"/>
          <w:sz w:val="18"/>
          <w:szCs w:val="18"/>
          <w:color w:val="auto"/>
        </w:rPr>
      </w:pPr>
    </w:p>
    <w:p>
      <w:pPr>
        <w:ind w:right="80" w:firstLine="1305"/>
        <w:spacing w:after="0" w:line="259" w:lineRule="auto"/>
        <w:tabs>
          <w:tab w:leader="none" w:pos="171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240" w:lineRule="exact"/>
        <w:rPr>
          <w:rFonts w:ascii="Arial" w:cs="Arial" w:eastAsia="Arial" w:hAnsi="Arial"/>
          <w:sz w:val="18"/>
          <w:szCs w:val="18"/>
          <w:color w:val="auto"/>
        </w:rPr>
      </w:pPr>
    </w:p>
    <w:p>
      <w:pPr>
        <w:ind w:right="20" w:firstLine="1305"/>
        <w:spacing w:after="0" w:line="342" w:lineRule="auto"/>
        <w:tabs>
          <w:tab w:leader="none" w:pos="1692"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Counterparts; Faxes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This Agreement may also be executed via facsimile, which shall be deemed an original.</w:t>
      </w:r>
    </w:p>
    <w:p>
      <w:pPr>
        <w:spacing w:after="0" w:line="177" w:lineRule="exact"/>
        <w:rPr>
          <w:rFonts w:ascii="Arial" w:cs="Arial" w:eastAsia="Arial" w:hAnsi="Arial"/>
          <w:sz w:val="16"/>
          <w:szCs w:val="16"/>
          <w:color w:val="auto"/>
        </w:rPr>
      </w:pPr>
    </w:p>
    <w:p>
      <w:pPr>
        <w:ind w:right="380" w:firstLine="1305"/>
        <w:spacing w:after="0" w:line="277" w:lineRule="auto"/>
        <w:tabs>
          <w:tab w:leader="none" w:pos="172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224" w:lineRule="exact"/>
        <w:rPr>
          <w:rFonts w:ascii="Arial" w:cs="Arial" w:eastAsia="Arial" w:hAnsi="Arial"/>
          <w:sz w:val="18"/>
          <w:szCs w:val="18"/>
          <w:color w:val="auto"/>
        </w:rPr>
      </w:pPr>
    </w:p>
    <w:p>
      <w:pPr>
        <w:ind w:right="80" w:firstLine="1305"/>
        <w:spacing w:after="0" w:line="276" w:lineRule="auto"/>
        <w:tabs>
          <w:tab w:leader="none" w:pos="1722"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226" w:lineRule="exact"/>
        <w:rPr>
          <w:rFonts w:ascii="Arial" w:cs="Arial" w:eastAsia="Arial" w:hAnsi="Arial"/>
          <w:sz w:val="17"/>
          <w:szCs w:val="17"/>
          <w:color w:val="auto"/>
        </w:rPr>
      </w:pPr>
    </w:p>
    <w:p>
      <w:pPr>
        <w:ind w:firstLine="1305"/>
        <w:spacing w:after="0" w:line="342" w:lineRule="auto"/>
        <w:tabs>
          <w:tab w:leader="none" w:pos="1682"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77" w:lineRule="exact"/>
        <w:rPr>
          <w:rFonts w:ascii="Arial" w:cs="Arial" w:eastAsia="Arial" w:hAnsi="Arial"/>
          <w:sz w:val="16"/>
          <w:szCs w:val="16"/>
          <w:color w:val="auto"/>
        </w:rPr>
      </w:pPr>
    </w:p>
    <w:p>
      <w:pPr>
        <w:ind w:right="240" w:firstLine="1305"/>
        <w:spacing w:after="0" w:line="264" w:lineRule="auto"/>
        <w:tabs>
          <w:tab w:leader="none" w:pos="168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235" w:lineRule="exact"/>
        <w:rPr>
          <w:rFonts w:ascii="Arial" w:cs="Arial" w:eastAsia="Arial" w:hAnsi="Arial"/>
          <w:sz w:val="18"/>
          <w:szCs w:val="18"/>
          <w:color w:val="auto"/>
        </w:rPr>
      </w:pPr>
    </w:p>
    <w:p>
      <w:pPr>
        <w:ind w:right="20" w:firstLine="1305"/>
        <w:spacing w:after="0" w:line="284" w:lineRule="auto"/>
        <w:tabs>
          <w:tab w:leader="none" w:pos="1722"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This Agreement shall be governed by, and construed in accordance with, the internal laws of the State of California without regard to the choice of law principles thereof. Each of the parties hereto irrevocably submits to the exclusive jurisdiction of the courts of the State of California and the United States District Court for the Northern District of California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w:t>
      </w:r>
    </w:p>
    <w:p>
      <w:pPr>
        <w:spacing w:after="0" w:line="1" w:lineRule="exact"/>
        <w:rPr>
          <w:rFonts w:ascii="Arial" w:cs="Arial" w:eastAsia="Arial" w:hAnsi="Arial"/>
          <w:sz w:val="16"/>
          <w:szCs w:val="16"/>
          <w:color w:val="auto"/>
        </w:rPr>
      </w:pPr>
    </w:p>
    <w:p>
      <w:pPr>
        <w:ind w:right="36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EACH OF THE PARTIES HERETO WAIVES ANY RIGHT TO REQUEST A TRIAL BY JURY IN ANY LITIGATION WITH RESPECT TO THIS AGREEMENT AND REPRESENTS THAT COUNSEL HAS BEEN CONSULTED SPECIFICALLY AS TO THIS WAIVER.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The Company:</w:t>
            </w:r>
          </w:p>
        </w:tc>
        <w:tc>
          <w:tcPr>
            <w:tcW w:w="1400" w:type="dxa"/>
            <w:vAlign w:val="bottom"/>
          </w:tcPr>
          <w:p>
            <w:pPr>
              <w:spacing w:after="0"/>
              <w:rPr>
                <w:sz w:val="20"/>
                <w:szCs w:val="20"/>
                <w:color w:val="auto"/>
              </w:rPr>
            </w:pPr>
          </w:p>
        </w:tc>
        <w:tc>
          <w:tcPr>
            <w:tcW w:w="3100" w:type="dxa"/>
            <w:vAlign w:val="bottom"/>
            <w:gridSpan w:val="2"/>
          </w:tcPr>
          <w:p>
            <w:pPr>
              <w:ind w:left="400"/>
              <w:spacing w:after="0"/>
              <w:rPr>
                <w:sz w:val="20"/>
                <w:szCs w:val="20"/>
                <w:color w:val="auto"/>
              </w:rPr>
            </w:pPr>
            <w:r>
              <w:rPr>
                <w:rFonts w:ascii="Arial" w:cs="Arial" w:eastAsia="Arial" w:hAnsi="Arial"/>
                <w:sz w:val="18"/>
                <w:szCs w:val="18"/>
                <w:color w:val="auto"/>
                <w:w w:val="95"/>
              </w:rPr>
              <w:t>VISTAGEN THERAPEUTICS, INC.</w:t>
            </w:r>
          </w:p>
        </w:tc>
      </w:tr>
      <w:tr>
        <w:trPr>
          <w:trHeight w:val="905"/>
        </w:trPr>
        <w:tc>
          <w:tcPr>
            <w:tcW w:w="2160" w:type="dxa"/>
            <w:vAlign w:val="bottom"/>
          </w:tcPr>
          <w:p>
            <w:pPr>
              <w:spacing w:after="0"/>
              <w:rPr>
                <w:sz w:val="24"/>
                <w:szCs w:val="24"/>
                <w:color w:val="auto"/>
              </w:rPr>
            </w:pPr>
          </w:p>
        </w:tc>
        <w:tc>
          <w:tcPr>
            <w:tcW w:w="4500" w:type="dxa"/>
            <w:vAlign w:val="bottom"/>
            <w:gridSpan w:val="3"/>
          </w:tcPr>
          <w:p>
            <w:pPr>
              <w:ind w:left="1080"/>
              <w:spacing w:after="0"/>
              <w:rPr>
                <w:sz w:val="20"/>
                <w:szCs w:val="20"/>
                <w:color w:val="auto"/>
              </w:rPr>
            </w:pPr>
            <w:r>
              <w:rPr>
                <w:rFonts w:ascii="Arial" w:cs="Arial" w:eastAsia="Arial" w:hAnsi="Arial"/>
                <w:sz w:val="18"/>
                <w:szCs w:val="18"/>
                <w:color w:val="auto"/>
                <w:w w:val="96"/>
              </w:rPr>
              <w:t>By: /s/ Shawn Singh___________________</w:t>
            </w:r>
          </w:p>
        </w:tc>
      </w:tr>
      <w:tr>
        <w:trPr>
          <w:trHeight w:val="20"/>
        </w:trPr>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2"/>
        </w:trPr>
        <w:tc>
          <w:tcPr>
            <w:tcW w:w="2160" w:type="dxa"/>
            <w:vAlign w:val="bottom"/>
          </w:tcPr>
          <w:p>
            <w:pPr>
              <w:spacing w:after="0"/>
              <w:rPr>
                <w:sz w:val="19"/>
                <w:szCs w:val="19"/>
                <w:color w:val="auto"/>
              </w:rPr>
            </w:pPr>
          </w:p>
        </w:tc>
        <w:tc>
          <w:tcPr>
            <w:tcW w:w="4500" w:type="dxa"/>
            <w:vAlign w:val="bottom"/>
            <w:gridSpan w:val="3"/>
          </w:tcPr>
          <w:p>
            <w:pPr>
              <w:ind w:left="1080"/>
              <w:spacing w:after="0"/>
              <w:rPr>
                <w:sz w:val="20"/>
                <w:szCs w:val="20"/>
                <w:color w:val="auto"/>
              </w:rPr>
            </w:pPr>
            <w:r>
              <w:rPr>
                <w:rFonts w:ascii="Arial" w:cs="Arial" w:eastAsia="Arial" w:hAnsi="Arial"/>
                <w:sz w:val="18"/>
                <w:szCs w:val="18"/>
                <w:color w:val="auto"/>
              </w:rPr>
              <w:t>Name: Shawn Singh</w:t>
            </w:r>
          </w:p>
        </w:tc>
      </w:tr>
      <w:tr>
        <w:trPr>
          <w:trHeight w:val="230"/>
        </w:trPr>
        <w:tc>
          <w:tcPr>
            <w:tcW w:w="2160" w:type="dxa"/>
            <w:vAlign w:val="bottom"/>
          </w:tcPr>
          <w:p>
            <w:pPr>
              <w:spacing w:after="0"/>
              <w:rPr>
                <w:sz w:val="20"/>
                <w:szCs w:val="20"/>
                <w:color w:val="auto"/>
              </w:rPr>
            </w:pPr>
          </w:p>
        </w:tc>
        <w:tc>
          <w:tcPr>
            <w:tcW w:w="4500" w:type="dxa"/>
            <w:vAlign w:val="bottom"/>
            <w:gridSpan w:val="3"/>
          </w:tcPr>
          <w:p>
            <w:pPr>
              <w:ind w:left="1080"/>
              <w:spacing w:after="0"/>
              <w:rPr>
                <w:sz w:val="20"/>
                <w:szCs w:val="20"/>
                <w:color w:val="auto"/>
              </w:rPr>
            </w:pPr>
            <w:r>
              <w:rPr>
                <w:rFonts w:ascii="Arial" w:cs="Arial" w:eastAsia="Arial" w:hAnsi="Arial"/>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upperLetter"/>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lowerLetter"/>
      <w:start w:val="1"/>
    </w:lvl>
  </w:abstractNum>
  <w:abstractNum w:abstractNumId="4">
    <w:nsid w:val="189A769B"/>
    <w:multiLevelType w:val="hybridMultilevel"/>
    <w:lvl w:ilvl="0">
      <w:lvlJc w:val="left"/>
      <w:lvlText w:val="(%1)"/>
      <w:numFmt w:val="lowerLetter"/>
      <w:start w:val="4"/>
    </w:lvl>
  </w:abstractNum>
  <w:abstractNum w:abstractNumId="5">
    <w:nsid w:val="54E49EB4"/>
    <w:multiLevelType w:val="hybridMultilevel"/>
    <w:lvl w:ilvl="0">
      <w:lvlJc w:val="left"/>
      <w:lvlText w:val="(%1)"/>
      <w:numFmt w:val="lowerLetter"/>
      <w:start w:val="6"/>
    </w:lvl>
    <w:lvl w:ilvl="1">
      <w:lvlJc w:val="left"/>
      <w:lvlText w:val="(%2)"/>
      <w:numFmt w:val="lowerLetter"/>
      <w:start w:val="7"/>
    </w:lvl>
  </w:abstractNum>
  <w:abstractNum w:abstractNumId="6">
    <w:nsid w:val="71F32454"/>
    <w:multiLevelType w:val="hybridMultilevel"/>
    <w:lvl w:ilvl="0">
      <w:lvlJc w:val="left"/>
      <w:lvlText w:val="%1"/>
      <w:numFmt w:val="lowerLetter"/>
      <w:start w:val="1"/>
    </w:lvl>
    <w:lvl w:ilvl="1">
      <w:lvlJc w:val="left"/>
      <w:lvlText w:val="(%2)"/>
      <w:numFmt w:val="lowerLetter"/>
      <w:start w:val="11"/>
    </w:lvl>
  </w:abstractNum>
  <w:abstractNum w:abstractNumId="7">
    <w:nsid w:val="2CA88611"/>
    <w:multiLevelType w:val="hybridMultilevel"/>
    <w:lvl w:ilvl="0">
      <w:lvlJc w:val="left"/>
      <w:lvlText w:val="(%1)"/>
      <w:numFmt w:val="lowerLetter"/>
      <w:start w:val="1"/>
    </w:lvl>
    <w:lvl w:ilvl="1">
      <w:lvlJc w:val="left"/>
      <w:lvlText w:val="(%2)"/>
      <w:numFmt w:val="lowerLetter"/>
      <w:start w:val="13"/>
    </w:lvl>
  </w:abstractNum>
  <w:abstractNum w:abstractNumId="8">
    <w:nsid w:val="836C40E"/>
    <w:multiLevelType w:val="hybridMultilevel"/>
    <w:lvl w:ilvl="0">
      <w:lvlJc w:val="left"/>
      <w:lvlText w:val="(%1)"/>
      <w:numFmt w:val="lowerLetter"/>
      <w:start w:val="22"/>
    </w:lvl>
  </w:abstractNum>
  <w:abstractNum w:abstractNumId="9">
    <w:nsid w:val="2901D82"/>
    <w:multiLevelType w:val="hybridMultilevel"/>
    <w:lvl w:ilvl="0">
      <w:lvlJc w:val="left"/>
      <w:lvlText w:val="%1."/>
      <w:numFmt w:val="decimal"/>
      <w:start w:val="4"/>
    </w:lvl>
  </w:abstractNum>
  <w:abstractNum w:abstractNumId="10">
    <w:nsid w:val="3A95F874"/>
    <w:multiLevelType w:val="hybridMultilevel"/>
    <w:lvl w:ilvl="0">
      <w:lvlJc w:val="left"/>
      <w:lvlText w:val="%1"/>
      <w:numFmt w:val="lowerLetter"/>
      <w:start w:val="1"/>
    </w:lvl>
    <w:lvl w:ilvl="1">
      <w:lvlJc w:val="left"/>
      <w:lvlText w:val="(%2)"/>
      <w:numFmt w:val="lowerLetter"/>
      <w:start w:val="1"/>
    </w:lvl>
  </w:abstractNum>
  <w:abstractNum w:abstractNumId="11">
    <w:nsid w:val="8138641"/>
    <w:multiLevelType w:val="hybridMultilevel"/>
    <w:lvl w:ilvl="0">
      <w:lvlJc w:val="left"/>
      <w:lvlText w:val="(%1)"/>
      <w:numFmt w:val="lowerLetter"/>
      <w:start w:val="61"/>
    </w:lvl>
    <w:lvl w:ilvl="1">
      <w:lvlJc w:val="left"/>
      <w:lvlText w:val="(%2)"/>
      <w:numFmt w:val="lowerLetter"/>
      <w:start w:val="6"/>
    </w:lvl>
  </w:abstractNum>
  <w:abstractNum w:abstractNumId="12">
    <w:nsid w:val="1E7FF521"/>
    <w:multiLevelType w:val="hybridMultilevel"/>
    <w:lvl w:ilvl="0">
      <w:lvlJc w:val="left"/>
      <w:lvlText w:val="(%1)"/>
      <w:numFmt w:val="lowerLetter"/>
      <w:start w:val="8"/>
    </w:lvl>
  </w:abstractNum>
  <w:abstractNum w:abstractNumId="13">
    <w:nsid w:val="7C3DBD3D"/>
    <w:multiLevelType w:val="hybridMultilevel"/>
    <w:lvl w:ilvl="0">
      <w:lvlJc w:val="left"/>
      <w:lvlText w:val="%1."/>
      <w:numFmt w:val="decimal"/>
      <w:start w:val="5"/>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decimal"/>
      <w:start w:val="6"/>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decimal"/>
      <w:start w:val="7"/>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decimal"/>
      <w:start w:val="8"/>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decimal"/>
      <w:start w:val="9"/>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5"/>
    </w:lvl>
  </w:abstractNum>
  <w:abstractNum w:abstractNumId="24">
    <w:nsid w:val="3804823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5">
    <w:nsid w:val="77465F01"/>
    <w:multiLevelType w:val="hybridMultilevel"/>
    <w:lvl w:ilvl="0">
      <w:lvlJc w:val="left"/>
      <w:lvlText w:val="%1"/>
      <w:numFmt w:val="lowerLetter"/>
      <w:start w:val="1"/>
    </w:lvl>
    <w:lvl w:ilvl="1">
      <w:lvlJc w:val="left"/>
      <w:lvlText w:val="%2."/>
      <w:numFmt w:val="decimal"/>
      <w:start w:val="6"/>
    </w:lvl>
    <w:lvl w:ilvl="2">
      <w:lvlJc w:val="left"/>
      <w:lvlText w:val="%3"/>
      <w:numFmt w:val="decimal"/>
      <w:start w:val="1"/>
    </w:lvl>
  </w:abstractNum>
  <w:abstractNum w:abstractNumId="26">
    <w:nsid w:val="7724C67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7">
    <w:nsid w:val="5C482A97"/>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28">
    <w:nsid w:val="2463B9EA"/>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29">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Letter"/>
      <w:start w:val="61"/>
    </w:lvl>
  </w:abstractNum>
  <w:abstractNum w:abstractNumId="30">
    <w:nsid w:val="51EAD36B"/>
    <w:multiLevelType w:val="hybridMultilevel"/>
    <w:lvl w:ilvl="0">
      <w:lvlJc w:val="left"/>
      <w:lvlText w:val="(%1)"/>
      <w:numFmt w:val="lowerLetter"/>
      <w:start w:val="2"/>
    </w:lvl>
    <w:lvl w:ilvl="1">
      <w:lvlJc w:val="left"/>
      <w:lvlText w:val="(%2)"/>
      <w:numFmt w:val="lowerLetter"/>
      <w:start w:val="3"/>
    </w:lvl>
    <w:lvl w:ilvl="2">
      <w:lvlJc w:val="left"/>
      <w:lvlText w:val="%3."/>
      <w:numFmt w:val="decimal"/>
      <w:start w:val="7"/>
    </w:lvl>
    <w:lvl w:ilvl="3">
      <w:lvlJc w:val="left"/>
      <w:lvlText w:val="(%4)"/>
      <w:numFmt w:val="lowerLetter"/>
      <w:start w:val="1"/>
    </w:lvl>
    <w:lvl w:ilvl="4">
      <w:lvlJc w:val="left"/>
      <w:lvlText w:val="%5"/>
      <w:numFmt w:val="lowerLetter"/>
      <w:start w:val="1"/>
    </w:lvl>
  </w:abstractNum>
  <w:abstractNum w:abstractNumId="31">
    <w:nsid w:val="2D517796"/>
    <w:multiLevelType w:val="hybridMultilevel"/>
    <w:lvl w:ilvl="0">
      <w:lvlJc w:val="left"/>
      <w:lvlText w:val="%1"/>
      <w:numFmt w:val="decimal"/>
      <w:start w:val="1"/>
    </w:lvl>
    <w:lvl w:ilvl="1">
      <w:lvlJc w:val="left"/>
      <w:lvlText w:val="(%2)"/>
      <w:numFmt w:val="lowerLetter"/>
      <w:start w:val="4"/>
    </w:lvl>
  </w:abstractNum>
  <w:abstractNum w:abstractNumId="32">
    <w:nsid w:val="580BD78F"/>
    <w:multiLevelType w:val="hybridMultilevel"/>
    <w:lvl w:ilvl="0">
      <w:lvlJc w:val="left"/>
      <w:lvlText w:val="%1."/>
      <w:numFmt w:val="decimal"/>
      <w:start w:val="8"/>
    </w:lvl>
    <w:lvl w:ilvl="1">
      <w:lvlJc w:val="left"/>
      <w:lvlText w:val="%2"/>
      <w:numFmt w:val="lowerLetter"/>
      <w:start w:val="1"/>
    </w:lvl>
  </w:abstractNum>
  <w:abstractNum w:abstractNumId="33">
    <w:nsid w:val="153EA438"/>
    <w:multiLevelType w:val="hybridMultilevel"/>
    <w:lvl w:ilvl="0">
      <w:lvlJc w:val="left"/>
      <w:lvlText w:val="%1."/>
      <w:numFmt w:val="decimal"/>
      <w:start w:val="13"/>
    </w:lvl>
  </w:abstractNum>
  <w:abstractNum w:abstractNumId="34">
    <w:nsid w:val="3855585C"/>
    <w:multiLevelType w:val="hybridMultilevel"/>
    <w:lvl w:ilvl="0">
      <w:lvlJc w:val="left"/>
      <w:lvlText w:val="%1."/>
      <w:numFmt w:val="decimal"/>
      <w:start w:val="20"/>
    </w:lvl>
    <w:lvl w:ilvl="1">
      <w:lvlJc w:val="left"/>
      <w:lvlText w:val="(%2)"/>
      <w:numFmt w:val="lowerLetter"/>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3"/>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5"/>
    </w:lvl>
  </w:abstractNum>
  <w:abstractNum w:abstractNumId="39">
    <w:nsid w:val="725A06FB"/>
    <w:multiLevelType w:val="hybridMultilevel"/>
    <w:lvl w:ilvl="0">
      <w:lvlJc w:val="left"/>
      <w:lvlText w:val="%1."/>
      <w:numFmt w:val="decimal"/>
      <w:start w:val="1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2">
    <w:nsid w:val="7A6D8D3C"/>
    <w:multiLevelType w:val="hybridMultilevel"/>
    <w:lvl w:ilvl="0">
      <w:lvlJc w:val="left"/>
      <w:lvlText w:val="(%1)"/>
      <w:numFmt w:val="lowerLetter"/>
      <w:start w:val="2"/>
    </w:lvl>
    <w:lvl w:ilvl="1">
      <w:lvlJc w:val="left"/>
      <w:lvlText w:val="(%2)"/>
      <w:numFmt w:val="lowerRoman"/>
      <w:start w:val="1"/>
    </w:lvl>
  </w:abstractNum>
  <w:abstractNum w:abstractNumId="43">
    <w:nsid w:val="4B588F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44">
    <w:nsid w:val="542289E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5">
    <w:nsid w:val="6DE91B1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abstractNum>
  <w:abstractNum w:abstractNumId="46">
    <w:nsid w:val="38437FDB"/>
    <w:multiLevelType w:val="hybridMultilevel"/>
    <w:lvl w:ilvl="0">
      <w:lvlJc w:val="left"/>
      <w:lvlText w:val="%1."/>
      <w:numFmt w:val="decimal"/>
      <w:start w:val="4"/>
    </w:lvl>
    <w:lvl w:ilvl="1">
      <w:lvlJc w:val="left"/>
      <w:lvlText w:val="(%2)"/>
      <w:numFmt w:val="lowerLetter"/>
      <w:start w:val="1"/>
    </w:lvl>
  </w:abstractNum>
  <w:abstractNum w:abstractNumId="47">
    <w:nsid w:val="7644A45C"/>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2020-02-25T20:08:34Z</dcterms:created>
  <dcterms:modified xsi:type="dcterms:W3CDTF">2020-02-25T20:08:34Z</dcterms:modified>
</cp:coreProperties>
</file>