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189230</wp:posOffset>
            </wp:positionH>
            <wp:positionV relativeFrom="page">
              <wp:posOffset>237490</wp:posOffset>
            </wp:positionV>
            <wp:extent cx="717042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312420</wp:posOffset>
            </wp:positionV>
            <wp:extent cx="7170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0420" cy="6350"/>
                    </a:xfrm>
                    <a:prstGeom prst="rect">
                      <a:avLst/>
                    </a:prstGeom>
                    <a:noFill/>
                  </pic:spPr>
                </pic:pic>
              </a:graphicData>
            </a:graphic>
          </wp:anchor>
        </w:drawing>
        <w:t>UNITED STATES</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SECURITIES AND EXCHANGE COMMISSION</w:t>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Washington, D.C. 20549</w:t>
      </w:r>
    </w:p>
    <w:p>
      <w:pPr>
        <w:spacing w:after="0" w:line="154"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FORM 8-K</w:t>
      </w:r>
    </w:p>
    <w:p>
      <w:pPr>
        <w:spacing w:after="0" w:line="163"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CURRENT REPORT</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6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 xml:space="preserve">Date of Report (Date of earliest event reported): </w:t>
      </w:r>
      <w:r>
        <w:rPr>
          <w:rFonts w:ascii="Arial" w:cs="Arial" w:eastAsia="Arial" w:hAnsi="Arial"/>
          <w:sz w:val="13"/>
          <w:szCs w:val="13"/>
          <w:b w:val="1"/>
          <w:bCs w:val="1"/>
          <w:u w:val="single" w:color="auto"/>
          <w:color w:val="auto"/>
        </w:rPr>
        <w:t>May 27, 2020</w:t>
      </w:r>
    </w:p>
    <w:p>
      <w:pPr>
        <w:spacing w:after="0" w:line="15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VistaGen Therapeutics, Inc.</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282"/>
          </w:cols>
          <w:pgMar w:left="298" w:top="706" w:right="319" w:bottom="1440" w:gutter="0" w:footer="0" w:header="0"/>
        </w:sectPr>
      </w:pPr>
    </w:p>
    <w:p>
      <w:pPr>
        <w:spacing w:after="0" w:line="149" w:lineRule="exact"/>
        <w:rPr>
          <w:sz w:val="24"/>
          <w:szCs w:val="24"/>
          <w:color w:val="auto"/>
        </w:rPr>
      </w:pPr>
    </w:p>
    <w:p>
      <w:pPr>
        <w:jc w:val="center"/>
        <w:ind w:right="498"/>
        <w:spacing w:after="0"/>
        <w:rPr>
          <w:sz w:val="20"/>
          <w:szCs w:val="20"/>
          <w:color w:val="auto"/>
        </w:rPr>
      </w:pPr>
      <w:r>
        <w:rPr>
          <w:rFonts w:ascii="Arial" w:cs="Arial" w:eastAsia="Arial" w:hAnsi="Arial"/>
          <w:sz w:val="13"/>
          <w:szCs w:val="13"/>
          <w:b w:val="1"/>
          <w:bCs w:val="1"/>
          <w:color w:val="auto"/>
        </w:rPr>
        <w:t>NEVADA</w:t>
      </w:r>
    </w:p>
    <w:p>
      <w:pPr>
        <w:spacing w:after="0" w:line="16" w:lineRule="exact"/>
        <w:rPr>
          <w:sz w:val="24"/>
          <w:szCs w:val="24"/>
          <w:color w:val="auto"/>
        </w:rPr>
      </w:pPr>
    </w:p>
    <w:p>
      <w:pPr>
        <w:jc w:val="center"/>
        <w:ind w:right="498"/>
        <w:spacing w:after="0"/>
        <w:rPr>
          <w:sz w:val="20"/>
          <w:szCs w:val="20"/>
          <w:color w:val="auto"/>
        </w:rPr>
      </w:pPr>
      <w:r>
        <w:rPr>
          <w:rFonts w:ascii="Arial" w:cs="Arial" w:eastAsia="Arial" w:hAnsi="Arial"/>
          <w:sz w:val="12"/>
          <w:szCs w:val="12"/>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380"/>
        <w:spacing w:after="0"/>
        <w:rPr>
          <w:sz w:val="20"/>
          <w:szCs w:val="20"/>
          <w:color w:val="auto"/>
        </w:rPr>
      </w:pPr>
      <w:r>
        <w:rPr>
          <w:rFonts w:ascii="Arial" w:cs="Arial" w:eastAsia="Arial" w:hAnsi="Arial"/>
          <w:sz w:val="13"/>
          <w:szCs w:val="13"/>
          <w:b w:val="1"/>
          <w:bCs w:val="1"/>
          <w:color w:val="auto"/>
        </w:rPr>
        <w:t>000-54014</w:t>
      </w:r>
    </w:p>
    <w:p>
      <w:pPr>
        <w:spacing w:after="0" w:line="16" w:lineRule="exact"/>
        <w:rPr>
          <w:sz w:val="24"/>
          <w:szCs w:val="24"/>
          <w:color w:val="auto"/>
        </w:rPr>
      </w:pPr>
    </w:p>
    <w:p>
      <w:pPr>
        <w:jc w:val="center"/>
        <w:ind w:right="1380"/>
        <w:spacing w:after="0"/>
        <w:rPr>
          <w:sz w:val="20"/>
          <w:szCs w:val="20"/>
          <w:color w:val="auto"/>
        </w:rPr>
      </w:pPr>
      <w:r>
        <w:rPr>
          <w:rFonts w:ascii="Arial" w:cs="Arial" w:eastAsia="Arial" w:hAnsi="Arial"/>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20-5093315</w:t>
      </w:r>
    </w:p>
    <w:p>
      <w:pPr>
        <w:spacing w:after="0" w:line="16" w:lineRule="exact"/>
        <w:rPr>
          <w:sz w:val="24"/>
          <w:szCs w:val="24"/>
          <w:color w:val="auto"/>
        </w:rPr>
      </w:pPr>
    </w:p>
    <w:p>
      <w:pPr>
        <w:jc w:val="center"/>
        <w:ind w:right="880"/>
        <w:spacing w:after="0"/>
        <w:rPr>
          <w:sz w:val="20"/>
          <w:szCs w:val="20"/>
          <w:color w:val="auto"/>
        </w:rPr>
      </w:pPr>
      <w:r>
        <w:rPr>
          <w:rFonts w:ascii="Arial" w:cs="Arial" w:eastAsia="Arial" w:hAnsi="Arial"/>
          <w:sz w:val="11"/>
          <w:szCs w:val="11"/>
          <w:i w:val="1"/>
          <w:iCs w:val="1"/>
          <w:color w:val="auto"/>
        </w:rPr>
        <w:t>(IRS Employer Identification Number)</w:t>
      </w:r>
    </w:p>
    <w:p>
      <w:pPr>
        <w:spacing w:after="0" w:line="177" w:lineRule="exact"/>
        <w:rPr>
          <w:sz w:val="24"/>
          <w:szCs w:val="24"/>
          <w:color w:val="auto"/>
        </w:rPr>
      </w:pPr>
    </w:p>
    <w:p>
      <w:pPr>
        <w:sectPr>
          <w:pgSz w:w="11900" w:h="16838" w:orient="portrait"/>
          <w:cols w:equalWidth="0" w:num="3">
            <w:col w:w="4222" w:space="720"/>
            <w:col w:w="2780" w:space="720"/>
            <w:col w:w="2840"/>
          </w:cols>
          <w:pgMar w:left="298" w:top="706" w:right="319" w:bottom="1440" w:gutter="0" w:footer="0" w:header="0"/>
          <w:type w:val="continuous"/>
        </w:sectPr>
      </w:pPr>
    </w:p>
    <w:p>
      <w:pPr>
        <w:ind w:left="5182"/>
        <w:spacing w:after="0"/>
        <w:rPr>
          <w:sz w:val="20"/>
          <w:szCs w:val="20"/>
          <w:color w:val="auto"/>
        </w:rPr>
      </w:pPr>
      <w:r>
        <w:rPr>
          <w:rFonts w:ascii="Arial" w:cs="Arial" w:eastAsia="Arial" w:hAnsi="Arial"/>
          <w:sz w:val="13"/>
          <w:szCs w:val="13"/>
          <w:b w:val="1"/>
          <w:bCs w:val="1"/>
          <w:color w:val="auto"/>
        </w:rPr>
        <w:t>343 Allerton Ave.</w:t>
      </w:r>
    </w:p>
    <w:p>
      <w:pPr>
        <w:spacing w:after="0" w:line="16" w:lineRule="exact"/>
        <w:rPr>
          <w:sz w:val="24"/>
          <w:szCs w:val="24"/>
          <w:color w:val="auto"/>
        </w:rPr>
      </w:pPr>
    </w:p>
    <w:p>
      <w:pPr>
        <w:ind w:left="4602"/>
        <w:spacing w:after="0"/>
        <w:rPr>
          <w:sz w:val="20"/>
          <w:szCs w:val="20"/>
          <w:color w:val="auto"/>
        </w:rPr>
      </w:pPr>
      <w:r>
        <w:rPr>
          <w:rFonts w:ascii="Arial" w:cs="Arial" w:eastAsia="Arial" w:hAnsi="Arial"/>
          <w:sz w:val="13"/>
          <w:szCs w:val="13"/>
          <w:b w:val="1"/>
          <w:bCs w:val="1"/>
          <w:color w:val="auto"/>
        </w:rPr>
        <w:t>South San Francisco, California 94090</w:t>
      </w:r>
    </w:p>
    <w:p>
      <w:pPr>
        <w:spacing w:after="0" w:line="7" w:lineRule="exact"/>
        <w:rPr>
          <w:sz w:val="24"/>
          <w:szCs w:val="24"/>
          <w:color w:val="auto"/>
        </w:rPr>
      </w:pPr>
    </w:p>
    <w:p>
      <w:pPr>
        <w:ind w:left="4662"/>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(650) 577-3600</w:t>
      </w:r>
    </w:p>
    <w:p>
      <w:pPr>
        <w:spacing w:after="0" w:line="16" w:lineRule="exact"/>
        <w:rPr>
          <w:sz w:val="24"/>
          <w:szCs w:val="24"/>
          <w:color w:val="auto"/>
        </w:rPr>
      </w:pPr>
    </w:p>
    <w:p>
      <w:pPr>
        <w:jc w:val="center"/>
        <w:ind w:right="-21"/>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Not Applicable</w:t>
      </w:r>
    </w:p>
    <w:p>
      <w:pPr>
        <w:spacing w:after="0" w:line="16" w:lineRule="exact"/>
        <w:rPr>
          <w:sz w:val="24"/>
          <w:szCs w:val="24"/>
          <w:color w:val="auto"/>
        </w:rPr>
      </w:pPr>
    </w:p>
    <w:p>
      <w:pPr>
        <w:jc w:val="center"/>
        <w:ind w:right="-41"/>
        <w:spacing w:after="0"/>
        <w:rPr>
          <w:sz w:val="20"/>
          <w:szCs w:val="20"/>
          <w:color w:val="auto"/>
        </w:rPr>
      </w:pPr>
      <w:r>
        <w:rPr>
          <w:rFonts w:ascii="Arial" w:cs="Arial" w:eastAsia="Arial" w:hAnsi="Arial"/>
          <w:sz w:val="11"/>
          <w:szCs w:val="11"/>
          <w:i w:val="1"/>
          <w:iCs w:val="1"/>
          <w:color w:val="auto"/>
        </w:rPr>
        <w:t>(Former name or former address, if changed since last report)</w:t>
      </w:r>
    </w:p>
    <w:p>
      <w:pPr>
        <w:sectPr>
          <w:pgSz w:w="11900" w:h="16838" w:orient="portrait"/>
          <w:cols w:equalWidth="0" w:num="1">
            <w:col w:w="11282"/>
          </w:cols>
          <w:pgMar w:left="298" w:top="706" w:right="319" w:bottom="1440" w:gutter="0" w:footer="0" w:header="0"/>
          <w:type w:val="continuous"/>
        </w:sectPr>
      </w:pPr>
    </w:p>
    <w:p>
      <w:pPr>
        <w:spacing w:after="0" w:line="289" w:lineRule="exact"/>
        <w:rPr>
          <w:sz w:val="24"/>
          <w:szCs w:val="24"/>
          <w:color w:val="auto"/>
        </w:rPr>
      </w:pPr>
    </w:p>
    <w:p>
      <w:pPr>
        <w:ind w:left="2"/>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 -12)</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 -2(b))</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 -4(c))</w:t>
      </w:r>
    </w:p>
    <w:p>
      <w:pPr>
        <w:spacing w:after="0" w:line="153" w:lineRule="exact"/>
        <w:rPr>
          <w:sz w:val="24"/>
          <w:szCs w:val="24"/>
          <w:color w:val="auto"/>
        </w:rPr>
      </w:pPr>
    </w:p>
    <w:tbl>
      <w:tblPr>
        <w:tblLayout w:type="fixed"/>
        <w:tblInd w:w="2" w:type="dxa"/>
        <w:tblCellMar>
          <w:top w:w="0" w:type="dxa"/>
          <w:left w:w="0" w:type="dxa"/>
          <w:bottom w:w="0" w:type="dxa"/>
          <w:right w:w="0" w:type="dxa"/>
        </w:tblCellMar>
      </w:tblPr>
      <w:tr>
        <w:trPr>
          <w:trHeight w:val="161"/>
        </w:trPr>
        <w:tc>
          <w:tcPr>
            <w:tcW w:w="454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84"/>
        </w:trPr>
        <w:tc>
          <w:tcPr>
            <w:tcW w:w="15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Title of each class</w:t>
            </w:r>
          </w:p>
        </w:tc>
        <w:tc>
          <w:tcPr>
            <w:tcW w:w="2100" w:type="dxa"/>
            <w:vAlign w:val="bottom"/>
          </w:tcPr>
          <w:p>
            <w:pPr>
              <w:spacing w:after="0"/>
              <w:rPr>
                <w:sz w:val="24"/>
                <w:szCs w:val="24"/>
                <w:color w:val="auto"/>
              </w:rPr>
            </w:pPr>
          </w:p>
        </w:tc>
        <w:tc>
          <w:tcPr>
            <w:tcW w:w="3040" w:type="dxa"/>
            <w:vAlign w:val="bottom"/>
            <w:gridSpan w:val="2"/>
          </w:tcPr>
          <w:p>
            <w:pPr>
              <w:jc w:val="center"/>
              <w:ind w:right="2080"/>
              <w:spacing w:after="0"/>
              <w:rPr>
                <w:sz w:val="20"/>
                <w:szCs w:val="20"/>
                <w:color w:val="auto"/>
              </w:rPr>
            </w:pPr>
            <w:r>
              <w:rPr>
                <w:rFonts w:ascii="Arial" w:cs="Arial" w:eastAsia="Arial" w:hAnsi="Arial"/>
                <w:sz w:val="13"/>
                <w:szCs w:val="13"/>
                <w:color w:val="auto"/>
                <w:w w:val="90"/>
              </w:rPr>
              <w:t>Trading Symbol(s)</w:t>
            </w:r>
          </w:p>
        </w:tc>
        <w:tc>
          <w:tcPr>
            <w:tcW w:w="224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65"/>
        </w:trPr>
        <w:tc>
          <w:tcPr>
            <w:tcW w:w="4540" w:type="dxa"/>
            <w:vAlign w:val="bottom"/>
            <w:gridSpan w:val="3"/>
          </w:tcPr>
          <w:p>
            <w:pPr>
              <w:jc w:val="center"/>
              <w:ind w:right="580"/>
              <w:spacing w:after="0"/>
              <w:rPr>
                <w:sz w:val="20"/>
                <w:szCs w:val="20"/>
                <w:color w:val="auto"/>
              </w:rPr>
            </w:pPr>
            <w:r>
              <w:rPr>
                <w:rFonts w:ascii="Arial" w:cs="Arial" w:eastAsia="Arial" w:hAnsi="Arial"/>
                <w:sz w:val="13"/>
                <w:szCs w:val="13"/>
                <w:color w:val="auto"/>
                <w:w w:val="87"/>
              </w:rPr>
              <w:t>Common Stock, par value $0.001 per share</w:t>
            </w:r>
          </w:p>
        </w:tc>
        <w:tc>
          <w:tcPr>
            <w:tcW w:w="3040" w:type="dxa"/>
            <w:vAlign w:val="bottom"/>
            <w:gridSpan w:val="2"/>
          </w:tcPr>
          <w:p>
            <w:pPr>
              <w:jc w:val="center"/>
              <w:ind w:right="2060"/>
              <w:spacing w:after="0"/>
              <w:rPr>
                <w:sz w:val="20"/>
                <w:szCs w:val="20"/>
                <w:color w:val="auto"/>
              </w:rPr>
            </w:pPr>
            <w:r>
              <w:rPr>
                <w:rFonts w:ascii="Arial" w:cs="Arial" w:eastAsia="Arial" w:hAnsi="Arial"/>
                <w:sz w:val="13"/>
                <w:szCs w:val="13"/>
                <w:color w:val="auto"/>
                <w:w w:val="94"/>
              </w:rPr>
              <w:t>VTGN</w:t>
            </w:r>
          </w:p>
        </w:tc>
        <w:tc>
          <w:tcPr>
            <w:tcW w:w="2240" w:type="dxa"/>
            <w:vAlign w:val="bottom"/>
          </w:tcPr>
          <w:p>
            <w:pPr>
              <w:jc w:val="center"/>
              <w:spacing w:after="0"/>
              <w:rPr>
                <w:sz w:val="20"/>
                <w:szCs w:val="20"/>
                <w:color w:val="auto"/>
              </w:rPr>
            </w:pPr>
            <w:r>
              <w:rPr>
                <w:rFonts w:ascii="Arial" w:cs="Arial" w:eastAsia="Arial" w:hAnsi="Arial"/>
                <w:sz w:val="13"/>
                <w:szCs w:val="13"/>
                <w:color w:val="auto"/>
                <w:w w:val="89"/>
              </w:rPr>
              <w:t>Nasdaq Capital Market</w:t>
            </w:r>
          </w:p>
        </w:tc>
      </w:tr>
    </w:tbl>
    <w:p>
      <w:pPr>
        <w:spacing w:after="0" w:line="151" w:lineRule="exact"/>
        <w:rPr>
          <w:sz w:val="24"/>
          <w:szCs w:val="24"/>
          <w:color w:val="auto"/>
        </w:rPr>
      </w:pPr>
    </w:p>
    <w:p>
      <w:pPr>
        <w:ind w:left="2"/>
        <w:spacing w:after="0" w:line="269"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09" w:lineRule="exact"/>
        <w:rPr>
          <w:sz w:val="24"/>
          <w:szCs w:val="24"/>
          <w:color w:val="auto"/>
        </w:rPr>
      </w:pPr>
    </w:p>
    <w:p>
      <w:pPr>
        <w:ind w:left="9702"/>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11" w:lineRule="exact"/>
        <w:rPr>
          <w:sz w:val="24"/>
          <w:szCs w:val="24"/>
          <w:color w:val="auto"/>
        </w:rPr>
      </w:pPr>
    </w:p>
    <w:p>
      <w:pPr>
        <w:ind w:left="2"/>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170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345440</wp:posOffset>
            </wp:positionV>
            <wp:extent cx="71704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506730</wp:posOffset>
            </wp:positionV>
            <wp:extent cx="717042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2"/>
          </w:cols>
          <w:pgMar w:left="298" w:top="706"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67" w:lineRule="exact"/>
        <w:rPr>
          <w:sz w:val="20"/>
          <w:szCs w:val="20"/>
          <w:color w:val="auto"/>
        </w:rPr>
      </w:pPr>
    </w:p>
    <w:p>
      <w:pPr>
        <w:jc w:val="both"/>
        <w:ind w:firstLine="469"/>
        <w:spacing w:after="0" w:line="269" w:lineRule="auto"/>
        <w:rPr>
          <w:sz w:val="20"/>
          <w:szCs w:val="20"/>
          <w:color w:val="auto"/>
        </w:rPr>
      </w:pPr>
      <w:r>
        <w:rPr>
          <w:rFonts w:ascii="Arial" w:cs="Arial" w:eastAsia="Arial" w:hAnsi="Arial"/>
          <w:sz w:val="13"/>
          <w:szCs w:val="13"/>
          <w:color w:val="auto"/>
        </w:rPr>
        <w:t>On May 27, 2020, VistaGen Therapeutics, Inc. (the “</w:t>
      </w:r>
      <w:r>
        <w:rPr>
          <w:rFonts w:ascii="Arial" w:cs="Arial" w:eastAsia="Arial" w:hAnsi="Arial"/>
          <w:sz w:val="13"/>
          <w:szCs w:val="13"/>
          <w:i w:val="1"/>
          <w:iCs w:val="1"/>
          <w:color w:val="auto"/>
        </w:rPr>
        <w:t>Company</w:t>
      </w:r>
      <w:r>
        <w:rPr>
          <w:rFonts w:ascii="Arial" w:cs="Arial" w:eastAsia="Arial" w:hAnsi="Arial"/>
          <w:sz w:val="13"/>
          <w:szCs w:val="13"/>
          <w:color w:val="auto"/>
        </w:rPr>
        <w:t>”) announced its agreement with Nuformix plc to develop new crystalline forms of AV-101 that may have superior delivery, an enhanced therapeutic profile and additional intellectual property protection. A copy of the Company’s press release is attached hereto as Exhibit 99.1.</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June 1, 2020, the Company began utilizing a new corporate presentation, a copy of which is attached to this Current Report on Form 8-K as Exhibit 99.2.</w:t>
      </w:r>
    </w:p>
    <w:p>
      <w:pPr>
        <w:spacing w:after="0" w:line="114" w:lineRule="exact"/>
        <w:rPr>
          <w:sz w:val="20"/>
          <w:szCs w:val="20"/>
          <w:color w:val="auto"/>
        </w:rPr>
      </w:pPr>
    </w:p>
    <w:p>
      <w:pPr>
        <w:jc w:val="both"/>
        <w:ind w:firstLine="469"/>
        <w:spacing w:after="0" w:line="260" w:lineRule="auto"/>
        <w:rPr>
          <w:sz w:val="20"/>
          <w:szCs w:val="20"/>
          <w:color w:val="auto"/>
        </w:rPr>
      </w:pPr>
      <w:r>
        <w:rPr>
          <w:rFonts w:ascii="Arial" w:cs="Arial" w:eastAsia="Arial" w:hAnsi="Arial"/>
          <w:sz w:val="13"/>
          <w:szCs w:val="13"/>
          <w:color w:val="auto"/>
        </w:rPr>
        <w:t>The information in Item 7.01 of this Current Report on Form 8-K, including the information set forth in Exhibit 99.1 and 99.2, is being furnished and shall not be deemed “filed” for purposes of Section 18 of the Securities Exchange Act of 1934, as amended (the “</w:t>
      </w:r>
      <w:r>
        <w:rPr>
          <w:rFonts w:ascii="Arial" w:cs="Arial" w:eastAsia="Arial" w:hAnsi="Arial"/>
          <w:sz w:val="13"/>
          <w:szCs w:val="13"/>
          <w:i w:val="1"/>
          <w:iCs w:val="1"/>
          <w:color w:val="auto"/>
        </w:rPr>
        <w:t>Exchange Act</w:t>
      </w:r>
      <w:r>
        <w:rPr>
          <w:rFonts w:ascii="Arial" w:cs="Arial" w:eastAsia="Arial" w:hAnsi="Arial"/>
          <w:sz w:val="13"/>
          <w:szCs w:val="13"/>
          <w:color w:val="auto"/>
        </w:rPr>
        <w:t>”), nor shall Exhibit 99.1 and 99.2 filed herewith be deemed incorporated by reference in any filing under the Securities Act of 1933, as amended, or the Exchange Act, except as shall be expressly set forth by specific reference in such a filing.</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r>
        <w:rPr>
          <w:rFonts w:ascii="Arial" w:cs="Arial" w:eastAsia="Arial" w:hAnsi="Arial"/>
          <w:sz w:val="13"/>
          <w:szCs w:val="13"/>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20"/>
                <w:szCs w:val="20"/>
                <w:color w:val="auto"/>
              </w:rPr>
            </w:pPr>
            <w:r>
              <w:rPr>
                <w:rFonts w:ascii="Arial" w:cs="Arial" w:eastAsia="Arial" w:hAnsi="Arial"/>
                <w:sz w:val="13"/>
                <w:szCs w:val="13"/>
                <w:b w:val="1"/>
                <w:bCs w:val="1"/>
                <w:color w:val="auto"/>
              </w:rPr>
              <w:t>(d) Exhibits Index</w:t>
            </w:r>
          </w:p>
        </w:tc>
        <w:tc>
          <w:tcPr>
            <w:tcW w:w="220" w:type="dxa"/>
            <w:vAlign w:val="bottom"/>
          </w:tcPr>
          <w:p>
            <w:pPr>
              <w:spacing w:after="0"/>
              <w:rPr>
                <w:sz w:val="14"/>
                <w:szCs w:val="14"/>
                <w:color w:val="auto"/>
              </w:rPr>
            </w:pPr>
          </w:p>
        </w:tc>
        <w:tc>
          <w:tcPr>
            <w:tcW w:w="9920" w:type="dxa"/>
            <w:vAlign w:val="bottom"/>
          </w:tcPr>
          <w:p>
            <w:pPr>
              <w:spacing w:after="0"/>
              <w:rPr>
                <w:sz w:val="14"/>
                <w:szCs w:val="14"/>
                <w:color w:val="auto"/>
              </w:rPr>
            </w:pPr>
          </w:p>
        </w:tc>
      </w:tr>
      <w:tr>
        <w:trPr>
          <w:trHeight w:val="313"/>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220" w:type="dxa"/>
            <w:vAlign w:val="bottom"/>
          </w:tcPr>
          <w:p>
            <w:pPr>
              <w:spacing w:after="0"/>
              <w:rPr>
                <w:sz w:val="24"/>
                <w:szCs w:val="24"/>
                <w:color w:val="auto"/>
              </w:rPr>
            </w:pPr>
          </w:p>
        </w:tc>
        <w:tc>
          <w:tcPr>
            <w:tcW w:w="9920" w:type="dxa"/>
            <w:vAlign w:val="bottom"/>
            <w:tcBorders>
              <w:bottom w:val="single" w:sz="8" w:color="auto"/>
            </w:tcBorders>
          </w:tcPr>
          <w:p>
            <w:pPr>
              <w:ind w:left="4640"/>
              <w:spacing w:after="0"/>
              <w:rPr>
                <w:sz w:val="20"/>
                <w:szCs w:val="20"/>
                <w:color w:val="auto"/>
              </w:rPr>
            </w:pPr>
            <w:r>
              <w:rPr>
                <w:rFonts w:ascii="Arial" w:cs="Arial" w:eastAsia="Arial" w:hAnsi="Arial"/>
                <w:sz w:val="13"/>
                <w:szCs w:val="13"/>
                <w:b w:val="1"/>
                <w:bCs w:val="1"/>
                <w:color w:val="auto"/>
              </w:rPr>
              <w:t>Description</w:t>
            </w:r>
          </w:p>
        </w:tc>
      </w:tr>
      <w:tr>
        <w:trPr>
          <w:trHeight w:val="156"/>
        </w:trPr>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920" w:type="dxa"/>
            <w:vAlign w:val="bottom"/>
          </w:tcPr>
          <w:p>
            <w:pPr>
              <w:spacing w:after="0"/>
              <w:rPr>
                <w:sz w:val="13"/>
                <w:szCs w:val="13"/>
                <w:color w:val="auto"/>
              </w:rPr>
            </w:pPr>
          </w:p>
        </w:tc>
      </w:tr>
      <w:tr>
        <w:trPr>
          <w:trHeight w:val="156"/>
        </w:trPr>
        <w:tc>
          <w:tcPr>
            <w:tcW w:w="1140" w:type="dxa"/>
            <w:vAlign w:val="bottom"/>
            <w:shd w:val="clear" w:color="auto" w:fill="CCEEFF"/>
          </w:tcPr>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99.1</w:t>
              </w:r>
            </w:hyperlink>
          </w:p>
        </w:tc>
        <w:tc>
          <w:tcPr>
            <w:tcW w:w="10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Press Release issued by VistaGen Therapeutics, Inc., dated May 27, 2020.</w:t>
            </w:r>
          </w:p>
        </w:tc>
      </w:tr>
      <w:tr>
        <w:trPr>
          <w:trHeight w:val="161"/>
        </w:trPr>
        <w:tc>
          <w:tcPr>
            <w:tcW w:w="1140" w:type="dxa"/>
            <w:vAlign w:val="bottom"/>
          </w:tcPr>
          <w:p>
            <w:pPr>
              <w:spacing w:after="0"/>
              <w:rPr>
                <w:rFonts w:ascii="Arial" w:cs="Arial" w:eastAsia="Arial" w:hAnsi="Arial"/>
                <w:sz w:val="13"/>
                <w:szCs w:val="13"/>
                <w:u w:val="single" w:color="auto"/>
                <w:color w:val="0000EE"/>
              </w:rPr>
            </w:pPr>
            <w:hyperlink w:anchor="page7">
              <w:r>
                <w:rPr>
                  <w:rFonts w:ascii="Arial" w:cs="Arial" w:eastAsia="Arial" w:hAnsi="Arial"/>
                  <w:sz w:val="13"/>
                  <w:szCs w:val="13"/>
                  <w:u w:val="single" w:color="auto"/>
                  <w:color w:val="0000EE"/>
                </w:rPr>
                <w:t>99.2</w:t>
              </w:r>
            </w:hyperlink>
          </w:p>
        </w:tc>
        <w:tc>
          <w:tcPr>
            <w:tcW w:w="10140" w:type="dxa"/>
            <w:vAlign w:val="bottom"/>
            <w:gridSpan w:val="2"/>
          </w:tcPr>
          <w:p>
            <w:pPr>
              <w:ind w:left="220"/>
              <w:spacing w:after="0"/>
              <w:rPr>
                <w:sz w:val="20"/>
                <w:szCs w:val="20"/>
                <w:color w:val="auto"/>
              </w:rPr>
            </w:pPr>
            <w:r>
              <w:rPr>
                <w:rFonts w:ascii="Arial" w:cs="Arial" w:eastAsia="Arial" w:hAnsi="Arial"/>
                <w:sz w:val="13"/>
                <w:szCs w:val="13"/>
                <w:color w:val="auto"/>
              </w:rPr>
              <w:t>VistaGen Therapeutics, Inc. Corporate Presentation, dated Summer 2020.</w:t>
            </w:r>
          </w:p>
        </w:tc>
      </w:tr>
      <w:tr>
        <w:trPr>
          <w:trHeight w:val="1353"/>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98" w:right="319" w:bottom="1440" w:gutter="0" w:footer="0" w:header="0"/>
        </w:sectPr>
      </w:pPr>
    </w:p>
    <w:bookmarkStart w:id="2" w:name="page3"/>
    <w:bookmarkEnd w:id="2"/>
    <w:p>
      <w:pPr>
        <w:ind w:left="5580"/>
        <w:spacing w:after="0"/>
        <w:rPr>
          <w:sz w:val="20"/>
          <w:szCs w:val="20"/>
          <w:color w:val="auto"/>
        </w:rPr>
      </w:pPr>
      <w:r>
        <w:rPr>
          <w:rFonts w:ascii="Arial" w:cs="Arial" w:eastAsia="Arial" w:hAnsi="Arial"/>
          <w:sz w:val="13"/>
          <w:szCs w:val="13"/>
          <w:b w:val="1"/>
          <w:bCs w:val="1"/>
          <w:color w:val="auto"/>
        </w:rPr>
        <w:t>Signatures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VistaGen Therapeutics, Inc.</w:t>
      </w:r>
    </w:p>
    <w:p>
      <w:pPr>
        <w:spacing w:after="0" w:line="163" w:lineRule="exact"/>
        <w:rPr>
          <w:sz w:val="20"/>
          <w:szCs w:val="20"/>
          <w:color w:val="auto"/>
        </w:rPr>
      </w:pPr>
    </w:p>
    <w:p>
      <w:pPr>
        <w:spacing w:after="0"/>
        <w:tabs>
          <w:tab w:leader="none" w:pos="5380" w:val="left"/>
          <w:tab w:leader="none" w:pos="5940" w:val="left"/>
        </w:tabs>
        <w:rPr>
          <w:sz w:val="20"/>
          <w:szCs w:val="20"/>
          <w:color w:val="auto"/>
        </w:rPr>
      </w:pPr>
      <w:r>
        <w:rPr>
          <w:rFonts w:ascii="Arial" w:cs="Arial" w:eastAsia="Arial" w:hAnsi="Arial"/>
          <w:sz w:val="13"/>
          <w:szCs w:val="13"/>
          <w:color w:val="auto"/>
        </w:rPr>
        <w:t>Date: June 1,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8255</wp:posOffset>
            </wp:positionV>
            <wp:extent cx="336804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8040" cy="12700"/>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Shawn K. Singh</w:t>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203200</wp:posOffset>
            </wp:positionV>
            <wp:extent cx="717042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986155" cy="688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6155" cy="68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VistaGen and Nuformix Announce Agreement to Develop Novel Patentable Cocrystalline Forms of AV-101 for Treatment of Multiple CNS Conditions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Novel Cocrystal Form of AV-101 Administered with Probenecid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May Have Superior Delivery, an Enhanced Therapeutic Profile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and Additional Intellectual Property Protection</w:t>
      </w:r>
    </w:p>
    <w:p>
      <w:pPr>
        <w:spacing w:after="0" w:line="154"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 xml:space="preserve">SOUTH SAN FRANCISCO, Calif., May 27, 2020 </w:t>
      </w:r>
      <w:r>
        <w:rPr>
          <w:rFonts w:ascii="Arial" w:cs="Arial" w:eastAsia="Arial" w:hAnsi="Arial"/>
          <w:sz w:val="12"/>
          <w:szCs w:val="12"/>
          <w:color w:val="auto"/>
        </w:rPr>
        <w:t>– VistaGen Therapeutics (NASDAQ: VTGN), a clinical-stage biopharmaceutical company developing new generation medicines for anxiety, depression and other</w:t>
      </w:r>
      <w:r>
        <w:rPr>
          <w:rFonts w:ascii="Arial" w:cs="Arial" w:eastAsia="Arial" w:hAnsi="Arial"/>
          <w:sz w:val="12"/>
          <w:szCs w:val="12"/>
          <w:b w:val="1"/>
          <w:bCs w:val="1"/>
          <w:color w:val="auto"/>
        </w:rPr>
        <w:t xml:space="preserve"> </w:t>
      </w:r>
      <w:r>
        <w:rPr>
          <w:rFonts w:ascii="Arial" w:cs="Arial" w:eastAsia="Arial" w:hAnsi="Arial"/>
          <w:sz w:val="12"/>
          <w:szCs w:val="12"/>
          <w:color w:val="auto"/>
        </w:rPr>
        <w:t>central nervous system (CNS) diseases and disorders with high unmet need, and Nuformix plc (LSE: NFX.L), a pharmaceutical development company focused on unlocking the therapeutic potential and value of known drugs, today announced their agreement to develop novel cocrystal-based formulations of VistaGen’s CNS product candidates. Under the terms of the agreement, VistaGen and Nuformix initially will apply Nuformix’s proprietary technology platform to develop patentable new crystalline forms of AV-101 that may have superior delivery, an enhanced therapeutic profile and additional intellectual property protection. If successful, VistaGen and Nuformix will consider opportunities to extend the collaboration to other CNS therapeutic candidates with a view to unlocking additional therapeutic and commercial opportunities.</w:t>
      </w:r>
    </w:p>
    <w:p>
      <w:pPr>
        <w:spacing w:after="0" w:line="128"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“Nuformix has a successful track record of using cocrystal technology to re-engineer the crystalline form of small molecule drugs for their own development and for select partners,” said H. Ralph Snodgrass, PhD, VistaGen President and Chief Scientific Officer. “Their team is not only highly experienced, but also scientifically creative. We look forward to a productive collaboration.”</w:t>
      </w:r>
    </w:p>
    <w:p>
      <w:pPr>
        <w:spacing w:after="0" w:line="134" w:lineRule="exact"/>
        <w:rPr>
          <w:sz w:val="20"/>
          <w:szCs w:val="20"/>
          <w:color w:val="auto"/>
        </w:rPr>
      </w:pPr>
    </w:p>
    <w:p>
      <w:pPr>
        <w:jc w:val="both"/>
        <w:ind w:right="20"/>
        <w:spacing w:after="0" w:line="312" w:lineRule="auto"/>
        <w:rPr>
          <w:sz w:val="20"/>
          <w:szCs w:val="20"/>
          <w:color w:val="auto"/>
        </w:rPr>
      </w:pPr>
      <w:r>
        <w:rPr>
          <w:rFonts w:ascii="Arial" w:cs="Arial" w:eastAsia="Arial" w:hAnsi="Arial"/>
          <w:sz w:val="12"/>
          <w:szCs w:val="12"/>
          <w:color w:val="auto"/>
        </w:rPr>
        <w:t>“We’re very pleased to announce this collaboration with VistaGen and the opportunity to collaborate in CNS therapeutics,” said Dan Gooding, PhD, Nuformix Chief Executive Officer. “VistaGen and Nuformix share similar objectives in the development of new therapies and we look forward to making an important contribution to VistaGen’s comprehensive AV-101 programme and developing the relationship further.”</w:t>
      </w:r>
    </w:p>
    <w:p>
      <w:pPr>
        <w:spacing w:after="0" w:line="110" w:lineRule="exact"/>
        <w:rPr>
          <w:sz w:val="20"/>
          <w:szCs w:val="20"/>
          <w:color w:val="auto"/>
        </w:rPr>
      </w:pPr>
    </w:p>
    <w:p>
      <w:pPr>
        <w:jc w:val="both"/>
        <w:ind w:right="20"/>
        <w:spacing w:after="0" w:line="255" w:lineRule="auto"/>
        <w:rPr>
          <w:sz w:val="20"/>
          <w:szCs w:val="20"/>
          <w:color w:val="auto"/>
        </w:rPr>
      </w:pPr>
      <w:r>
        <w:rPr>
          <w:rFonts w:ascii="Arial" w:cs="Arial" w:eastAsia="Arial" w:hAnsi="Arial"/>
          <w:sz w:val="13"/>
          <w:szCs w:val="13"/>
          <w:color w:val="auto"/>
        </w:rPr>
        <w:t>AV-101 is VistaGen’s oral NMDAR (N-methyl-D-aspartate receptor) glycine site antagonist, in development in combination with probenecid, a safe and well-known oral drug used to treat gout and to increase the therapeutic benefit of numerous antibacterial, anticancer and antiviral drugs. Recently reported preclinical data suggest that there is a substantially increased brain concentration of AV-101 prodrug (4-Cl-KYN) and its active metabolite, 7-chlorokynurenic acid (7-Cl-KYNA), when given together with probenecid. With its exceptionally few side effects and excellent safety profile in all clinical studies to date, AV-101, together with probenecid, has potential to be a new generation oral treatment for chronic neuropathic pain, epilepsy, levodopa-induced dyskinesia associated with Parkinson’s disease therapy, major depressive disorder, and suicidal ideation.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717042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300"/>
          </w:cols>
          <w:pgMar w:left="300" w:top="286"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About AV-101</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 xml:space="preserve">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esketamine and ketamine. With its exceptionally few side effects and excellent safety profile, AV-101 has potential to be an oral new generation treatment for multiple large-market CNS indications where current treatments are inadequate to meet high unmet patient needs. The FDA has granted Fast Track designation for development of AV-101 as both a potential </w:t>
      </w:r>
      <w:r>
        <w:rPr>
          <w:rFonts w:ascii="Arial" w:cs="Arial" w:eastAsia="Arial" w:hAnsi="Arial"/>
          <w:sz w:val="13"/>
          <w:szCs w:val="13"/>
          <w:u w:val="single" w:color="auto"/>
          <w:color w:val="0563C1"/>
        </w:rPr>
        <w:t>adjunctive treatment for MDD</w:t>
      </w:r>
      <w:r>
        <w:rPr>
          <w:rFonts w:ascii="Arial" w:cs="Arial" w:eastAsia="Arial" w:hAnsi="Arial"/>
          <w:sz w:val="13"/>
          <w:szCs w:val="13"/>
          <w:color w:val="auto"/>
        </w:rPr>
        <w:t xml:space="preserve"> and as a </w:t>
      </w:r>
      <w:r>
        <w:rPr>
          <w:rFonts w:ascii="Arial" w:cs="Arial" w:eastAsia="Arial" w:hAnsi="Arial"/>
          <w:sz w:val="13"/>
          <w:szCs w:val="13"/>
          <w:u w:val="single" w:color="auto"/>
          <w:color w:val="0563C1"/>
        </w:rPr>
        <w:t>non-opioid</w:t>
      </w:r>
      <w:r>
        <w:rPr>
          <w:rFonts w:ascii="Arial" w:cs="Arial" w:eastAsia="Arial" w:hAnsi="Arial"/>
          <w:sz w:val="13"/>
          <w:szCs w:val="13"/>
          <w:color w:val="auto"/>
        </w:rPr>
        <w:t xml:space="preserve"> </w:t>
      </w:r>
      <w:r>
        <w:rPr>
          <w:rFonts w:ascii="Arial" w:cs="Arial" w:eastAsia="Arial" w:hAnsi="Arial"/>
          <w:sz w:val="13"/>
          <w:szCs w:val="13"/>
          <w:u w:val="single" w:color="auto"/>
          <w:color w:val="0563C1"/>
        </w:rPr>
        <w:t>treatment for neuropathic pain</w:t>
      </w:r>
      <w:r>
        <w:rPr>
          <w:rFonts w:ascii="Arial" w:cs="Arial" w:eastAsia="Arial" w:hAnsi="Arial"/>
          <w:sz w:val="13"/>
          <w:szCs w:val="13"/>
          <w:color w:val="000000"/>
        </w:rPr>
        <w: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Cocrystals</w:t>
      </w:r>
    </w:p>
    <w:p>
      <w:pPr>
        <w:spacing w:after="0" w:line="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Pharmaceutical cocrystals are materials composed of two or more different molecules, usually an active pharmaceutical ingredient together with a “co-former” molecule. Cocrystals can be engineered to enhance the bioavailability, pharmacokinetics, stability and manufacturing of drug products.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VistaGen</w:t>
      </w:r>
    </w:p>
    <w:p>
      <w:pPr>
        <w:spacing w:after="0" w:line="1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 xml:space="preserve">VistaGen Therapeutics is a multi-asset, clinical-stage biopharmaceutical company developing new generation medicines for anxiety, depression and certain CNS diseases and disorders where current treatments are inadequate, resulting in high unmet need. VistaGen's </w:t>
      </w:r>
      <w:r>
        <w:rPr>
          <w:rFonts w:ascii="Arial" w:cs="Arial" w:eastAsia="Arial" w:hAnsi="Arial"/>
          <w:sz w:val="12"/>
          <w:szCs w:val="12"/>
          <w:u w:val="single" w:color="auto"/>
          <w:color w:val="auto"/>
        </w:rPr>
        <w:t>pipeline</w:t>
      </w:r>
      <w:r>
        <w:rPr>
          <w:rFonts w:ascii="Arial" w:cs="Arial" w:eastAsia="Arial" w:hAnsi="Arial"/>
          <w:sz w:val="12"/>
          <w:szCs w:val="12"/>
          <w:color w:val="auto"/>
        </w:rPr>
        <w:t xml:space="preserve"> is focused on three clinical-stage CNS drug candidates, each with a differentiated mechanism of action, an exceptional safety profile, and therapeutic potential in multiple large and growing CNS markets. For more information, please visit </w:t>
      </w:r>
      <w:r>
        <w:rPr>
          <w:rFonts w:ascii="Arial" w:cs="Arial" w:eastAsia="Arial" w:hAnsi="Arial"/>
          <w:sz w:val="12"/>
          <w:szCs w:val="12"/>
          <w:u w:val="single" w:color="auto"/>
          <w:color w:val="auto"/>
        </w:rPr>
        <w:t>www.vistagen.com</w:t>
      </w:r>
      <w:r>
        <w:rPr>
          <w:rFonts w:ascii="Arial" w:cs="Arial" w:eastAsia="Arial" w:hAnsi="Arial"/>
          <w:sz w:val="12"/>
          <w:szCs w:val="12"/>
          <w:color w:val="auto"/>
        </w:rPr>
        <w:t xml:space="preserve"> and connect with VistaGen on </w:t>
      </w:r>
      <w:r>
        <w:rPr>
          <w:rFonts w:ascii="Arial" w:cs="Arial" w:eastAsia="Arial" w:hAnsi="Arial"/>
          <w:sz w:val="12"/>
          <w:szCs w:val="12"/>
          <w:u w:val="single" w:color="auto"/>
          <w:color w:val="auto"/>
        </w:rPr>
        <w:t>Twitter</w:t>
      </w:r>
      <w:r>
        <w:rPr>
          <w:rFonts w:ascii="Arial" w:cs="Arial" w:eastAsia="Arial" w:hAnsi="Arial"/>
          <w:sz w:val="12"/>
          <w:szCs w:val="12"/>
          <w:color w:val="auto"/>
        </w:rPr>
        <w:t xml:space="preserve">, </w:t>
      </w:r>
      <w:r>
        <w:rPr>
          <w:rFonts w:ascii="Arial" w:cs="Arial" w:eastAsia="Arial" w:hAnsi="Arial"/>
          <w:sz w:val="12"/>
          <w:szCs w:val="12"/>
          <w:u w:val="single" w:color="auto"/>
          <w:color w:val="auto"/>
        </w:rPr>
        <w:t>LinkedIn</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Facebook</w:t>
      </w:r>
      <w:r>
        <w:rPr>
          <w:rFonts w:ascii="Arial" w:cs="Arial" w:eastAsia="Arial" w:hAnsi="Arial"/>
          <w:sz w:val="12"/>
          <w:szCs w:val="12"/>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Nuformix</w:t>
      </w:r>
    </w:p>
    <w:p>
      <w:pPr>
        <w:spacing w:after="0" w:line="1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 xml:space="preserve">Nuformix is a pharmaceutical development company focused on unlocking the therapeutic potential and value of known drugs. Nuformix risk-mitigated development strategy has resulted in a pipeline of discoveries through which it has developed and patented novel forms of approved small molecules. Nuformix is targeting high-value unmet needs via drug repurposing with a lead programme in fibrosis (NXP002). Nuformix plc shares are traded on the London Stock Exchange's Official List under the ticker: NFX. For more information please visit </w:t>
      </w:r>
      <w:r>
        <w:rPr>
          <w:rFonts w:ascii="Arial" w:cs="Arial" w:eastAsia="Arial" w:hAnsi="Arial"/>
          <w:sz w:val="13"/>
          <w:szCs w:val="13"/>
          <w:u w:val="single" w:color="auto"/>
          <w:color w:val="auto"/>
        </w:rPr>
        <w:t>www.nuformix.com</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292100</wp:posOffset>
            </wp:positionV>
            <wp:extent cx="7170420"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VistaGen Forward-Looking Statements</w:t>
      </w:r>
    </w:p>
    <w:p>
      <w:pPr>
        <w:spacing w:after="0" w:line="16"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 xml:space="preserve">This release contains various statements concerning VistaGen's future expectations, plans and prospects, including without limitation, our expectations regarding discovery, development and commercialization of patentable cocrystalline forms of AV-101, either alone or in combination with probenecid, for treatment of CNS diseases and disorders with high unmet need, including </w:t>
      </w:r>
      <w:r>
        <w:rPr>
          <w:rFonts w:ascii="Arial" w:cs="Arial" w:eastAsia="Arial" w:hAnsi="Arial"/>
          <w:sz w:val="11"/>
          <w:szCs w:val="11"/>
          <w:color w:val="333333"/>
        </w:rPr>
        <w:t>chronic neuropathic pain, epilepsy, levodopa-induced</w:t>
      </w:r>
      <w:r>
        <w:rPr>
          <w:rFonts w:ascii="Arial" w:cs="Arial" w:eastAsia="Arial" w:hAnsi="Arial"/>
          <w:sz w:val="11"/>
          <w:szCs w:val="11"/>
          <w:color w:val="auto"/>
        </w:rPr>
        <w:t xml:space="preserve"> </w:t>
      </w:r>
      <w:r>
        <w:rPr>
          <w:rFonts w:ascii="Arial" w:cs="Arial" w:eastAsia="Arial" w:hAnsi="Arial"/>
          <w:sz w:val="11"/>
          <w:szCs w:val="11"/>
          <w:color w:val="333333"/>
        </w:rPr>
        <w:t xml:space="preserve">dyskinesia associated with Parkinson’s disease therapy, major depressive disorder, and suicidal ideation. </w:t>
      </w:r>
      <w:r>
        <w:rPr>
          <w:rFonts w:ascii="Arial" w:cs="Arial" w:eastAsia="Arial" w:hAnsi="Arial"/>
          <w:sz w:val="11"/>
          <w:szCs w:val="11"/>
          <w:color w:val="000000"/>
        </w:rPr>
        <w:t>In addition, statements concerning the Company's future expectations may include statements regarding intellectual</w:t>
      </w:r>
      <w:r>
        <w:rPr>
          <w:rFonts w:ascii="Arial" w:cs="Arial" w:eastAsia="Arial" w:hAnsi="Arial"/>
          <w:sz w:val="11"/>
          <w:szCs w:val="11"/>
          <w:color w:val="333333"/>
        </w:rPr>
        <w:t xml:space="preserve"> </w:t>
      </w:r>
      <w:r>
        <w:rPr>
          <w:rFonts w:ascii="Arial" w:cs="Arial" w:eastAsia="Arial" w:hAnsi="Arial"/>
          <w:sz w:val="11"/>
          <w:szCs w:val="11"/>
          <w:color w:val="000000"/>
        </w:rPr>
        <w:t xml:space="preserve">property and commercial protection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future studies, and ongoing or future preclinical and clinical results may not support further development of, or be sufficient to gain regulatory approval to market AV-101;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the substantial additional capital necessary to support our operations, including our ongoing and/or planned preclinical and/or clinical development studies; and (vii) we may encounter technical and other unexpected hurdles and delays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1"/>
          <w:szCs w:val="11"/>
          <w:u w:val="single" w:color="auto"/>
          <w:color w:val="000000"/>
        </w:rPr>
        <w:t>www.sec.gov</w:t>
      </w:r>
      <w:r>
        <w:rPr>
          <w:rFonts w:ascii="Arial" w:cs="Arial" w:eastAsia="Arial" w:hAnsi="Arial"/>
          <w:sz w:val="11"/>
          <w:szCs w:val="11"/>
          <w:color w:val="000000"/>
          <w:highlight w:val="white"/>
        </w:rPr>
        <w:t>. In addition, any forward-looking statements represent our views only as of the issuance of this release and should not be relied upon as representing our</w:t>
      </w:r>
      <w:r>
        <w:rPr>
          <w:rFonts w:ascii="Arial" w:cs="Arial" w:eastAsia="Arial" w:hAnsi="Arial"/>
          <w:sz w:val="11"/>
          <w:szCs w:val="11"/>
          <w:color w:val="000000"/>
        </w:rPr>
        <w:t xml:space="preserve"> views as of any subsequent date. We explicitly disclaim any obligation to update any forward-looking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VistaGen Company Contact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Mark A. McPartland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VistaGen Therapeutics Inc.</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Phone: +1 (650) 577-3600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IR@vistagen.com</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VistaGen Investor Contact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Valter Pinto / Allison Soss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KCSA Strategic Communications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Phone: +1 (212) 896-1254/+1 (212) 896-1267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VistaGen@KCSA.com</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VistaGen Media Contact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Caitlin Kasunich / Lisa Lipson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KCSA Strategic Communications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Phone: +1 (212) 896-1241/+1 (508) 843-6428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302895</wp:posOffset>
            </wp:positionV>
            <wp:extent cx="7170420"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0"/>
          </w:cols>
          <w:pgMar w:left="300" w:top="550" w:right="319" w:bottom="1440" w:gutter="0" w:footer="0" w:header="0"/>
        </w:sectPr>
      </w:pPr>
    </w:p>
    <w:bookmarkStart w:id="6" w:name="page7"/>
    <w:bookmarkEnd w:id="6"/>
    <w:p>
      <w:pPr>
        <w:ind w:left="9500"/>
        <w:spacing w:after="0"/>
        <w:rPr>
          <w:sz w:val="20"/>
          <w:szCs w:val="20"/>
          <w:color w:val="auto"/>
        </w:rPr>
      </w:pPr>
      <w:r>
        <w:rPr>
          <w:rFonts w:ascii="Arial" w:cs="Arial" w:eastAsia="Arial" w:hAnsi="Arial"/>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248285</wp:posOffset>
            </wp:positionV>
            <wp:extent cx="7214870" cy="5669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0" w:num="1">
            <w:col w:w="10160"/>
          </w:cols>
          <w:pgMar w:left="1440" w:top="266"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2020-06-01T15:54:57Z</dcterms:created>
  <dcterms:modified xsi:type="dcterms:W3CDTF">2020-06-01T15:54:57Z</dcterms:modified>
</cp:coreProperties>
</file>