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9" w:lineRule="exact"/>
        <w:rPr>
          <w:sz w:val="24"/>
          <w:szCs w:val="24"/>
          <w:color w:val="auto"/>
        </w:rPr>
      </w:pPr>
    </w:p>
    <w:p>
      <w:pPr>
        <w:ind w:left="4160" w:right="3580" w:hanging="4152"/>
        <w:spacing w:after="0" w:line="567" w:lineRule="auto"/>
        <w:tabs>
          <w:tab w:leader="none" w:pos="125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March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9" w:lineRule="exact"/>
        <w:rPr>
          <w:sz w:val="24"/>
          <w:szCs w:val="24"/>
          <w:color w:val="auto"/>
        </w:rPr>
      </w:pPr>
    </w:p>
    <w:p>
      <w:pPr>
        <w:ind w:left="4320" w:right="3360" w:hanging="4312"/>
        <w:spacing w:after="0" w:line="544" w:lineRule="auto"/>
        <w:tabs>
          <w:tab w:leader="none" w:pos="124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Commission file number: 001-37761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VistaGen Therapeutics,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500" w:type="dxa"/>
        <w:tblCellMar>
          <w:top w:w="0" w:type="dxa"/>
          <w:left w:w="0" w:type="dxa"/>
          <w:bottom w:w="0" w:type="dxa"/>
          <w:right w:w="0" w:type="dxa"/>
        </w:tblCellMar>
      </w:tblPr>
      <w:tr>
        <w:trPr>
          <w:trHeight w:val="222"/>
        </w:trPr>
        <w:tc>
          <w:tcPr>
            <w:tcW w:w="4300" w:type="dxa"/>
            <w:vAlign w:val="bottom"/>
          </w:tcPr>
          <w:p>
            <w:pPr>
              <w:jc w:val="center"/>
              <w:ind w:right="2092"/>
              <w:spacing w:after="0"/>
              <w:rPr>
                <w:sz w:val="20"/>
                <w:szCs w:val="20"/>
                <w:color w:val="auto"/>
              </w:rPr>
            </w:pPr>
            <w:r>
              <w:rPr>
                <w:rFonts w:ascii="Arial" w:cs="Arial" w:eastAsia="Arial" w:hAnsi="Arial"/>
                <w:sz w:val="18"/>
                <w:szCs w:val="18"/>
                <w:b w:val="1"/>
                <w:bCs w:val="1"/>
                <w:color w:val="auto"/>
                <w:w w:val="87"/>
              </w:rPr>
              <w:t>Nevada</w:t>
            </w:r>
          </w:p>
        </w:tc>
        <w:tc>
          <w:tcPr>
            <w:tcW w:w="3480" w:type="dxa"/>
            <w:vAlign w:val="bottom"/>
          </w:tcPr>
          <w:p>
            <w:pPr>
              <w:jc w:val="center"/>
              <w:ind w:left="2072"/>
              <w:spacing w:after="0"/>
              <w:rPr>
                <w:sz w:val="20"/>
                <w:szCs w:val="20"/>
                <w:color w:val="auto"/>
              </w:rPr>
            </w:pPr>
            <w:r>
              <w:rPr>
                <w:rFonts w:ascii="Arial" w:cs="Arial" w:eastAsia="Arial" w:hAnsi="Arial"/>
                <w:sz w:val="18"/>
                <w:szCs w:val="18"/>
                <w:b w:val="1"/>
                <w:bCs w:val="1"/>
                <w:color w:val="auto"/>
                <w:w w:val="87"/>
              </w:rPr>
              <w:t>20-5093315</w:t>
            </w:r>
          </w:p>
        </w:tc>
      </w:tr>
      <w:tr>
        <w:trPr>
          <w:trHeight w:val="216"/>
        </w:trPr>
        <w:tc>
          <w:tcPr>
            <w:tcW w:w="4300" w:type="dxa"/>
            <w:vAlign w:val="bottom"/>
          </w:tcPr>
          <w:p>
            <w:pPr>
              <w:jc w:val="center"/>
              <w:ind w:right="2092"/>
              <w:spacing w:after="0"/>
              <w:rPr>
                <w:sz w:val="20"/>
                <w:szCs w:val="20"/>
                <w:color w:val="auto"/>
              </w:rPr>
            </w:pPr>
            <w:r>
              <w:rPr>
                <w:rFonts w:ascii="Arial" w:cs="Arial" w:eastAsia="Arial" w:hAnsi="Arial"/>
                <w:sz w:val="18"/>
                <w:szCs w:val="18"/>
                <w:color w:val="auto"/>
                <w:w w:val="90"/>
              </w:rPr>
              <w:t>(State or other jurisdiction of</w:t>
            </w:r>
          </w:p>
        </w:tc>
        <w:tc>
          <w:tcPr>
            <w:tcW w:w="3480" w:type="dxa"/>
            <w:vAlign w:val="bottom"/>
          </w:tcPr>
          <w:p>
            <w:pPr>
              <w:jc w:val="center"/>
              <w:ind w:left="2072"/>
              <w:spacing w:after="0"/>
              <w:rPr>
                <w:sz w:val="20"/>
                <w:szCs w:val="20"/>
                <w:color w:val="auto"/>
              </w:rPr>
            </w:pPr>
            <w:r>
              <w:rPr>
                <w:rFonts w:ascii="Arial" w:cs="Arial" w:eastAsia="Arial" w:hAnsi="Arial"/>
                <w:sz w:val="18"/>
                <w:szCs w:val="18"/>
                <w:color w:val="auto"/>
                <w:w w:val="90"/>
              </w:rPr>
              <w:t>(I.R.S. Employer</w:t>
            </w:r>
          </w:p>
        </w:tc>
      </w:tr>
      <w:tr>
        <w:trPr>
          <w:trHeight w:val="222"/>
        </w:trPr>
        <w:tc>
          <w:tcPr>
            <w:tcW w:w="4300" w:type="dxa"/>
            <w:vAlign w:val="bottom"/>
          </w:tcPr>
          <w:p>
            <w:pPr>
              <w:jc w:val="center"/>
              <w:ind w:right="2092"/>
              <w:spacing w:after="0"/>
              <w:rPr>
                <w:sz w:val="20"/>
                <w:szCs w:val="20"/>
                <w:color w:val="auto"/>
              </w:rPr>
            </w:pPr>
            <w:r>
              <w:rPr>
                <w:rFonts w:ascii="Arial" w:cs="Arial" w:eastAsia="Arial" w:hAnsi="Arial"/>
                <w:sz w:val="18"/>
                <w:szCs w:val="18"/>
                <w:color w:val="auto"/>
                <w:w w:val="90"/>
              </w:rPr>
              <w:t>incorporation or organization)</w:t>
            </w:r>
          </w:p>
        </w:tc>
        <w:tc>
          <w:tcPr>
            <w:tcW w:w="3480" w:type="dxa"/>
            <w:vAlign w:val="bottom"/>
          </w:tcPr>
          <w:p>
            <w:pPr>
              <w:jc w:val="center"/>
              <w:ind w:left="2072"/>
              <w:spacing w:after="0"/>
              <w:rPr>
                <w:sz w:val="20"/>
                <w:szCs w:val="20"/>
                <w:color w:val="auto"/>
              </w:rPr>
            </w:pPr>
            <w:r>
              <w:rPr>
                <w:rFonts w:ascii="Arial" w:cs="Arial" w:eastAsia="Arial" w:hAnsi="Arial"/>
                <w:sz w:val="18"/>
                <w:szCs w:val="18"/>
                <w:color w:val="auto"/>
                <w:w w:val="94"/>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320" w:type="dxa"/>
            <w:vAlign w:val="bottom"/>
            <w:gridSpan w:val="5"/>
          </w:tcPr>
          <w:p>
            <w:pPr>
              <w:jc w:val="center"/>
              <w:ind w:left="2852"/>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60" w:type="dxa"/>
            <w:vAlign w:val="bottom"/>
            <w:tcBorders>
              <w:right w:val="single" w:sz="8" w:color="auto"/>
            </w:tcBorders>
            <w:shd w:val="clear" w:color="auto" w:fill="000000"/>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r>
      <w:tr>
        <w:trPr>
          <w:trHeight w:val="460"/>
        </w:trPr>
        <w:tc>
          <w:tcPr>
            <w:tcW w:w="3520" w:type="dxa"/>
            <w:vAlign w:val="bottom"/>
            <w:tcBorders>
              <w:bottom w:val="single" w:sz="8" w:color="auto"/>
            </w:tcBorders>
          </w:tcPr>
          <w:p>
            <w:pPr>
              <w:jc w:val="center"/>
              <w:ind w:left="1592"/>
              <w:spacing w:after="0"/>
              <w:rPr>
                <w:sz w:val="20"/>
                <w:szCs w:val="20"/>
                <w:color w:val="auto"/>
              </w:rPr>
            </w:pPr>
            <w:r>
              <w:rPr>
                <w:rFonts w:ascii="Arial" w:cs="Arial" w:eastAsia="Arial" w:hAnsi="Arial"/>
                <w:sz w:val="18"/>
                <w:szCs w:val="18"/>
                <w:b w:val="1"/>
                <w:bCs w:val="1"/>
                <w:color w:val="auto"/>
                <w:w w:val="85"/>
              </w:rPr>
              <w:t>Title of each class</w:t>
            </w:r>
          </w:p>
        </w:tc>
        <w:tc>
          <w:tcPr>
            <w:tcW w:w="1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22"/>
        </w:trPr>
        <w:tc>
          <w:tcPr>
            <w:tcW w:w="5180" w:type="dxa"/>
            <w:vAlign w:val="bottom"/>
            <w:gridSpan w:val="2"/>
          </w:tcPr>
          <w:p>
            <w:pPr>
              <w:jc w:val="center"/>
              <w:spacing w:after="0"/>
              <w:rPr>
                <w:sz w:val="20"/>
                <w:szCs w:val="20"/>
                <w:color w:val="auto"/>
              </w:rPr>
            </w:pPr>
            <w:r>
              <w:rPr>
                <w:rFonts w:ascii="Arial" w:cs="Arial" w:eastAsia="Arial" w:hAnsi="Arial"/>
                <w:sz w:val="18"/>
                <w:szCs w:val="18"/>
                <w:color w:val="auto"/>
                <w:w w:val="87"/>
              </w:rPr>
              <w:t>Common Stock, par value $0.001 per share</w:t>
            </w:r>
          </w:p>
        </w:tc>
        <w:tc>
          <w:tcPr>
            <w:tcW w:w="220" w:type="dxa"/>
            <w:vAlign w:val="bottom"/>
          </w:tcPr>
          <w:p>
            <w:pPr>
              <w:spacing w:after="0"/>
              <w:rPr>
                <w:sz w:val="19"/>
                <w:szCs w:val="19"/>
                <w:color w:val="auto"/>
              </w:rPr>
            </w:pPr>
          </w:p>
        </w:tc>
        <w:tc>
          <w:tcPr>
            <w:tcW w:w="5840" w:type="dxa"/>
            <w:vAlign w:val="bottom"/>
            <w:gridSpan w:val="5"/>
          </w:tcPr>
          <w:p>
            <w:pPr>
              <w:jc w:val="center"/>
              <w:spacing w:after="0"/>
              <w:rPr>
                <w:sz w:val="20"/>
                <w:szCs w:val="20"/>
                <w:color w:val="auto"/>
              </w:rPr>
            </w:pPr>
            <w:r>
              <w:rPr>
                <w:rFonts w:ascii="Arial" w:cs="Arial" w:eastAsia="Arial" w:hAnsi="Arial"/>
                <w:sz w:val="18"/>
                <w:szCs w:val="18"/>
                <w:color w:val="auto"/>
                <w:w w:val="88"/>
              </w:rPr>
              <w:t>The Nasdaq Capital Market</w:t>
            </w:r>
          </w:p>
        </w:tc>
      </w:tr>
      <w:tr>
        <w:trPr>
          <w:trHeight w:val="385"/>
        </w:trPr>
        <w:tc>
          <w:tcPr>
            <w:tcW w:w="3520" w:type="dxa"/>
            <w:vAlign w:val="bottom"/>
          </w:tcPr>
          <w:p>
            <w:pPr>
              <w:spacing w:after="0"/>
              <w:rPr>
                <w:sz w:val="24"/>
                <w:szCs w:val="24"/>
                <w:color w:val="auto"/>
              </w:rPr>
            </w:pPr>
          </w:p>
        </w:tc>
        <w:tc>
          <w:tcPr>
            <w:tcW w:w="4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50"/>
        </w:trPr>
        <w:tc>
          <w:tcPr>
            <w:tcW w:w="3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2"/>
          </w:tcPr>
          <w:p>
            <w:pPr>
              <w:jc w:val="center"/>
              <w:ind w:right="2480"/>
              <w:spacing w:after="0"/>
              <w:rPr>
                <w:sz w:val="20"/>
                <w:szCs w:val="20"/>
                <w:color w:val="auto"/>
              </w:rPr>
            </w:pPr>
            <w:r>
              <w:rPr>
                <w:rFonts w:ascii="Arial" w:cs="Arial" w:eastAsia="Arial" w:hAnsi="Arial"/>
                <w:sz w:val="18"/>
                <w:szCs w:val="18"/>
                <w:b w:val="1"/>
                <w:bCs w:val="1"/>
                <w:color w:val="auto"/>
                <w:w w:val="88"/>
              </w:rPr>
              <w:t>None</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52"/>
        </w:trPr>
        <w:tc>
          <w:tcPr>
            <w:tcW w:w="83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400" w:type="dxa"/>
            <w:vAlign w:val="bottom"/>
          </w:tcPr>
          <w:p>
            <w:pPr>
              <w:ind w:left="80"/>
              <w:spacing w:after="0"/>
              <w:rPr>
                <w:sz w:val="20"/>
                <w:szCs w:val="20"/>
                <w:color w:val="auto"/>
              </w:rPr>
            </w:pPr>
            <w:r>
              <w:rPr>
                <w:rFonts w:ascii="Arial" w:cs="Arial" w:eastAsia="Arial" w:hAnsi="Arial"/>
                <w:sz w:val="18"/>
                <w:szCs w:val="18"/>
                <w:color w:val="auto"/>
                <w:w w:val="96"/>
              </w:rPr>
              <w:t>Yes</w:t>
            </w: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32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4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22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9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33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120" w:type="dxa"/>
            <w:vAlign w:val="bottom"/>
            <w:vMerge w:val="restart"/>
          </w:tcPr>
          <w:p>
            <w:pPr>
              <w:ind w:left="2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80" w:type="dxa"/>
            <w:vAlign w:val="bottom"/>
            <w:vMerge w:val="restart"/>
          </w:tcPr>
          <w:p>
            <w:pPr>
              <w:ind w:left="4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400" w:type="dxa"/>
            <w:vAlign w:val="bottom"/>
          </w:tcPr>
          <w:p>
            <w:pPr>
              <w:ind w:left="280"/>
              <w:spacing w:after="0"/>
              <w:rPr>
                <w:sz w:val="20"/>
                <w:szCs w:val="20"/>
                <w:color w:val="auto"/>
              </w:rPr>
            </w:pPr>
            <w:r>
              <w:rPr>
                <w:rFonts w:ascii="Arial" w:cs="Arial" w:eastAsia="Arial" w:hAnsi="Arial"/>
                <w:sz w:val="18"/>
                <w:szCs w:val="18"/>
                <w:color w:val="auto"/>
                <w:w w:val="97"/>
              </w:rPr>
              <w:t>Smaller reporting company</w:t>
            </w:r>
          </w:p>
        </w:tc>
        <w:tc>
          <w:tcPr>
            <w:tcW w:w="1480" w:type="dxa"/>
            <w:vAlign w:val="bottom"/>
          </w:tcPr>
          <w:p>
            <w:pPr>
              <w:ind w:left="200"/>
              <w:spacing w:after="0"/>
              <w:rPr>
                <w:sz w:val="20"/>
                <w:szCs w:val="20"/>
                <w:color w:val="auto"/>
              </w:rPr>
            </w:pPr>
            <w:r>
              <w:rPr>
                <w:rFonts w:ascii="Arial" w:cs="Arial" w:eastAsia="Arial" w:hAnsi="Arial"/>
                <w:sz w:val="18"/>
                <w:szCs w:val="18"/>
                <w:color w:val="auto"/>
                <w:w w:val="89"/>
              </w:rPr>
              <w:t>Emerging Growth</w:t>
            </w:r>
          </w:p>
        </w:tc>
        <w:tc>
          <w:tcPr>
            <w:tcW w:w="0" w:type="dxa"/>
            <w:vAlign w:val="bottom"/>
          </w:tcPr>
          <w:p>
            <w:pPr>
              <w:spacing w:after="0"/>
              <w:rPr>
                <w:sz w:val="1"/>
                <w:szCs w:val="1"/>
                <w:color w:val="auto"/>
              </w:rPr>
            </w:pPr>
          </w:p>
        </w:tc>
      </w:tr>
      <w:tr>
        <w:trPr>
          <w:trHeight w:val="167"/>
        </w:trPr>
        <w:tc>
          <w:tcPr>
            <w:tcW w:w="2060" w:type="dxa"/>
            <w:vAlign w:val="bottom"/>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2480" w:type="dxa"/>
            <w:vAlign w:val="bottom"/>
            <w:vMerge w:val="continue"/>
          </w:tcPr>
          <w:p>
            <w:pPr>
              <w:spacing w:after="0"/>
              <w:rPr>
                <w:sz w:val="14"/>
                <w:szCs w:val="14"/>
                <w:color w:val="auto"/>
              </w:rPr>
            </w:pPr>
          </w:p>
        </w:tc>
        <w:tc>
          <w:tcPr>
            <w:tcW w:w="240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vMerge w:val="restart"/>
          </w:tcPr>
          <w:p>
            <w:pPr>
              <w:ind w:left="20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17"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07" w:lineRule="exact"/>
        <w:tabs>
          <w:tab w:leader="none" w:pos="7380" w:val="left"/>
          <w:tab w:leader="none" w:pos="8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The aggregate market value of the common stock of the registrant held by non-affiliates of the registrant on September 30, 2019, the last business day of the registrant’s second fiscal quarter, was: $45,352,358.</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As of June 26, 2020, there were 55,773,682 shares of the registrant’s common stock, $0.001 par value per share, outstanding.</w:t>
      </w:r>
    </w:p>
    <w:p>
      <w:pPr>
        <w:sectPr>
          <w:pgSz w:w="11900" w:h="16838" w:orient="portrait"/>
          <w:cols w:equalWidth="0" w:num="1">
            <w:col w:w="11240"/>
          </w:cols>
          <w:pgMar w:left="320" w:top="895" w:right="339" w:bottom="0" w:gutter="0" w:footer="0" w:header="0"/>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Items 10, 11, 12, 13 and 14 of Part III incorporate by reference certain information from VistaGen Therapeutics, Inc.’s definitive proxy statement, to be filed with the Securities and Exchange Commission on or before 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280" w:type="dxa"/>
            <w:vAlign w:val="bottom"/>
            <w:gridSpan w:val="4"/>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648"/>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tcPr>
          <w:p>
            <w:pPr>
              <w:ind w:left="134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4"/>
                <w:szCs w:val="24"/>
                <w:color w:val="auto"/>
              </w:rPr>
            </w:pPr>
          </w:p>
        </w:tc>
      </w:tr>
      <w:tr>
        <w:trPr>
          <w:trHeight w:val="441"/>
        </w:trPr>
        <w:tc>
          <w:tcPr>
            <w:tcW w:w="1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Item No.</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 No.</w:t>
            </w:r>
          </w:p>
        </w:tc>
      </w:tr>
      <w:tr>
        <w:trPr>
          <w:trHeight w:val="215"/>
        </w:trPr>
        <w:tc>
          <w:tcPr>
            <w:tcW w:w="136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w:t>
              </w:r>
            </w:hyperlink>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7"/>
        </w:trPr>
        <w:tc>
          <w:tcPr>
            <w:tcW w:w="2280" w:type="dxa"/>
            <w:vAlign w:val="bottom"/>
            <w:gridSpan w:val="4"/>
            <w:shd w:val="clear" w:color="auto" w:fill="CCEEFF"/>
          </w:tcPr>
          <w:p>
            <w:pPr>
              <w:ind w:left="1480"/>
              <w:spacing w:after="0" w:line="176" w:lineRule="exact"/>
              <w:rPr>
                <w:sz w:val="20"/>
                <w:szCs w:val="20"/>
                <w:color w:val="auto"/>
              </w:rPr>
            </w:pPr>
            <w:r>
              <w:rPr>
                <w:rFonts w:ascii="Arial" w:cs="Arial" w:eastAsia="Arial" w:hAnsi="Arial"/>
                <w:sz w:val="18"/>
                <w:szCs w:val="18"/>
                <w:color w:val="0000FF"/>
              </w:rPr>
              <w:t>1.</w:t>
            </w:r>
          </w:p>
        </w:tc>
        <w:tc>
          <w:tcPr>
            <w:tcW w:w="7740" w:type="dxa"/>
            <w:vAlign w:val="bottom"/>
            <w:gridSpan w:val="3"/>
            <w:shd w:val="clear" w:color="auto" w:fill="CCEEFF"/>
          </w:tcPr>
          <w:p>
            <w:pPr>
              <w:ind w:left="440"/>
              <w:spacing w:after="0" w:line="176" w:lineRule="exact"/>
              <w:rPr>
                <w:sz w:val="20"/>
                <w:szCs w:val="20"/>
                <w:color w:val="auto"/>
              </w:rPr>
            </w:pPr>
            <w:r>
              <w:rPr>
                <w:rFonts w:ascii="Arial" w:cs="Arial" w:eastAsia="Arial" w:hAnsi="Arial"/>
                <w:sz w:val="18"/>
                <w:szCs w:val="18"/>
                <w:color w:val="0000FF"/>
              </w:rPr>
              <w:t>Business</w:t>
            </w:r>
          </w:p>
        </w:tc>
        <w:tc>
          <w:tcPr>
            <w:tcW w:w="12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360" w:type="dxa"/>
            <w:vAlign w:val="bottom"/>
          </w:tcPr>
          <w:p>
            <w:pPr>
              <w:spacing w:after="0"/>
              <w:rPr>
                <w:sz w:val="18"/>
                <w:szCs w:val="18"/>
                <w:color w:val="auto"/>
              </w:rPr>
            </w:pPr>
          </w:p>
        </w:tc>
        <w:tc>
          <w:tcPr>
            <w:tcW w:w="920" w:type="dxa"/>
            <w:vAlign w:val="bottom"/>
            <w:gridSpan w:val="3"/>
          </w:tcPr>
          <w:p>
            <w:pPr>
              <w:ind w:left="1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1A.</w:t>
              </w:r>
            </w:hyperlink>
          </w:p>
        </w:tc>
        <w:tc>
          <w:tcPr>
            <w:tcW w:w="7740" w:type="dxa"/>
            <w:vAlign w:val="bottom"/>
            <w:gridSpan w:val="3"/>
          </w:tcPr>
          <w:p>
            <w:pPr>
              <w:ind w:left="44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Risk Factors</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1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20"/>
              <w:spacing w:after="0"/>
              <w:rPr>
                <w:rFonts w:ascii="Arial" w:cs="Arial" w:eastAsia="Arial" w:hAnsi="Arial"/>
                <w:sz w:val="18"/>
                <w:szCs w:val="18"/>
                <w:color w:val="0000FF"/>
              </w:rPr>
            </w:pPr>
            <w:hyperlink w:anchor="page79">
              <w:r>
                <w:rPr>
                  <w:rFonts w:ascii="Arial" w:cs="Arial" w:eastAsia="Arial" w:hAnsi="Arial"/>
                  <w:sz w:val="18"/>
                  <w:szCs w:val="18"/>
                  <w:u w:val="single" w:color="auto"/>
                  <w:color w:val="0000FF"/>
                </w:rPr>
                <w:t>1B</w:t>
              </w:r>
              <w:r>
                <w:rPr>
                  <w:rFonts w:ascii="Arial" w:cs="Arial" w:eastAsia="Arial" w:hAnsi="Arial"/>
                  <w:sz w:val="18"/>
                  <w:szCs w:val="18"/>
                  <w:color w:val="0000FF"/>
                </w:rPr>
                <w:t>.</w:t>
              </w:r>
            </w:hyperlink>
          </w:p>
        </w:tc>
        <w:tc>
          <w:tcPr>
            <w:tcW w:w="7740" w:type="dxa"/>
            <w:vAlign w:val="bottom"/>
            <w:gridSpan w:val="3"/>
            <w:shd w:val="clear" w:color="auto" w:fill="CCEEFF"/>
          </w:tcPr>
          <w:p>
            <w:pPr>
              <w:ind w:left="44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Unresolved Staff Comments</w:t>
              </w:r>
            </w:hyperlink>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w:t>
            </w:r>
          </w:p>
        </w:tc>
      </w:tr>
      <w:tr>
        <w:trPr>
          <w:trHeight w:val="216"/>
        </w:trPr>
        <w:tc>
          <w:tcPr>
            <w:tcW w:w="2280" w:type="dxa"/>
            <w:vAlign w:val="bottom"/>
            <w:gridSpan w:val="4"/>
          </w:tcPr>
          <w:p>
            <w:pPr>
              <w:ind w:left="148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2.</w:t>
              </w:r>
            </w:hyperlink>
          </w:p>
        </w:tc>
        <w:tc>
          <w:tcPr>
            <w:tcW w:w="7740" w:type="dxa"/>
            <w:vAlign w:val="bottom"/>
            <w:gridSpan w:val="3"/>
          </w:tcPr>
          <w:p>
            <w:pPr>
              <w:ind w:left="44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Properties</w:t>
              </w:r>
            </w:hyperlink>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74</w:t>
            </w:r>
          </w:p>
        </w:tc>
      </w:tr>
      <w:tr>
        <w:trPr>
          <w:trHeight w:val="216"/>
        </w:trPr>
        <w:tc>
          <w:tcPr>
            <w:tcW w:w="2280" w:type="dxa"/>
            <w:vAlign w:val="bottom"/>
            <w:gridSpan w:val="4"/>
            <w:shd w:val="clear" w:color="auto" w:fill="CCEEFF"/>
          </w:tcPr>
          <w:p>
            <w:pPr>
              <w:ind w:left="148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3.</w:t>
              </w:r>
            </w:hyperlink>
          </w:p>
        </w:tc>
        <w:tc>
          <w:tcPr>
            <w:tcW w:w="7740" w:type="dxa"/>
            <w:vAlign w:val="bottom"/>
            <w:gridSpan w:val="3"/>
            <w:shd w:val="clear" w:color="auto" w:fill="CCEEFF"/>
          </w:tcPr>
          <w:p>
            <w:pPr>
              <w:ind w:left="44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Legal Proceedings</w:t>
              </w:r>
            </w:hyperlink>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w:t>
            </w:r>
          </w:p>
        </w:tc>
      </w:tr>
      <w:tr>
        <w:trPr>
          <w:trHeight w:val="216"/>
        </w:trPr>
        <w:tc>
          <w:tcPr>
            <w:tcW w:w="2280" w:type="dxa"/>
            <w:vAlign w:val="bottom"/>
            <w:gridSpan w:val="4"/>
          </w:tcPr>
          <w:p>
            <w:pPr>
              <w:ind w:left="148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4.</w:t>
              </w:r>
            </w:hyperlink>
          </w:p>
        </w:tc>
        <w:tc>
          <w:tcPr>
            <w:tcW w:w="7740" w:type="dxa"/>
            <w:vAlign w:val="bottom"/>
            <w:gridSpan w:val="3"/>
          </w:tcPr>
          <w:p>
            <w:pPr>
              <w:ind w:left="44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Mine Safety Disclosures</w:t>
              </w:r>
            </w:hyperlink>
          </w:p>
        </w:tc>
        <w:tc>
          <w:tcPr>
            <w:tcW w:w="1220" w:type="dxa"/>
            <w:vAlign w:val="bottom"/>
          </w:tcPr>
          <w:p>
            <w:pPr>
              <w:spacing w:after="0"/>
              <w:rPr>
                <w:sz w:val="18"/>
                <w:szCs w:val="18"/>
                <w:color w:val="auto"/>
              </w:rPr>
            </w:pPr>
          </w:p>
        </w:tc>
      </w:tr>
      <w:tr>
        <w:trPr>
          <w:trHeight w:val="216"/>
        </w:trPr>
        <w:tc>
          <w:tcPr>
            <w:tcW w:w="2280" w:type="dxa"/>
            <w:vAlign w:val="bottom"/>
            <w:gridSpan w:val="4"/>
            <w:shd w:val="clear" w:color="auto" w:fill="CCEEFF"/>
          </w:tcPr>
          <w:p>
            <w:pPr>
              <w:spacing w:after="0"/>
              <w:rPr>
                <w:rFonts w:ascii="Arial" w:cs="Arial" w:eastAsia="Arial" w:hAnsi="Arial"/>
                <w:sz w:val="18"/>
                <w:szCs w:val="18"/>
                <w:b w:val="1"/>
                <w:bCs w:val="1"/>
                <w:u w:val="single" w:color="auto"/>
                <w:color w:val="0000EE"/>
              </w:rPr>
            </w:pPr>
            <w:hyperlink w:anchor="page80">
              <w:r>
                <w:rPr>
                  <w:rFonts w:ascii="Arial" w:cs="Arial" w:eastAsia="Arial" w:hAnsi="Arial"/>
                  <w:sz w:val="18"/>
                  <w:szCs w:val="18"/>
                  <w:b w:val="1"/>
                  <w:bCs w:val="1"/>
                  <w:u w:val="single" w:color="auto"/>
                  <w:color w:val="0000EE"/>
                </w:rPr>
                <w:t>PART II</w:t>
              </w:r>
            </w:hyperlink>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bl>
    <w:p>
      <w:pPr>
        <w:ind w:left="2720" w:hanging="1241"/>
        <w:spacing w:after="0"/>
        <w:tabs>
          <w:tab w:leader="none" w:pos="2720" w:val="left"/>
        </w:tabs>
        <w:numPr>
          <w:ilvl w:val="0"/>
          <w:numId w:val="3"/>
        </w:numPr>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Market for Registrant’s Common Equity, Related Stockholder Matters and Issuer Purchases of Equity</w:t>
        </w:r>
      </w:hyperlink>
    </w:p>
    <w:tbl>
      <w:tblPr>
        <w:tblLayout w:type="fixed"/>
        <w:tblInd w:w="0" w:type="dxa"/>
        <w:tblCellMar>
          <w:top w:w="0" w:type="dxa"/>
          <w:left w:w="0" w:type="dxa"/>
          <w:bottom w:w="0" w:type="dxa"/>
          <w:right w:w="0" w:type="dxa"/>
        </w:tblCellMar>
      </w:tblPr>
      <w:tr>
        <w:trPr>
          <w:trHeight w:val="185"/>
        </w:trPr>
        <w:tc>
          <w:tcPr>
            <w:tcW w:w="2220" w:type="dxa"/>
            <w:vAlign w:val="bottom"/>
          </w:tcPr>
          <w:p>
            <w:pPr>
              <w:spacing w:after="0"/>
              <w:rPr>
                <w:sz w:val="16"/>
                <w:szCs w:val="16"/>
                <w:color w:val="auto"/>
              </w:rPr>
            </w:pPr>
          </w:p>
        </w:tc>
        <w:tc>
          <w:tcPr>
            <w:tcW w:w="7940" w:type="dxa"/>
            <w:vAlign w:val="bottom"/>
            <w:gridSpan w:val="3"/>
          </w:tcPr>
          <w:p>
            <w:pPr>
              <w:ind w:left="820"/>
              <w:spacing w:after="0" w:line="184" w:lineRule="exact"/>
              <w:rPr>
                <w:rFonts w:ascii="Arial" w:cs="Arial" w:eastAsia="Arial" w:hAnsi="Arial"/>
                <w:sz w:val="18"/>
                <w:szCs w:val="18"/>
                <w:color w:val="0000FF"/>
              </w:rPr>
            </w:pPr>
            <w:hyperlink w:anchor="page80">
              <w:r>
                <w:rPr>
                  <w:rFonts w:ascii="Arial" w:cs="Arial" w:eastAsia="Arial" w:hAnsi="Arial"/>
                  <w:sz w:val="18"/>
                  <w:szCs w:val="18"/>
                  <w:color w:val="0000FF"/>
                </w:rPr>
                <w:t>Securities</w:t>
              </w:r>
            </w:hyperlink>
          </w:p>
        </w:tc>
        <w:tc>
          <w:tcPr>
            <w:tcW w:w="1080" w:type="dxa"/>
            <w:vAlign w:val="bottom"/>
          </w:tcPr>
          <w:p>
            <w:pPr>
              <w:jc w:val="center"/>
              <w:ind w:right="52"/>
              <w:spacing w:after="0" w:line="184" w:lineRule="exact"/>
              <w:rPr>
                <w:sz w:val="20"/>
                <w:szCs w:val="20"/>
                <w:color w:val="auto"/>
              </w:rPr>
            </w:pPr>
            <w:r>
              <w:rPr>
                <w:rFonts w:ascii="Arial" w:cs="Arial" w:eastAsia="Arial" w:hAnsi="Arial"/>
                <w:sz w:val="18"/>
                <w:szCs w:val="18"/>
                <w:color w:val="auto"/>
                <w:w w:val="89"/>
              </w:rPr>
              <w:t>75</w:t>
            </w:r>
          </w:p>
        </w:tc>
      </w:tr>
      <w:tr>
        <w:trPr>
          <w:trHeight w:val="21"/>
        </w:trPr>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220" w:type="dxa"/>
            <w:vAlign w:val="bottom"/>
            <w:shd w:val="clear" w:color="auto" w:fill="CCEEFF"/>
          </w:tcPr>
          <w:p>
            <w:pPr>
              <w:ind w:left="148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6.</w:t>
              </w:r>
            </w:hyperlink>
          </w:p>
        </w:tc>
        <w:tc>
          <w:tcPr>
            <w:tcW w:w="7940" w:type="dxa"/>
            <w:vAlign w:val="bottom"/>
            <w:gridSpan w:val="3"/>
            <w:shd w:val="clear" w:color="auto" w:fill="CCEEFF"/>
          </w:tcPr>
          <w:p>
            <w:pPr>
              <w:ind w:left="50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Selected Financial Data</w:t>
              </w:r>
            </w:hyperlink>
          </w:p>
        </w:tc>
        <w:tc>
          <w:tcPr>
            <w:tcW w:w="10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75</w:t>
            </w:r>
          </w:p>
        </w:tc>
      </w:tr>
      <w:tr>
        <w:trPr>
          <w:trHeight w:val="216"/>
        </w:trPr>
        <w:tc>
          <w:tcPr>
            <w:tcW w:w="2220" w:type="dxa"/>
            <w:vAlign w:val="bottom"/>
          </w:tcPr>
          <w:p>
            <w:pPr>
              <w:ind w:left="148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7.</w:t>
              </w:r>
            </w:hyperlink>
          </w:p>
        </w:tc>
        <w:tc>
          <w:tcPr>
            <w:tcW w:w="7940" w:type="dxa"/>
            <w:vAlign w:val="bottom"/>
            <w:gridSpan w:val="3"/>
          </w:tcPr>
          <w:p>
            <w:pPr>
              <w:ind w:left="50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Management’s Discussion and Analysis of Financial Condition and Results of Operations</w:t>
              </w:r>
            </w:hyperlink>
          </w:p>
        </w:tc>
        <w:tc>
          <w:tcPr>
            <w:tcW w:w="1080" w:type="dxa"/>
            <w:vAlign w:val="bottom"/>
          </w:tcPr>
          <w:p>
            <w:pPr>
              <w:jc w:val="center"/>
              <w:ind w:right="52"/>
              <w:spacing w:after="0"/>
              <w:rPr>
                <w:sz w:val="20"/>
                <w:szCs w:val="20"/>
                <w:color w:val="auto"/>
              </w:rPr>
            </w:pPr>
            <w:r>
              <w:rPr>
                <w:rFonts w:ascii="Arial" w:cs="Arial" w:eastAsia="Arial" w:hAnsi="Arial"/>
                <w:sz w:val="18"/>
                <w:szCs w:val="18"/>
                <w:color w:val="auto"/>
                <w:w w:val="89"/>
              </w:rPr>
              <w:t>76</w:t>
            </w:r>
          </w:p>
        </w:tc>
      </w:tr>
      <w:tr>
        <w:trPr>
          <w:trHeight w:val="216"/>
        </w:trPr>
        <w:tc>
          <w:tcPr>
            <w:tcW w:w="2220" w:type="dxa"/>
            <w:vAlign w:val="bottom"/>
            <w:shd w:val="clear" w:color="auto" w:fill="CCEEFF"/>
          </w:tcPr>
          <w:p>
            <w:pPr>
              <w:ind w:left="148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7A.</w:t>
              </w:r>
            </w:hyperlink>
          </w:p>
        </w:tc>
        <w:tc>
          <w:tcPr>
            <w:tcW w:w="7940" w:type="dxa"/>
            <w:vAlign w:val="bottom"/>
            <w:gridSpan w:val="3"/>
            <w:shd w:val="clear" w:color="auto" w:fill="CCEEFF"/>
          </w:tcPr>
          <w:p>
            <w:pPr>
              <w:ind w:left="50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Quantitative and Qualitative Disclosures About Market Risk</w:t>
              </w:r>
            </w:hyperlink>
          </w:p>
        </w:tc>
        <w:tc>
          <w:tcPr>
            <w:tcW w:w="10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9"/>
              </w:rPr>
              <w:t>89</w:t>
            </w:r>
          </w:p>
        </w:tc>
      </w:tr>
      <w:tr>
        <w:trPr>
          <w:trHeight w:val="216"/>
        </w:trPr>
        <w:tc>
          <w:tcPr>
            <w:tcW w:w="2220" w:type="dxa"/>
            <w:vAlign w:val="bottom"/>
          </w:tcPr>
          <w:p>
            <w:pPr>
              <w:ind w:left="148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8.</w:t>
              </w:r>
            </w:hyperlink>
          </w:p>
        </w:tc>
        <w:tc>
          <w:tcPr>
            <w:tcW w:w="7940" w:type="dxa"/>
            <w:vAlign w:val="bottom"/>
            <w:gridSpan w:val="3"/>
          </w:tcPr>
          <w:p>
            <w:pPr>
              <w:ind w:left="50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Financial Statements and Supplementary Data</w:t>
              </w:r>
            </w:hyperlink>
          </w:p>
        </w:tc>
        <w:tc>
          <w:tcPr>
            <w:tcW w:w="1080" w:type="dxa"/>
            <w:vAlign w:val="bottom"/>
          </w:tcPr>
          <w:p>
            <w:pPr>
              <w:jc w:val="center"/>
              <w:ind w:right="52"/>
              <w:spacing w:after="0"/>
              <w:rPr>
                <w:sz w:val="20"/>
                <w:szCs w:val="20"/>
                <w:color w:val="auto"/>
              </w:rPr>
            </w:pPr>
            <w:r>
              <w:rPr>
                <w:rFonts w:ascii="Arial" w:cs="Arial" w:eastAsia="Arial" w:hAnsi="Arial"/>
                <w:sz w:val="18"/>
                <w:szCs w:val="18"/>
                <w:color w:val="auto"/>
                <w:w w:val="89"/>
              </w:rPr>
              <w:t>90</w:t>
            </w:r>
          </w:p>
        </w:tc>
      </w:tr>
      <w:tr>
        <w:trPr>
          <w:trHeight w:val="216"/>
        </w:trPr>
        <w:tc>
          <w:tcPr>
            <w:tcW w:w="2220" w:type="dxa"/>
            <w:vAlign w:val="bottom"/>
            <w:shd w:val="clear" w:color="auto" w:fill="CCEEFF"/>
          </w:tcPr>
          <w:p>
            <w:pPr>
              <w:ind w:left="148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9.</w:t>
              </w:r>
            </w:hyperlink>
          </w:p>
        </w:tc>
        <w:tc>
          <w:tcPr>
            <w:tcW w:w="7940" w:type="dxa"/>
            <w:vAlign w:val="bottom"/>
            <w:gridSpan w:val="3"/>
            <w:shd w:val="clear" w:color="auto" w:fill="CCEEFF"/>
          </w:tcPr>
          <w:p>
            <w:pPr>
              <w:ind w:left="50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Changes in and Disagreements with Accountants on Accounting and Financial Disclosure</w:t>
              </w:r>
            </w:hyperlink>
          </w:p>
        </w:tc>
        <w:tc>
          <w:tcPr>
            <w:tcW w:w="10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6"/>
              </w:rPr>
              <w:t>127</w:t>
            </w:r>
          </w:p>
        </w:tc>
      </w:tr>
      <w:tr>
        <w:trPr>
          <w:trHeight w:val="216"/>
        </w:trPr>
        <w:tc>
          <w:tcPr>
            <w:tcW w:w="2220" w:type="dxa"/>
            <w:vAlign w:val="bottom"/>
          </w:tcPr>
          <w:p>
            <w:pPr>
              <w:ind w:left="148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9A.</w:t>
              </w:r>
            </w:hyperlink>
          </w:p>
        </w:tc>
        <w:tc>
          <w:tcPr>
            <w:tcW w:w="7940" w:type="dxa"/>
            <w:vAlign w:val="bottom"/>
            <w:gridSpan w:val="3"/>
          </w:tcPr>
          <w:p>
            <w:pPr>
              <w:ind w:left="50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Controls and Procedures</w:t>
              </w:r>
            </w:hyperlink>
          </w:p>
        </w:tc>
        <w:tc>
          <w:tcPr>
            <w:tcW w:w="1080" w:type="dxa"/>
            <w:vAlign w:val="bottom"/>
          </w:tcPr>
          <w:p>
            <w:pPr>
              <w:jc w:val="center"/>
              <w:ind w:right="52"/>
              <w:spacing w:after="0"/>
              <w:rPr>
                <w:sz w:val="20"/>
                <w:szCs w:val="20"/>
                <w:color w:val="auto"/>
              </w:rPr>
            </w:pPr>
            <w:r>
              <w:rPr>
                <w:rFonts w:ascii="Arial" w:cs="Arial" w:eastAsia="Arial" w:hAnsi="Arial"/>
                <w:sz w:val="18"/>
                <w:szCs w:val="18"/>
                <w:color w:val="auto"/>
                <w:w w:val="86"/>
              </w:rPr>
              <w:t>127</w:t>
            </w:r>
          </w:p>
        </w:tc>
      </w:tr>
      <w:tr>
        <w:trPr>
          <w:trHeight w:val="216"/>
        </w:trPr>
        <w:tc>
          <w:tcPr>
            <w:tcW w:w="2220" w:type="dxa"/>
            <w:vAlign w:val="bottom"/>
            <w:shd w:val="clear" w:color="auto" w:fill="CCEEFF"/>
          </w:tcPr>
          <w:p>
            <w:pPr>
              <w:ind w:left="1480"/>
              <w:spacing w:after="0"/>
              <w:rPr>
                <w:rFonts w:ascii="Arial" w:cs="Arial" w:eastAsia="Arial" w:hAnsi="Arial"/>
                <w:sz w:val="18"/>
                <w:szCs w:val="18"/>
                <w:color w:val="0000FF"/>
              </w:rPr>
            </w:pPr>
            <w:hyperlink w:anchor="page135">
              <w:r>
                <w:rPr>
                  <w:rFonts w:ascii="Arial" w:cs="Arial" w:eastAsia="Arial" w:hAnsi="Arial"/>
                  <w:sz w:val="18"/>
                  <w:szCs w:val="18"/>
                  <w:u w:val="single" w:color="auto"/>
                  <w:color w:val="0000FF"/>
                </w:rPr>
                <w:t>9B</w:t>
              </w:r>
              <w:r>
                <w:rPr>
                  <w:rFonts w:ascii="Arial" w:cs="Arial" w:eastAsia="Arial" w:hAnsi="Arial"/>
                  <w:sz w:val="18"/>
                  <w:szCs w:val="18"/>
                  <w:color w:val="0000FF"/>
                </w:rPr>
                <w:t>.</w:t>
              </w:r>
            </w:hyperlink>
          </w:p>
        </w:tc>
        <w:tc>
          <w:tcPr>
            <w:tcW w:w="7940" w:type="dxa"/>
            <w:vAlign w:val="bottom"/>
            <w:gridSpan w:val="3"/>
            <w:shd w:val="clear" w:color="auto" w:fill="CCEEFF"/>
          </w:tcPr>
          <w:p>
            <w:pPr>
              <w:ind w:left="500"/>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Other Information</w:t>
              </w:r>
            </w:hyperlink>
          </w:p>
        </w:tc>
        <w:tc>
          <w:tcPr>
            <w:tcW w:w="10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6"/>
              </w:rPr>
              <w:t>127</w:t>
            </w:r>
          </w:p>
        </w:tc>
      </w:tr>
      <w:tr>
        <w:trPr>
          <w:trHeight w:val="216"/>
        </w:trPr>
        <w:tc>
          <w:tcPr>
            <w:tcW w:w="2220" w:type="dxa"/>
            <w:vAlign w:val="bottom"/>
          </w:tcPr>
          <w:p>
            <w:pPr>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PART III</w:t>
              </w:r>
            </w:hyperlink>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220" w:type="dxa"/>
            <w:vAlign w:val="bottom"/>
            <w:shd w:val="clear" w:color="auto" w:fill="CCEEFF"/>
          </w:tcPr>
          <w:p>
            <w:pPr>
              <w:ind w:left="148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10.</w:t>
              </w:r>
            </w:hyperlink>
          </w:p>
        </w:tc>
        <w:tc>
          <w:tcPr>
            <w:tcW w:w="7940" w:type="dxa"/>
            <w:vAlign w:val="bottom"/>
            <w:gridSpan w:val="3"/>
            <w:shd w:val="clear" w:color="auto" w:fill="CCEEFF"/>
          </w:tcPr>
          <w:p>
            <w:pPr>
              <w:ind w:left="50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Directors, Executive Officers and Corporate Governance</w:t>
              </w:r>
            </w:hyperlink>
          </w:p>
        </w:tc>
        <w:tc>
          <w:tcPr>
            <w:tcW w:w="10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6"/>
              </w:rPr>
              <w:t>128</w:t>
            </w:r>
          </w:p>
        </w:tc>
      </w:tr>
      <w:tr>
        <w:trPr>
          <w:trHeight w:val="216"/>
        </w:trPr>
        <w:tc>
          <w:tcPr>
            <w:tcW w:w="2220" w:type="dxa"/>
            <w:vAlign w:val="bottom"/>
          </w:tcPr>
          <w:p>
            <w:pPr>
              <w:ind w:left="148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11.</w:t>
              </w:r>
            </w:hyperlink>
          </w:p>
        </w:tc>
        <w:tc>
          <w:tcPr>
            <w:tcW w:w="7940" w:type="dxa"/>
            <w:vAlign w:val="bottom"/>
            <w:gridSpan w:val="3"/>
          </w:tcPr>
          <w:p>
            <w:pPr>
              <w:ind w:left="50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Executive Compensation</w:t>
              </w:r>
            </w:hyperlink>
          </w:p>
        </w:tc>
        <w:tc>
          <w:tcPr>
            <w:tcW w:w="1080" w:type="dxa"/>
            <w:vAlign w:val="bottom"/>
          </w:tcPr>
          <w:p>
            <w:pPr>
              <w:jc w:val="center"/>
              <w:ind w:right="52"/>
              <w:spacing w:after="0"/>
              <w:rPr>
                <w:sz w:val="20"/>
                <w:szCs w:val="20"/>
                <w:color w:val="auto"/>
              </w:rPr>
            </w:pPr>
            <w:r>
              <w:rPr>
                <w:rFonts w:ascii="Arial" w:cs="Arial" w:eastAsia="Arial" w:hAnsi="Arial"/>
                <w:sz w:val="18"/>
                <w:szCs w:val="18"/>
                <w:color w:val="auto"/>
                <w:w w:val="86"/>
              </w:rPr>
              <w:t>128</w:t>
            </w:r>
          </w:p>
        </w:tc>
      </w:tr>
      <w:tr>
        <w:trPr>
          <w:trHeight w:val="216"/>
        </w:trPr>
        <w:tc>
          <w:tcPr>
            <w:tcW w:w="2220" w:type="dxa"/>
            <w:vAlign w:val="bottom"/>
            <w:shd w:val="clear" w:color="auto" w:fill="CCEEFF"/>
          </w:tcPr>
          <w:p>
            <w:pPr>
              <w:ind w:left="148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12.</w:t>
              </w:r>
            </w:hyperlink>
          </w:p>
        </w:tc>
        <w:tc>
          <w:tcPr>
            <w:tcW w:w="7940" w:type="dxa"/>
            <w:vAlign w:val="bottom"/>
            <w:gridSpan w:val="3"/>
            <w:shd w:val="clear" w:color="auto" w:fill="CCEEFF"/>
          </w:tcPr>
          <w:p>
            <w:pPr>
              <w:ind w:left="500"/>
              <w:spacing w:after="0"/>
              <w:rPr>
                <w:rFonts w:ascii="Arial" w:cs="Arial" w:eastAsia="Arial" w:hAnsi="Arial"/>
                <w:sz w:val="18"/>
                <w:szCs w:val="18"/>
                <w:u w:val="single" w:color="auto"/>
                <w:color w:val="0000FF"/>
                <w:w w:val="92"/>
              </w:rPr>
            </w:pPr>
            <w:hyperlink w:anchor="page136">
              <w:r>
                <w:rPr>
                  <w:rFonts w:ascii="Arial" w:cs="Arial" w:eastAsia="Arial" w:hAnsi="Arial"/>
                  <w:sz w:val="18"/>
                  <w:szCs w:val="18"/>
                  <w:u w:val="single" w:color="auto"/>
                  <w:color w:val="0000FF"/>
                  <w:w w:val="92"/>
                </w:rPr>
                <w:t>Security Ownership of Certain Beneficial Owners and Management and Related Stockholder Matters</w:t>
              </w:r>
            </w:hyperlink>
          </w:p>
        </w:tc>
        <w:tc>
          <w:tcPr>
            <w:tcW w:w="10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6"/>
              </w:rPr>
              <w:t>128</w:t>
            </w:r>
          </w:p>
        </w:tc>
      </w:tr>
      <w:tr>
        <w:trPr>
          <w:trHeight w:val="216"/>
        </w:trPr>
        <w:tc>
          <w:tcPr>
            <w:tcW w:w="2220" w:type="dxa"/>
            <w:vAlign w:val="bottom"/>
          </w:tcPr>
          <w:p>
            <w:pPr>
              <w:ind w:left="148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13.</w:t>
              </w:r>
            </w:hyperlink>
          </w:p>
        </w:tc>
        <w:tc>
          <w:tcPr>
            <w:tcW w:w="7940" w:type="dxa"/>
            <w:vAlign w:val="bottom"/>
            <w:gridSpan w:val="3"/>
          </w:tcPr>
          <w:p>
            <w:pPr>
              <w:ind w:left="50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Certain Relationships and Related Transactions, and Director Independence</w:t>
              </w:r>
            </w:hyperlink>
          </w:p>
        </w:tc>
        <w:tc>
          <w:tcPr>
            <w:tcW w:w="1080" w:type="dxa"/>
            <w:vAlign w:val="bottom"/>
          </w:tcPr>
          <w:p>
            <w:pPr>
              <w:jc w:val="center"/>
              <w:ind w:right="52"/>
              <w:spacing w:after="0"/>
              <w:rPr>
                <w:sz w:val="20"/>
                <w:szCs w:val="20"/>
                <w:color w:val="auto"/>
              </w:rPr>
            </w:pPr>
            <w:r>
              <w:rPr>
                <w:rFonts w:ascii="Arial" w:cs="Arial" w:eastAsia="Arial" w:hAnsi="Arial"/>
                <w:sz w:val="18"/>
                <w:szCs w:val="18"/>
                <w:color w:val="auto"/>
                <w:w w:val="86"/>
              </w:rPr>
              <w:t>128</w:t>
            </w:r>
          </w:p>
        </w:tc>
      </w:tr>
      <w:tr>
        <w:trPr>
          <w:trHeight w:val="216"/>
        </w:trPr>
        <w:tc>
          <w:tcPr>
            <w:tcW w:w="2220" w:type="dxa"/>
            <w:vAlign w:val="bottom"/>
            <w:shd w:val="clear" w:color="auto" w:fill="CCEEFF"/>
          </w:tcPr>
          <w:p>
            <w:pPr>
              <w:ind w:left="148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14.</w:t>
              </w:r>
            </w:hyperlink>
          </w:p>
        </w:tc>
        <w:tc>
          <w:tcPr>
            <w:tcW w:w="7940" w:type="dxa"/>
            <w:vAlign w:val="bottom"/>
            <w:gridSpan w:val="3"/>
            <w:shd w:val="clear" w:color="auto" w:fill="CCEEFF"/>
          </w:tcPr>
          <w:p>
            <w:pPr>
              <w:ind w:left="500"/>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Principal Accounting Fees and Services</w:t>
              </w:r>
            </w:hyperlink>
          </w:p>
        </w:tc>
        <w:tc>
          <w:tcPr>
            <w:tcW w:w="10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6"/>
              </w:rPr>
              <w:t>128</w:t>
            </w:r>
          </w:p>
        </w:tc>
      </w:tr>
      <w:tr>
        <w:trPr>
          <w:trHeight w:val="216"/>
        </w:trPr>
        <w:tc>
          <w:tcPr>
            <w:tcW w:w="2220" w:type="dxa"/>
            <w:vAlign w:val="bottom"/>
          </w:tcPr>
          <w:p>
            <w:pPr>
              <w:spacing w:after="0"/>
              <w:rPr>
                <w:rFonts w:ascii="Arial" w:cs="Arial" w:eastAsia="Arial" w:hAnsi="Arial"/>
                <w:sz w:val="18"/>
                <w:szCs w:val="18"/>
                <w:b w:val="1"/>
                <w:bCs w:val="1"/>
                <w:u w:val="single" w:color="auto"/>
                <w:color w:val="0000EE"/>
              </w:rPr>
            </w:pPr>
            <w:hyperlink w:anchor="page137">
              <w:r>
                <w:rPr>
                  <w:rFonts w:ascii="Arial" w:cs="Arial" w:eastAsia="Arial" w:hAnsi="Arial"/>
                  <w:sz w:val="18"/>
                  <w:szCs w:val="18"/>
                  <w:b w:val="1"/>
                  <w:bCs w:val="1"/>
                  <w:u w:val="single" w:color="auto"/>
                  <w:color w:val="0000EE"/>
                </w:rPr>
                <w:t>PART IV</w:t>
              </w:r>
            </w:hyperlink>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220" w:type="dxa"/>
            <w:vAlign w:val="bottom"/>
            <w:shd w:val="clear" w:color="auto" w:fill="CCEEFF"/>
          </w:tcPr>
          <w:p>
            <w:pPr>
              <w:ind w:left="1480"/>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15.</w:t>
              </w:r>
            </w:hyperlink>
          </w:p>
        </w:tc>
        <w:tc>
          <w:tcPr>
            <w:tcW w:w="7940" w:type="dxa"/>
            <w:vAlign w:val="bottom"/>
            <w:gridSpan w:val="3"/>
            <w:shd w:val="clear" w:color="auto" w:fill="CCEEFF"/>
          </w:tcPr>
          <w:p>
            <w:pPr>
              <w:ind w:left="500"/>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Exhibits and Financial Statement Schedules</w:t>
              </w:r>
            </w:hyperlink>
          </w:p>
        </w:tc>
        <w:tc>
          <w:tcPr>
            <w:tcW w:w="10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6"/>
              </w:rPr>
              <w:t>129</w:t>
            </w:r>
          </w:p>
        </w:tc>
      </w:tr>
      <w:tr>
        <w:trPr>
          <w:trHeight w:val="216"/>
        </w:trPr>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rFonts w:ascii="Arial" w:cs="Arial" w:eastAsia="Arial" w:hAnsi="Arial"/>
                <w:sz w:val="18"/>
                <w:szCs w:val="18"/>
                <w:b w:val="1"/>
                <w:bCs w:val="1"/>
                <w:u w:val="single" w:color="auto"/>
                <w:color w:val="0000FF"/>
              </w:rPr>
            </w:pPr>
            <w:hyperlink w:anchor="page137">
              <w:r>
                <w:rPr>
                  <w:rFonts w:ascii="Arial" w:cs="Arial" w:eastAsia="Arial" w:hAnsi="Arial"/>
                  <w:sz w:val="18"/>
                  <w:szCs w:val="18"/>
                  <w:b w:val="1"/>
                  <w:bCs w:val="1"/>
                  <w:u w:val="single" w:color="auto"/>
                  <w:color w:val="0000FF"/>
                </w:rPr>
                <w:t>EXHIBIT INDEX</w:t>
              </w:r>
            </w:hyperlink>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86"/>
              </w:rPr>
              <w:t>129</w:t>
            </w:r>
          </w:p>
        </w:tc>
      </w:tr>
      <w:tr>
        <w:trPr>
          <w:trHeight w:val="228"/>
        </w:trPr>
        <w:tc>
          <w:tcPr>
            <w:tcW w:w="2220" w:type="dxa"/>
            <w:vAlign w:val="bottom"/>
          </w:tcPr>
          <w:p>
            <w:pPr>
              <w:spacing w:after="0"/>
              <w:rPr>
                <w:rFonts w:ascii="Arial" w:cs="Arial" w:eastAsia="Arial" w:hAnsi="Arial"/>
                <w:sz w:val="18"/>
                <w:szCs w:val="18"/>
                <w:b w:val="1"/>
                <w:bCs w:val="1"/>
                <w:u w:val="single" w:color="auto"/>
                <w:color w:val="0000FF"/>
              </w:rPr>
            </w:pPr>
            <w:hyperlink w:anchor="page140">
              <w:r>
                <w:rPr>
                  <w:rFonts w:ascii="Arial" w:cs="Arial" w:eastAsia="Arial" w:hAnsi="Arial"/>
                  <w:sz w:val="18"/>
                  <w:szCs w:val="18"/>
                  <w:b w:val="1"/>
                  <w:bCs w:val="1"/>
                  <w:u w:val="single" w:color="auto"/>
                  <w:color w:val="0000FF"/>
                </w:rPr>
                <w:t>SIGNATURES</w:t>
              </w:r>
            </w:hyperlink>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080" w:type="dxa"/>
            <w:vAlign w:val="bottom"/>
          </w:tcPr>
          <w:p>
            <w:pPr>
              <w:jc w:val="center"/>
              <w:ind w:right="52"/>
              <w:spacing w:after="0"/>
              <w:rPr>
                <w:sz w:val="20"/>
                <w:szCs w:val="20"/>
                <w:color w:val="auto"/>
              </w:rPr>
            </w:pPr>
            <w:r>
              <w:rPr>
                <w:rFonts w:ascii="Arial" w:cs="Arial" w:eastAsia="Arial" w:hAnsi="Arial"/>
                <w:sz w:val="18"/>
                <w:szCs w:val="18"/>
                <w:color w:val="auto"/>
                <w:w w:val="86"/>
              </w:rPr>
              <w:t>132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Annual Report on Form 10-K (</w:t>
      </w:r>
      <w:r>
        <w:rPr>
          <w:rFonts w:ascii="Arial" w:cs="Arial" w:eastAsia="Arial" w:hAnsi="Arial"/>
          <w:sz w:val="16"/>
          <w:szCs w:val="16"/>
          <w:i w:val="1"/>
          <w:iCs w:val="1"/>
          <w:color w:val="auto"/>
        </w:rPr>
        <w:t>Annual Report</w:t>
      </w:r>
      <w:r>
        <w:rPr>
          <w:rFonts w:ascii="Arial" w:cs="Arial" w:eastAsia="Arial" w:hAnsi="Arial"/>
          <w:sz w:val="16"/>
          <w:szCs w:val="16"/>
          <w:color w:val="auto"/>
        </w:rPr>
        <w:t>) contains forward-looking statements that involve substantial risks and uncertainties. All statements contained in this Annual Report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right="2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novel coronavirus (</w:t>
      </w:r>
      <w:r>
        <w:rPr>
          <w:rFonts w:ascii="Arial" w:cs="Arial" w:eastAsia="Arial" w:hAnsi="Arial"/>
          <w:sz w:val="18"/>
          <w:szCs w:val="18"/>
          <w:i w:val="1"/>
          <w:iCs w:val="1"/>
          <w:color w:val="auto"/>
        </w:rPr>
        <w:t>COVID-19</w:t>
      </w:r>
      <w:r>
        <w:rPr>
          <w:rFonts w:ascii="Arial" w:cs="Arial" w:eastAsia="Arial" w:hAnsi="Arial"/>
          <w:sz w:val="18"/>
          <w:szCs w:val="18"/>
          <w:color w:val="auto"/>
        </w:rPr>
        <w:t>) pandemic, efforts to contain the pandemic and resulting economic downturn on our operations and financial condition;</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 and clinical and nonclinical development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 including, among other things, PH94B as a treatment for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 AV-101 as a treatment for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and PH10 as a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initiate and complete necessary preclinical and clinical trials to advance the development of our product candidates, including pivotal clinical trials, to successfully complete any such preclinical and clinical trials, and for those trials to generate positive results;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regulatory and political developments in the U.S. and foreign countries;</w:t>
      </w:r>
    </w:p>
    <w:p>
      <w:pPr>
        <w:spacing w:after="0" w:line="225"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performance of the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Baylor University,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other third-party preclinical and clinical drug development collaborators and regulatory service providers;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w:t>
      </w:r>
      <w:r>
        <w:rPr>
          <w:rFonts w:ascii="Arial" w:cs="Arial" w:eastAsia="Arial" w:hAnsi="Arial"/>
          <w:sz w:val="18"/>
          <w:szCs w:val="18"/>
          <w:i w:val="1"/>
          <w:iCs w:val="1"/>
          <w:color w:val="auto"/>
        </w:rPr>
        <w:t>IP</w:t>
      </w:r>
      <w:r>
        <w:rPr>
          <w:rFonts w:ascii="Arial" w:cs="Arial" w:eastAsia="Arial" w:hAnsi="Arial"/>
          <w:sz w:val="18"/>
          <w:szCs w:val="18"/>
          <w:color w:val="auto"/>
        </w:rPr>
        <w:t>) protection for our core assets, including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enter and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scientific, clinical or nonclinical development, regulatory, and/or management personnel, internally or from one or more of our third-party collaborators;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of this Annual Report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particularly in Part I, Item 1A, titled “</w:t>
      </w:r>
      <w:r>
        <w:rPr>
          <w:rFonts w:ascii="Arial" w:cs="Arial" w:eastAsia="Arial" w:hAnsi="Arial"/>
          <w:sz w:val="16"/>
          <w:szCs w:val="16"/>
          <w:i w:val="1"/>
          <w:iCs w:val="1"/>
          <w:color w:val="auto"/>
        </w:rPr>
        <w:t>Risk Factors,</w:t>
      </w:r>
      <w:r>
        <w:rPr>
          <w:rFonts w:ascii="Arial" w:cs="Arial" w:eastAsia="Arial" w:hAnsi="Arial"/>
          <w:sz w:val="16"/>
          <w:szCs w:val="16"/>
          <w:color w:val="auto"/>
        </w:rPr>
        <w:t>”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read this Annual Report and the documents that we have filed as exhibits to the Annual Report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 w:name="page5"/>
    <w:bookmarkEnd w:id="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All brand names or trademarks appearing in this Annual Report are the property of their respective holders. Unless the context requires otherwise, references in this report to “VistaGen,” the “Company,” “we,” “us,” and “our” refer to VistaGen Therapeutics, Inc., a Nevada corporation. All references to future quarters and years in this Annual Report refer to calendar quarters and calendar years, unless reference is made otherwise.</w:t>
      </w:r>
    </w:p>
    <w:p>
      <w:pPr>
        <w:spacing w:after="0" w:line="18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clinical-stage biopharmaceutical company committed to developing new generation therapies for anxiety, depression and certain additional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for which current treatment options are inadequate, resulting in high unmet need in large and growing markets worldwide. Our pipeline includes three clinical-stage CNS product candidates, PH94B, PH10 and AV-101, each with a differentiated mechanism of action, an exceptional safety profile in all clinical studies to date, and therapeutic potential in multiple CNS indications. We are currently preparing PH94B for Phase 3 clinical development for the acute treatment of adult patients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We are also preparing PH94B for an exploratory Phase 2A open-label study in adult patients experiencing adjustment disorder with anxiety (</w:t>
      </w:r>
      <w:r>
        <w:rPr>
          <w:rFonts w:ascii="Arial" w:cs="Arial" w:eastAsia="Arial" w:hAnsi="Arial"/>
          <w:sz w:val="16"/>
          <w:szCs w:val="16"/>
          <w:i w:val="1"/>
          <w:iCs w:val="1"/>
          <w:color w:val="auto"/>
        </w:rPr>
        <w:t>AjDA</w:t>
      </w:r>
      <w:r>
        <w:rPr>
          <w:rFonts w:ascii="Arial" w:cs="Arial" w:eastAsia="Arial" w:hAnsi="Arial"/>
          <w:sz w:val="16"/>
          <w:szCs w:val="16"/>
          <w:color w:val="auto"/>
        </w:rPr>
        <w:t>) related to the COVID-19 pandemic. PH10 has completed successful exploratory Phase 2A development as a novel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We are currently preparing PH10 for Phase 2B development as a potential stand-alone treatment for MDD. In several clinical studies, we have established that AV-101 is orally available and has an excellent safety profile. Based on successful preclinical studies involving AV-101 alone and in combination with probenecid, we are currently assessing potential Phase 1B and subsequent Phase 2A development of AV-101, in combination with probenecid, for treatment of depression and several other CNS indications involving the NMDAR (</w:t>
      </w:r>
      <w:r>
        <w:rPr>
          <w:rFonts w:ascii="Arial" w:cs="Arial" w:eastAsia="Arial" w:hAnsi="Arial"/>
          <w:sz w:val="16"/>
          <w:szCs w:val="16"/>
          <w:i w:val="1"/>
          <w:iCs w:val="1"/>
          <w:color w:val="auto"/>
        </w:rPr>
        <w:t>N-methyl-D-aspartate receptor</w:t>
      </w:r>
      <w:r>
        <w:rPr>
          <w:rFonts w:ascii="Arial" w:cs="Arial" w:eastAsia="Arial" w:hAnsi="Arial"/>
          <w:sz w:val="16"/>
          <w:szCs w:val="16"/>
          <w:color w:val="auto"/>
        </w:rPr>
        <w:t>). Additionally, our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has pluripotent stem cell technology focused on assessing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developing small molecule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our CNS pipeline, or for out-licensing, by utilizing CardioSafe 3D, VistaStem’s customized human heart cell-based cardiac bioassay system. Our goal is to become a fully integrated biopharmaceutical company that develops and commercializes innovative medicine for large and growing neuropsychiatry and neurology markets worldwide where current treatments are inadequate to meet the needs of millions of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PH94B is a novel, first-in-class neuroactive nasal spray with therapeutic potential in a wide range of indications involving anxiety or phobia. Self-administered in microgram doses, PH94B does not require systemic uptake and distribution to produce its rapid-onset anti-anxiety effects. We are initially developing PH94B as a potential fast-acting, non-sedating, non-addictive new generation acute treatment of SAD, as well as AjDA related to the COVID-19 pandemic. With its rapid-onset pharmacology, lack of systemic exposure and excellent safety profile, PH94B also has potential as a novel treatment for postpartum anxiety (</w:t>
      </w:r>
      <w:r>
        <w:rPr>
          <w:rFonts w:ascii="Arial" w:cs="Arial" w:eastAsia="Arial" w:hAnsi="Arial"/>
          <w:sz w:val="16"/>
          <w:szCs w:val="16"/>
          <w:i w:val="1"/>
          <w:iCs w:val="1"/>
          <w:color w:val="auto"/>
        </w:rPr>
        <w:t>PPA</w:t>
      </w:r>
      <w:r>
        <w:rPr>
          <w:rFonts w:ascii="Arial" w:cs="Arial" w:eastAsia="Arial" w:hAnsi="Arial"/>
          <w:sz w:val="16"/>
          <w:szCs w:val="16"/>
          <w:color w:val="auto"/>
        </w:rPr>
        <w:t>), post-traumatic stress disorder (</w:t>
      </w:r>
      <w:r>
        <w:rPr>
          <w:rFonts w:ascii="Arial" w:cs="Arial" w:eastAsia="Arial" w:hAnsi="Arial"/>
          <w:sz w:val="16"/>
          <w:szCs w:val="16"/>
          <w:i w:val="1"/>
          <w:iCs w:val="1"/>
          <w:color w:val="auto"/>
        </w:rPr>
        <w:t>PTSD</w:t>
      </w:r>
      <w:r>
        <w:rPr>
          <w:rFonts w:ascii="Arial" w:cs="Arial" w:eastAsia="Arial" w:hAnsi="Arial"/>
          <w:sz w:val="16"/>
          <w:szCs w:val="16"/>
          <w:color w:val="auto"/>
        </w:rPr>
        <w:t>), preoperative anxiety (</w:t>
      </w:r>
      <w:r>
        <w:rPr>
          <w:rFonts w:ascii="Arial" w:cs="Arial" w:eastAsia="Arial" w:hAnsi="Arial"/>
          <w:sz w:val="16"/>
          <w:szCs w:val="16"/>
          <w:i w:val="1"/>
          <w:iCs w:val="1"/>
          <w:color w:val="auto"/>
        </w:rPr>
        <w:t>POA</w:t>
      </w:r>
      <w:r>
        <w:rPr>
          <w:rFonts w:ascii="Arial" w:cs="Arial" w:eastAsia="Arial" w:hAnsi="Arial"/>
          <w:sz w:val="16"/>
          <w:szCs w:val="16"/>
          <w:color w:val="auto"/>
        </w:rPr>
        <w:t>), panic disorder and other anxiety-related disorders.</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PH10 is an odorless, fast-acting synthetic neurosteroid delivered intranasally that has therapeutic potential in a wide range of neuropsychiatric indications involving depression. Self-administered in microgram doses, PH10 does not require systemic uptake and distribution to produce its rapid-onset antidepressant effects. We are initially developing PH10 as a potential fast-acting, non-sedating, non-addictive new generation treatment of MDD. With its rapid-onset pharmacology, lack of systemic exposure an exceptional safety profile, PH10 also has potential as a novel treatment for postpartum depression (</w:t>
      </w:r>
      <w:r>
        <w:rPr>
          <w:rFonts w:ascii="Arial" w:cs="Arial" w:eastAsia="Arial" w:hAnsi="Arial"/>
          <w:sz w:val="16"/>
          <w:szCs w:val="16"/>
          <w:i w:val="1"/>
          <w:iCs w:val="1"/>
          <w:color w:val="auto"/>
        </w:rPr>
        <w:t>PPD</w:t>
      </w:r>
      <w:r>
        <w:rPr>
          <w:rFonts w:ascii="Arial" w:cs="Arial" w:eastAsia="Arial" w:hAnsi="Arial"/>
          <w:sz w:val="16"/>
          <w:szCs w:val="16"/>
          <w:color w:val="auto"/>
        </w:rPr>
        <w:t>),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and suicidal ideation (</w:t>
      </w:r>
      <w:r>
        <w:rPr>
          <w:rFonts w:ascii="Arial" w:cs="Arial" w:eastAsia="Arial" w:hAnsi="Arial"/>
          <w:sz w:val="16"/>
          <w:szCs w:val="16"/>
          <w:i w:val="1"/>
          <w:iCs w:val="1"/>
          <w:color w:val="auto"/>
        </w:rPr>
        <w:t>SI</w:t>
      </w:r>
      <w:r>
        <w:rPr>
          <w:rFonts w:ascii="Arial" w:cs="Arial" w:eastAsia="Arial" w:hAnsi="Arial"/>
          <w:sz w:val="16"/>
          <w:szCs w:val="16"/>
          <w:color w:val="auto"/>
        </w:rPr>
        <w:t>).</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AV-101 (4-Cl-KYN) is a novel, oral prodrug that targets the NMDAR, an ionotropic glutamate receptor in the brain. Abnormal NMDAR function is associated with numerous CNS diseases and disorders. AV-101’s active metabolite, 7-chloro-kynurenic acid (</w:t>
      </w:r>
      <w:r>
        <w:rPr>
          <w:rFonts w:ascii="Arial" w:cs="Arial" w:eastAsia="Arial" w:hAnsi="Arial"/>
          <w:sz w:val="16"/>
          <w:szCs w:val="16"/>
          <w:i w:val="1"/>
          <w:iCs w:val="1"/>
          <w:color w:val="auto"/>
        </w:rPr>
        <w:t>7-Cl-KYNA</w:t>
      </w:r>
      <w:r>
        <w:rPr>
          <w:rFonts w:ascii="Arial" w:cs="Arial" w:eastAsia="Arial" w:hAnsi="Arial"/>
          <w:sz w:val="16"/>
          <w:szCs w:val="16"/>
          <w:color w:val="auto"/>
        </w:rPr>
        <w:t>), is a potent and selective full antagonist of the glycine coagonist site of the NMDAR that inhibits the function of the NMDAR, but does not block the NMDAR receptor like ketamine and other NMDAR antagonists. We have demonstrated in clinical trials that AV-101 is orally-available, well-tolerated and does not cause dissociative or hallucinogenic psychological side effects or safety concerns similar to those that may be caused by other NMDAR antagonists. With its exceptionally few side effects and excellent safety profile, AV-101 has potential to be an oral, new generation treatment for multiple large market CNS indications involving abnormal NDAR function and where current treatments are inadequate to meet high unmet patient needs. The FDA has granted Fast Track designation for development of AV-101 as both a potential adjunctive treatment for MDD and as a non-opioid treatment for neuropathic pain (</w:t>
      </w:r>
      <w:r>
        <w:rPr>
          <w:rFonts w:ascii="Arial" w:cs="Arial" w:eastAsia="Arial" w:hAnsi="Arial"/>
          <w:sz w:val="16"/>
          <w:szCs w:val="16"/>
          <w:i w:val="1"/>
          <w:iCs w:val="1"/>
          <w:color w:val="auto"/>
        </w:rPr>
        <w:t>NP</w:t>
      </w:r>
      <w:r>
        <w:rPr>
          <w:rFonts w:ascii="Arial" w:cs="Arial" w:eastAsia="Arial" w:hAnsi="Arial"/>
          <w:sz w:val="16"/>
          <w:szCs w:val="16"/>
          <w:color w:val="auto"/>
        </w:rPr>
        <w:t>). We are currently assessing AV-101’s potential in combination with probenecid, to treat both MDD and NP, as well as dyskinesia associated with levodopa therapy for Parkinson’s disease, epilepsy and suicidal ideation.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VistaStem is applying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technology and CardioSafe 3D, our customized cardiac bioassay system, to discover and develop, novel small molecule NCEs for our CNS pipeline or for out-licensing.</w:t>
      </w:r>
    </w:p>
    <w:p>
      <w:pPr>
        <w:spacing w:after="0" w:line="186" w:lineRule="exact"/>
        <w:rPr>
          <w:sz w:val="20"/>
          <w:szCs w:val="20"/>
          <w:color w:val="auto"/>
        </w:rPr>
      </w:pPr>
    </w:p>
    <w:p>
      <w:pPr>
        <w:jc w:val="both"/>
        <w:ind w:right="20"/>
        <w:spacing w:after="0" w:line="219" w:lineRule="exact"/>
        <w:rPr>
          <w:sz w:val="20"/>
          <w:szCs w:val="20"/>
          <w:color w:val="auto"/>
        </w:rPr>
      </w:pPr>
      <w:r>
        <w:rPr>
          <w:rFonts w:ascii="Arial" w:cs="Arial" w:eastAsia="Arial" w:hAnsi="Arial"/>
          <w:sz w:val="16"/>
          <w:szCs w:val="16"/>
          <w:color w:val="auto"/>
        </w:rPr>
        <w:t>Our product candidates are protected through a combination of patents, trade secrets, and proprietary know</w:t>
      </w:r>
      <w:r>
        <w:rPr>
          <w:rFonts w:ascii="MS PGothic" w:cs="MS PGothic" w:eastAsia="MS PGothic" w:hAnsi="MS PGothic"/>
          <w:sz w:val="16"/>
          <w:szCs w:val="16"/>
          <w:color w:val="auto"/>
        </w:rPr>
        <w:t>‑</w:t>
      </w:r>
      <w:r>
        <w:rPr>
          <w:rFonts w:ascii="Arial" w:cs="Arial" w:eastAsia="Arial" w:hAnsi="Arial"/>
          <w:sz w:val="16"/>
          <w:szCs w:val="16"/>
          <w:color w:val="auto"/>
        </w:rPr>
        <w:t>how. If approved, they may also be eligible for periods of regulatory exclusivity. Our intellectual property portfolio includes issued U.S. and foreign patents, as well as U.S. and foreign patent applications.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VistaStem, a California corporation, is our wholly-owned subsidiary. Our Condensed Consolidated Financial Statements in this Annual Report also include the accounts of VistaStem and VistaStem’s two wholly-owned inactive subsidiaries, Artemis Neuroscience, Inc., a Maryland corporation, and VistaStem Canada, Inc., a corporation organized under the laws of Ontario, Canada.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8" w:lineRule="exact"/>
        <w:rPr>
          <w:sz w:val="20"/>
          <w:szCs w:val="20"/>
          <w:color w:val="auto"/>
        </w:rPr>
      </w:pPr>
    </w:p>
    <w:p>
      <w:pPr>
        <w:ind w:right="40"/>
        <w:spacing w:after="0" w:line="331" w:lineRule="auto"/>
        <w:rPr>
          <w:sz w:val="20"/>
          <w:szCs w:val="20"/>
          <w:color w:val="auto"/>
        </w:rPr>
      </w:pPr>
      <w:r>
        <w:rPr>
          <w:rFonts w:ascii="Arial" w:cs="Arial" w:eastAsia="Arial" w:hAnsi="Arial"/>
          <w:sz w:val="16"/>
          <w:szCs w:val="16"/>
          <w:color w:val="auto"/>
        </w:rPr>
        <w:t>Our goal is to be a leading biopharmaceutical company committed to development and commercialization of novel proprietary therapies for the treatment of anxiety, depression and other CNS diseases and disorders with high unmet need. Key elements of our strategy to achieve our goal are as follows:</w:t>
      </w:r>
    </w:p>
    <w:p>
      <w:pPr>
        <w:spacing w:after="0" w:line="73" w:lineRule="exact"/>
        <w:rPr>
          <w:sz w:val="20"/>
          <w:szCs w:val="20"/>
          <w:color w:val="auto"/>
        </w:rPr>
      </w:pPr>
    </w:p>
    <w:p>
      <w:pPr>
        <w:ind w:left="980" w:hanging="324"/>
        <w:spacing w:after="0" w:line="331"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Focus on global development and commercialization, on our own in the U.S. and with collaborators outside the U.S., of novel CNS drug candidates with fundamentally differentiated mechanisms of pharmacological action than currently approved therapies;</w:t>
      </w:r>
    </w:p>
    <w:p>
      <w:pPr>
        <w:spacing w:after="0" w:line="73"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Emphasize the development and commercialization of differentiated CNS product candidates with potential for (i) rapid-onset therapeutic effects,</w:t>
      </w:r>
    </w:p>
    <w:p>
      <w:pPr>
        <w:spacing w:after="0" w:line="38" w:lineRule="exact"/>
        <w:rPr>
          <w:rFonts w:ascii="Arial" w:cs="Arial" w:eastAsia="Arial" w:hAnsi="Arial"/>
          <w:sz w:val="16"/>
          <w:szCs w:val="16"/>
          <w:color w:val="auto"/>
        </w:rPr>
      </w:pPr>
    </w:p>
    <w:p>
      <w:pPr>
        <w:jc w:val="both"/>
        <w:ind w:left="980"/>
        <w:spacing w:after="0" w:line="253" w:lineRule="auto"/>
        <w:tabs>
          <w:tab w:leader="none" w:pos="1298" w:val="left"/>
        </w:tabs>
        <w:numPr>
          <w:ilvl w:val="1"/>
          <w:numId w:val="5"/>
        </w:numPr>
        <w:rPr>
          <w:rFonts w:ascii="Arial" w:cs="Arial" w:eastAsia="Arial" w:hAnsi="Arial"/>
          <w:sz w:val="18"/>
          <w:szCs w:val="18"/>
          <w:color w:val="auto"/>
        </w:rPr>
      </w:pPr>
      <w:r>
        <w:rPr>
          <w:rFonts w:ascii="Arial" w:cs="Arial" w:eastAsia="Arial" w:hAnsi="Arial"/>
          <w:sz w:val="18"/>
          <w:szCs w:val="18"/>
          <w:color w:val="auto"/>
        </w:rPr>
        <w:t>exceptional safety profiles, especially product candidates without high potential risk of addiction, sedation, cognitive impairment, psychological side effects (such as hallucinations or dissociation), or cardiac and/or drug-drug interaction liabilities, and (iii) significant therapeutic and commercial impact in multiple CNS markets where currently-approved treatment alternatives are inadequate, resulting in high unmet but addressable need;</w:t>
      </w:r>
    </w:p>
    <w:p>
      <w:pPr>
        <w:spacing w:after="0" w:line="133" w:lineRule="exact"/>
        <w:rPr>
          <w:rFonts w:ascii="Arial" w:cs="Arial" w:eastAsia="Arial" w:hAnsi="Arial"/>
          <w:sz w:val="18"/>
          <w:szCs w:val="18"/>
          <w:color w:val="auto"/>
        </w:rPr>
      </w:pPr>
    </w:p>
    <w:p>
      <w:pPr>
        <w:jc w:val="both"/>
        <w:ind w:left="980" w:hanging="324"/>
        <w:spacing w:after="0" w:line="306"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Advance and complete Phase 3 clinical development of PH94B for acute treatment of SAD, on our own in the U.S. and, in markets outside the U.S., through strategic license, development and commercialization agreements with biopharmaceutical companies with high-quality capabilities and expertise in such markets, such as the EverInsight License Agreement (as further described below) (</w:t>
      </w:r>
      <w:r>
        <w:rPr>
          <w:rFonts w:ascii="Arial" w:cs="Arial" w:eastAsia="Arial" w:hAnsi="Arial"/>
          <w:sz w:val="16"/>
          <w:szCs w:val="16"/>
          <w:i w:val="1"/>
          <w:iCs w:val="1"/>
          <w:color w:val="auto"/>
        </w:rPr>
        <w:t>Collaborators</w:t>
      </w:r>
      <w:r>
        <w:rPr>
          <w:rFonts w:ascii="Arial" w:cs="Arial" w:eastAsia="Arial" w:hAnsi="Arial"/>
          <w:sz w:val="16"/>
          <w:szCs w:val="16"/>
          <w:color w:val="auto"/>
        </w:rPr>
        <w:t>);</w:t>
      </w:r>
    </w:p>
    <w:p>
      <w:pPr>
        <w:spacing w:after="0" w:line="92" w:lineRule="exact"/>
        <w:rPr>
          <w:rFonts w:ascii="Arial" w:cs="Arial" w:eastAsia="Arial" w:hAnsi="Arial"/>
          <w:sz w:val="16"/>
          <w:szCs w:val="16"/>
          <w:color w:val="auto"/>
        </w:rPr>
      </w:pPr>
    </w:p>
    <w:p>
      <w:pPr>
        <w:ind w:left="98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 for and obtain regulatory approval of PH94B for acute treatment of SAD on our own in the U.S. and with Collaborators outside the U.S., if our Phase 3 clinical development efforts are successful;</w:t>
      </w:r>
    </w:p>
    <w:p>
      <w:pPr>
        <w:spacing w:after="0" w:line="118"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Commercialize PH94B, initially for acute treatment of SAD, on our own in the U.S. and with Collaborators outside the U.S., if and when approved for acute treatment of SAD in the U.S. and other markets;</w:t>
      </w:r>
    </w:p>
    <w:p>
      <w:pPr>
        <w:spacing w:after="0" w:line="118"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Pursue exploratory Phase 2 clinical development of PH94B, on or own or with Collaborators, academic institutions, private foundations and/or U.S. government institutions, such as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U.S. Department of Veterans Affairs (</w:t>
      </w:r>
      <w:r>
        <w:rPr>
          <w:rFonts w:ascii="Arial" w:cs="Arial" w:eastAsia="Arial" w:hAnsi="Arial"/>
          <w:sz w:val="18"/>
          <w:szCs w:val="18"/>
          <w:i w:val="1"/>
          <w:iCs w:val="1"/>
          <w:color w:val="auto"/>
        </w:rPr>
        <w:t>VA</w:t>
      </w:r>
      <w:r>
        <w:rPr>
          <w:rFonts w:ascii="Arial" w:cs="Arial" w:eastAsia="Arial" w:hAnsi="Arial"/>
          <w:sz w:val="18"/>
          <w:szCs w:val="18"/>
          <w:color w:val="auto"/>
        </w:rPr>
        <w:t>), and U.S. Department of Defense (</w:t>
      </w:r>
      <w:r>
        <w:rPr>
          <w:rFonts w:ascii="Arial" w:cs="Arial" w:eastAsia="Arial" w:hAnsi="Arial"/>
          <w:sz w:val="18"/>
          <w:szCs w:val="18"/>
          <w:i w:val="1"/>
          <w:iCs w:val="1"/>
          <w:color w:val="auto"/>
        </w:rPr>
        <w:t>DOD</w:t>
      </w:r>
      <w:r>
        <w:rPr>
          <w:rFonts w:ascii="Arial" w:cs="Arial" w:eastAsia="Arial" w:hAnsi="Arial"/>
          <w:sz w:val="18"/>
          <w:szCs w:val="18"/>
          <w:color w:val="auto"/>
        </w:rPr>
        <w:t>), for multiple additional anxiety-related indications, including adjustment disorder with anxiety related to the COVID-19 pandemic, postpartum anxiety, post-traumatic stress disorder, preoperative anxiety, panic disorder and potentially other anxiety-related disorders;</w:t>
      </w:r>
    </w:p>
    <w:p>
      <w:pPr>
        <w:spacing w:after="0" w:line="13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PH10 into and through Phase 2B clinical development for treatment of MDD in the U.S. on our own, and, if our U.S. Phase 2B development efforts are successful, advance and complete Phase 3 clinical development of PH10 for treatment of MDD, on our in the U.S. and with Collaborators outside the U.S.;</w:t>
      </w:r>
    </w:p>
    <w:p>
      <w:pPr>
        <w:spacing w:after="0" w:line="126"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 for and obtain regulatory approval of PH10 for treatment of MDD on our own in the U.S. and with Collaborators outside the U.S., if our Phase 3 clinical development efforts are successful;</w:t>
      </w:r>
    </w:p>
    <w:p>
      <w:pPr>
        <w:spacing w:after="0" w:line="118"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Commercialize PH10, initially for treatment of MDD, on our own in the U.S. and with Collaborators outside the U.S., if and when approved for treatment of MDD in the U.S. and other markets;</w:t>
      </w:r>
    </w:p>
    <w:p>
      <w:pPr>
        <w:spacing w:after="0" w:line="11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Pursue exploratory Phase 2 clinical development of PH10, on or own or with Collaborators, academic institutions, private foundations and/or U.S. government institutions for multiple additional depression-related indications, including postpartum depression, treatment resistant depression and suicidal ideation;</w:t>
      </w:r>
    </w:p>
    <w:p>
      <w:pPr>
        <w:spacing w:after="0" w:line="126"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 for and obtain regulatory approval of PH10 for treatment of MDD in the U.S., if it has advanced into and successfully completed Phase 3 development;</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Commercialize PH10 on our own in the U.S. and with Collaborators outside the U.S., if and when approved;</w:t>
      </w:r>
    </w:p>
    <w:p>
      <w:pPr>
        <w:spacing w:after="0" w:line="157"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Pursue exploratory Phase 1 and Phase 2 clinical development of AV-101 in combination with probenecid, on our own or with academic institutions, private foundations and/or U.S. government institutions in the U.S., and with Collaborators outside the U.S., for treatment of multiple CNS indications involving abnormal NDAR function, including depression, dyskinesia associated with levodopa therapy for Parkinson’s disease, epilepsy, neuropathic pain and suicidal ideation;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980" w:hanging="324"/>
        <w:spacing w:after="0" w:line="25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AV-101, in combination with probenecid, on our own into and through Phase 2B clinical development for treatment of one or more CNS indications involving abnormal NMDAR function, and, if our U.S. Phase 2B development program is successful, advance and complete Phase 3 clinical development of AV-101, in combination with probenecid, for treatment of such indication(s), on our in the U.S. and with Collaborators outside the U.S.;</w:t>
      </w:r>
    </w:p>
    <w:p>
      <w:pPr>
        <w:spacing w:after="0" w:line="196"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 for and obtain regulatory approval in the U.S. of AV-101, in combination with probenecid, for treatment of one or more CNS indications involving abnormal NMDAR function, if it has advanced into and successfully completed Phase 3 development;</w:t>
      </w:r>
    </w:p>
    <w:p>
      <w:pPr>
        <w:spacing w:after="0" w:line="21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Commercialize AV-101 on our own in the U.S. and with Collaborators outside the U.S., if and when approved;</w:t>
      </w:r>
    </w:p>
    <w:p>
      <w:pPr>
        <w:spacing w:after="0" w:line="252"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 the market potential and regulatory pathways for our product candidates in countries outside the U.S., and move forward where and when it may make business and strategic sense for us to proceed;</w:t>
      </w:r>
    </w:p>
    <w:p>
      <w:pPr>
        <w:spacing w:after="0" w:line="118"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Explore potential for development and commercialization collaborations to advance clinical development, file for and obtain regulatory approval of, and commercialize our product candidates in global markets outside the U.S.;</w:t>
      </w:r>
    </w:p>
    <w:p>
      <w:pPr>
        <w:spacing w:after="0" w:line="118"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our research and development efforts to evaluate the potential for our existing product candidates in the treatment of additional CNS indications, and the identification of new drug candidates and new areas of interest;</w:t>
      </w:r>
    </w:p>
    <w:p>
      <w:pPr>
        <w:spacing w:after="0" w:line="11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Utilize the strengths of VistaStem and its proprietary hPSC-based cardiotoxicity assay system,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our scientific know-how to both expand our CNS product candidate portfolio through our internal drug rescue programs and lessen our long-term reliance on the success of any one particular program to facilitate our long-term growth; and</w:t>
      </w:r>
    </w:p>
    <w:p>
      <w:pPr>
        <w:spacing w:after="0" w:line="126" w:lineRule="exact"/>
        <w:rPr>
          <w:rFonts w:ascii="Arial" w:cs="Arial" w:eastAsia="Arial" w:hAnsi="Arial"/>
          <w:sz w:val="18"/>
          <w:szCs w:val="18"/>
          <w:color w:val="auto"/>
        </w:rPr>
      </w:pPr>
    </w:p>
    <w:p>
      <w:pPr>
        <w:jc w:val="both"/>
        <w:ind w:left="980" w:right="2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Leverage the strengths of VistaStem and its hPSC-based intellectual property portfolio to explore potential for one or more additional strategic out-licensing transactions in the predictive toxicology, regenerative medicine and/or cell therapy fields focused on applications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assay system and/or blood, cartilage and liver cells.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Product Pipeline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our development programs as of the filing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147955</wp:posOffset>
            </wp:positionV>
            <wp:extent cx="6197600" cy="4225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7600" cy="422592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 w:name="page8"/>
    <w:bookmarkEnd w:id="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Our Lead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PH94B Neuroactive Nasal Spray for Acute Treatment of Social Anxiety Disorder</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Social Anxiety Disorder affects over 20 million Americans and, according to the NIH, is the third most common psychiatric condition after depression and substance abuse. A person with SAD feels intense, persistent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SAD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them. Some people with SAD do not have anxiety in social situations, but instead have performance anxiety. They feel physical symptoms of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Only three drugs, all oral antidepressant drugs (</w:t>
      </w:r>
      <w:r>
        <w:rPr>
          <w:rFonts w:ascii="Arial" w:cs="Arial" w:eastAsia="Arial" w:hAnsi="Arial"/>
          <w:sz w:val="16"/>
          <w:szCs w:val="16"/>
          <w:i w:val="1"/>
          <w:iCs w:val="1"/>
          <w:color w:val="auto"/>
        </w:rPr>
        <w:t>AD</w:t>
      </w:r>
      <w:r>
        <w:rPr>
          <w:rFonts w:ascii="Arial" w:cs="Arial" w:eastAsia="Arial" w:hAnsi="Arial"/>
          <w:sz w:val="16"/>
          <w:szCs w:val="16"/>
          <w:color w:val="auto"/>
        </w:rPr>
        <w:t>s),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and no drug is FDA-approved for acute, on-demand treatment of SAD. These FDA-approved chronic oral ADs have slow onset of effect (often many weeks or months) and significant side effects that may make them inadequate or inappropriate treatment alternatives for many individuals affected by acute, episodic symptoms of SAD. Benzodiazepines, often referred to as “benzos,” and beta blockers, both of which are not FDA-approved to treat SAD, also are prescribed by psychiatrists and physicians for treatment of SAD on an off-label basis. Unlike ADs, which can take several weeks to take full effect, benzodiazepines have rapid-onset effect by slowing the nervous system to induce a calming effect that can last up to twelve hours. However, the safety concerns and side effects of benzodiazepines, many of which are similar to side effects of alcohol, also can appear rapidly. Extended use of benzodiazepines may lead to physical dependence, and weaning off benzodiazepines can take up to many months, often resulting in severe withdrawal symptoms, including muscle pain, sweating, blurred vision, depression, seizures and delirium tremens similar to those experienced with alcohol withdrawal. Benzodiazepines users also can build up a tolerance that requires increasingly larger doses over time. When taken with opioid drugs, benzodiazepine use may be quite dangerous, so much so that in 2016 the FDA ordered that benzodiazepines must display a “black box” label on bottles to warn against their potential for dangerous interactions with opioids. We believe PH94B, with its rapid-onset activity without systemic exposure and its lack of benzodiazepine-like side effects and safety concerns, has potential to displace benzodiazepines in many established anxiety disorder treatment paradigms.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PH94B neuroactive nasal spray is a synthetic investigational neurosteroid with a novel, rapid-onset mechanism of action developed from proprietary compounds called pherines and administered at microgram doses as an odorless nasal spray. The pharmacological activity of VistaGen’s PH94B is fundamentally differentiated from that of all FDA-approved anti-anxiety drugs, or anxiolytics, including all ADs approved by the FDA for treatment of SAD. PH94B engages nasal chemosensory receptors that trigger a subset of neurons in the main olfactory bulbs (</w:t>
      </w:r>
      <w:r>
        <w:rPr>
          <w:rFonts w:ascii="Arial" w:cs="Arial" w:eastAsia="Arial" w:hAnsi="Arial"/>
          <w:sz w:val="16"/>
          <w:szCs w:val="16"/>
          <w:i w:val="1"/>
          <w:iCs w:val="1"/>
          <w:color w:val="auto"/>
        </w:rPr>
        <w:t>OB</w:t>
      </w:r>
      <w:r>
        <w:rPr>
          <w:rFonts w:ascii="Arial" w:cs="Arial" w:eastAsia="Arial" w:hAnsi="Arial"/>
          <w:sz w:val="16"/>
          <w:szCs w:val="16"/>
          <w:color w:val="auto"/>
        </w:rPr>
        <w:t>) in nasal passages. The OB neurons then stimulate inhibitory GABAergic neurons in the limbic amygdala, decreasing release of norepinephrine, and facilitating fear extinction activity of the limbic-hypothalamic system, the main fear and anxiety center in the brain, as well as other parts of the brain. Importantly, PH94B does not require systemic uptake and distribution to produce its rapid-onset anti-anxiety effects.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 peer-reviewed, published, randomized, double-blind, placebo-controlled Phase 2 clinical trial (n=91), with Dr. Michael Liebowitz, the creator of the Liebowitz Social Anxiety Scale (</w:t>
      </w:r>
      <w:r>
        <w:rPr>
          <w:rFonts w:ascii="Arial" w:cs="Arial" w:eastAsia="Arial" w:hAnsi="Arial"/>
          <w:sz w:val="18"/>
          <w:szCs w:val="18"/>
          <w:i w:val="1"/>
          <w:iCs w:val="1"/>
          <w:color w:val="auto"/>
        </w:rPr>
        <w:t>LSAS</w:t>
      </w:r>
      <w:r>
        <w:rPr>
          <w:rFonts w:ascii="Arial" w:cs="Arial" w:eastAsia="Arial" w:hAnsi="Arial"/>
          <w:sz w:val="18"/>
          <w:szCs w:val="18"/>
          <w:color w:val="auto"/>
        </w:rPr>
        <w:t>), as principal investigator, PH94B was significantly more effective than placebo in reducing both public-speaking (performance) anxiety (p=0.002) and social interaction anxiety (p=0.009) in laboratory-induced challenges of individuals with SAD, as assessed using subjective anxiety ratings on the Subjective Units of Distress Scale (</w:t>
      </w:r>
      <w:r>
        <w:rPr>
          <w:rFonts w:ascii="Arial" w:cs="Arial" w:eastAsia="Arial" w:hAnsi="Arial"/>
          <w:sz w:val="18"/>
          <w:szCs w:val="18"/>
          <w:i w:val="1"/>
          <w:iCs w:val="1"/>
          <w:color w:val="auto"/>
        </w:rPr>
        <w:t>SUDS</w:t>
      </w:r>
      <w:r>
        <w:rPr>
          <w:rFonts w:ascii="Arial" w:cs="Arial" w:eastAsia="Arial" w:hAnsi="Arial"/>
          <w:sz w:val="18"/>
          <w:szCs w:val="18"/>
          <w:color w:val="auto"/>
        </w:rPr>
        <w:t>) within 15 minutes of self-administration of a non-systemic 1.6 microgram dose of PH94B.</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379730</wp:posOffset>
            </wp:positionV>
            <wp:extent cx="6000750" cy="6412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0" cy="641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all Phase 1 and Phase 2 studies to date, PH94B’s safety profile has been exceptional, without indication of abuse potential, psychological side effects (such as dissociation or hallucinations), sedation or other side effects and safety concerns that may be associated with ADs approved by the FDA for treatment of SAD, as well as with benzodiazepines and beta blockers. Based on its novel mechanism of pharmacological action, rapid-onset of therapeutic effects and exceptional safety and tolerability profile in Phase 2 development, we are preparing for Phase 3 development of PH94B in the U.S. and abroad. Our goal is to develop and commercialize PH94B as the first FDA-approved, fast-acting, on-demand, acute treatment for SAD without debilitating side effects and safety concerns.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PH10 Neuroactive Nasal Spray for Major Depressive Disorder</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According to 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depression is the leading cause of disability worldwide, affecting over 300 million people. Statistics from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indicate that an estimated 17.3 million adults in the U.S., or approximately 7.1% of all adults in the U.S., had at least one major depressive episode in 2017. While most people will experience depressed mood at some point during their lifetime, MDD is different. MDD is the chronic, pervasive feeling of utter unhappiness and suffering, which impairs daily functioning. In typical depressive episodes, an individual experiences depressed mood, loss of interest and enjoyment, and reduced energy leading to diminished activity and impaired daily functioning for at least two weeks and often much longer. Symptoms of MDD also may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many people, depression cannot be controlled for any length of time without treatment. Current oral ADs available in the multi-billion-dollar global depression market have modest efficacy, substantial lag of onset of action, and considerable side effects. Approximately two out of every three depression sufferers do not receive adequate therapeutic benefits from their initial treatment with a standard AD, and the likelihood of achieving remission of depressive symptoms declines with each successive AD treatment attempt. Even after multiple treatment attempts, approximately one-third of depression sufferers still fail to find an adequately effective AD. In addition, this trial and error process and the systemic effects of the various ADs involved may increase the risk of patient tolerability issues and serious side effects, including suicidal thoughts and behaviors in certain groups. New generation ADs with different mechanisms of action, faster onset activity and fewer side effects are needed.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safety profiles.</w:t>
      </w:r>
    </w:p>
    <w:p>
      <w:pPr>
        <w:spacing w:after="0" w:line="12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PH10 neuroactive nasal spray is a synthetic investigational neurosteroid with a novel, rapid-onset mechanism of action (</w:t>
      </w:r>
      <w:r>
        <w:rPr>
          <w:rFonts w:ascii="Arial" w:cs="Arial" w:eastAsia="Arial" w:hAnsi="Arial"/>
          <w:sz w:val="16"/>
          <w:szCs w:val="16"/>
          <w:i w:val="1"/>
          <w:iCs w:val="1"/>
          <w:color w:val="auto"/>
        </w:rPr>
        <w:t>MOA</w:t>
      </w:r>
      <w:r>
        <w:rPr>
          <w:rFonts w:ascii="Arial" w:cs="Arial" w:eastAsia="Arial" w:hAnsi="Arial"/>
          <w:sz w:val="16"/>
          <w:szCs w:val="16"/>
          <w:color w:val="auto"/>
        </w:rPr>
        <w:t>) that is fundamentally different from the MOA of all current treatments for MDD. Developed from proprietary compounds called pherines, PH10 is self-administered at microgram doses as an odorless nasal spray. PH10 activates nasal chemosensory receptors that trigger neural circuits in the brain that produce antidepressant effects. Specifically, PH10 engages nasal chemosensory receptors that trigger a subset of neurons in the main OB. OB neurons then stimulate neurons in the limbic amygdala that release norepinephrine and increase activity of the limbic-hypothalamic sympathetic nervous system. Importantly, unlike all currently approved ADs, PH10 does not require systemic uptake and distribution to produce its rapid-onset antidepressant effects. In addition, in clinical studies to date, PH10 has not caused psychological side effects (such as dissociation and hallucinations) or safety concerns that may be associated with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intranasal ketamine (esketamine), a nasal spray.</w:t>
      </w:r>
    </w:p>
    <w:p>
      <w:pPr>
        <w:spacing w:after="0" w:line="11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 peer-reviewed, published exploratory Phase 2A clinical study (n=30), PH10, self-administered at a dose of 6.4 micrograms, was well-tolerated and demonstrated significant (p=0.022) rapid-onset antidepressant effects, which were sustained over an 8-week period, as measured by the Hamilton Depression Rating Scale-17 (</w:t>
      </w:r>
      <w:r>
        <w:rPr>
          <w:rFonts w:ascii="Arial" w:cs="Arial" w:eastAsia="Arial" w:hAnsi="Arial"/>
          <w:sz w:val="16"/>
          <w:szCs w:val="16"/>
          <w:i w:val="1"/>
          <w:iCs w:val="1"/>
          <w:color w:val="auto"/>
        </w:rPr>
        <w:t>HAM-D-17</w:t>
      </w:r>
      <w:r>
        <w:rPr>
          <w:rFonts w:ascii="Arial" w:cs="Arial" w:eastAsia="Arial" w:hAnsi="Arial"/>
          <w:sz w:val="16"/>
          <w:szCs w:val="16"/>
          <w:color w:val="auto"/>
        </w:rPr>
        <w:t>), without side effects or safety concerns that may be caused by certain oral ADs or KBT.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379730</wp:posOffset>
            </wp:positionV>
            <wp:extent cx="6677660" cy="3883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7766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With its potential for rapid-onset activity at a microgram dose that does not require systemic uptake to achieve sustained antidepressant effects, and, as demonstrated in the PH10 Phase 2A program for MDD, an exceptional safety profile that is not expected to require administration in a clinical setting, we believe PH10 has transformative potential in the treatment paradigm for multiple applications in global depression markets. Based on positive results from the PH10 Phase 2A program, we are preparing to conduct two nonclinical studies necessary to support submission of our Investigational New Drug (</w:t>
      </w:r>
      <w:r>
        <w:rPr>
          <w:rFonts w:ascii="Arial" w:cs="Arial" w:eastAsia="Arial" w:hAnsi="Arial"/>
          <w:sz w:val="16"/>
          <w:szCs w:val="16"/>
          <w:i w:val="1"/>
          <w:iCs w:val="1"/>
          <w:color w:val="auto"/>
        </w:rPr>
        <w:t>IND</w:t>
      </w:r>
      <w:r>
        <w:rPr>
          <w:rFonts w:ascii="Arial" w:cs="Arial" w:eastAsia="Arial" w:hAnsi="Arial"/>
          <w:sz w:val="16"/>
          <w:szCs w:val="16"/>
          <w:color w:val="auto"/>
        </w:rPr>
        <w:t>) application to the FDA for Phase 2B clinical development of PH10 for rapid-onset treatment of MDD. Our goal is to submit our IND for a Phase 2B study of PH10 in MDD in the first half of 2021, and, if authorized by the FDA, begin the study in the second half of 2021. Although our initial plan is to develop PH94B as a new stand-alone therapy for MDD, we also believe PH10 has potential as a stand-alone therapy for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and postpartum depression (</w:t>
      </w:r>
      <w:r>
        <w:rPr>
          <w:rFonts w:ascii="Arial" w:cs="Arial" w:eastAsia="Arial" w:hAnsi="Arial"/>
          <w:sz w:val="16"/>
          <w:szCs w:val="16"/>
          <w:i w:val="1"/>
          <w:iCs w:val="1"/>
          <w:color w:val="auto"/>
        </w:rPr>
        <w:t>PPD</w:t>
      </w:r>
      <w:r>
        <w:rPr>
          <w:rFonts w:ascii="Arial" w:cs="Arial" w:eastAsia="Arial" w:hAnsi="Arial"/>
          <w:sz w:val="16"/>
          <w:szCs w:val="16"/>
          <w:color w:val="auto"/>
        </w:rPr>
        <w:t>), and as an adjunctive therapy to augment current FDA-approved ADs for individuals with MDD, TRD and PPD who have an inadequate response to their current ADs and to prevent relapse following successful treatment with KBT.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with Probenecid for MDD</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AV-101 (4-Cl-KYN) is a novel, oral prodrug that targets the NMDAR (N-methyl-D-aspartate receptor), an ionotropic glutamate receptor in the brain. Abnormal NMDAR function is associated with numerous CNS diseases and disorders. The active metabolite of AV-101, 7-chloro-kynurenic acid (7-Cl-KYNA), is a potent and selective full antagonist of the glycine coagonist site of the NMDAR that inhibits the function of the NMDAR. Unlike ketamine and many other NMDAR antagonists, 7-Cl-KYNA is not an ion channel blocker. In clinical and nonclinical testing, AV-101 has good oral bioavailability, an excellent pharmacokinetic (</w:t>
      </w:r>
      <w:r>
        <w:rPr>
          <w:rFonts w:ascii="Arial" w:cs="Arial" w:eastAsia="Arial" w:hAnsi="Arial"/>
          <w:sz w:val="16"/>
          <w:szCs w:val="16"/>
          <w:i w:val="1"/>
          <w:iCs w:val="1"/>
          <w:color w:val="auto"/>
        </w:rPr>
        <w:t>PK</w:t>
      </w:r>
      <w:r>
        <w:rPr>
          <w:rFonts w:ascii="Arial" w:cs="Arial" w:eastAsia="Arial" w:hAnsi="Arial"/>
          <w:sz w:val="16"/>
          <w:szCs w:val="16"/>
          <w:color w:val="auto"/>
        </w:rPr>
        <w:t>) profile, and is not an inhibitor or inducer of the human cytochrome P450 (</w:t>
      </w:r>
      <w:r>
        <w:rPr>
          <w:rFonts w:ascii="Arial" w:cs="Arial" w:eastAsia="Arial" w:hAnsi="Arial"/>
          <w:sz w:val="16"/>
          <w:szCs w:val="16"/>
          <w:i w:val="1"/>
          <w:iCs w:val="1"/>
          <w:color w:val="auto"/>
        </w:rPr>
        <w:t>CYP</w:t>
      </w:r>
      <w:r>
        <w:rPr>
          <w:rFonts w:ascii="Arial" w:cs="Arial" w:eastAsia="Arial" w:hAnsi="Arial"/>
          <w:sz w:val="16"/>
          <w:szCs w:val="16"/>
          <w:color w:val="auto"/>
        </w:rPr>
        <w:t>) isoforms. No binding of AV-101 or 7-Cl-KYNA to off-site targets was identified by an extensive receptor screening. Moreover, in all clinical trials to date, AV-101 has been safe and very well-tolerated with no psychological side effects or safety concerns, and no treatment-related serious adverse events that are often observed with classic channel-blocking NMDAR antagonists such as ketamine and amantadine.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late-2019, we completed a double-blind, placebo-controlled, Phase 2 clinical trial of AV-101 as a potential adjunctive treatment, together with a standard oral AD, in MDD patients who had an inadequate response to a stable dose of a standard oral AD (the </w:t>
      </w:r>
      <w:r>
        <w:rPr>
          <w:rFonts w:ascii="Arial" w:cs="Arial" w:eastAsia="Arial" w:hAnsi="Arial"/>
          <w:sz w:val="18"/>
          <w:szCs w:val="18"/>
          <w:i w:val="1"/>
          <w:iCs w:val="1"/>
          <w:color w:val="auto"/>
        </w:rPr>
        <w:t>Elevate Study</w:t>
      </w:r>
      <w:r>
        <w:rPr>
          <w:rFonts w:ascii="Arial" w:cs="Arial" w:eastAsia="Arial" w:hAnsi="Arial"/>
          <w:sz w:val="18"/>
          <w:szCs w:val="18"/>
          <w:color w:val="auto"/>
        </w:rPr>
        <w:t>). Topline results of the Elevate Study (n=199) indicated that the AV-101 treatment arm (1440 mg) did not differentiate from placebo on the primary endpoint (change in the Montgomery-Åsberg Depression Rating Scale (</w:t>
      </w:r>
      <w:r>
        <w:rPr>
          <w:rFonts w:ascii="Arial" w:cs="Arial" w:eastAsia="Arial" w:hAnsi="Arial"/>
          <w:sz w:val="18"/>
          <w:szCs w:val="18"/>
          <w:i w:val="1"/>
          <w:iCs w:val="1"/>
          <w:color w:val="auto"/>
        </w:rPr>
        <w:t>MADRS-10</w:t>
      </w:r>
      <w:r>
        <w:rPr>
          <w:rFonts w:ascii="Arial" w:cs="Arial" w:eastAsia="Arial" w:hAnsi="Arial"/>
          <w:sz w:val="18"/>
          <w:szCs w:val="18"/>
          <w:color w:val="auto"/>
        </w:rPr>
        <w:t>) total score compared to baseline). After further analysis, we believe that this was likely due to sub-therapeutic concentrations in the brain of 7-Cl-KYNA, the active metabolite of AV-101, resulting from the activity of certain organic ion efflux transporters which reduce 7-Cl-KYNA concentrations in the brain. As in all prior clinical studies, in the Elevate Study, AV-101 was well tolerated, with no psychotomimetic side effects or drug-related serious adverse events.</w:t>
      </w:r>
    </w:p>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Recent discoveries from successful AV-101 preclinical studies suggest that there is a substantial increase in brain concentrations of AV-101 and 7-Cl-KYNA when AV-101 is given together with probenecid, which is known to block activity of certain organic ion efflux transporters in the kidney. These surprising results in the brain were first revealed in our recent preclinical studies, and are consistent with well-documented clinical studies of probenecid increasing the therapeutic levels in the blood of several unrelated classes of approved drugs, including certain antibacterial, anticancer and antivirals. Many clinical studies demonstrate that probenecid is safe and well tolerated. Probenecid administered adjunctively with AV-101 in an animal model resulted in substantial increased brain concentrations of AV-101 (7-fold) and 7-Cl-KYNA (35-fold). We also recently identified that these increases in brain levels could result from blocking of some of the same transporters in the blood brain barrier that are expressed in the kidney, which are used to regulate drug levels in the blood.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was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 Recent nonclinical results also indicate that chronic administration of 4-Cl-KYN induces hippocampal neurogenesis, a hallmark of drugs that have antidepressive effects, and increases endogenous levels of KYNA, which also is a functional NMDAR glycine site antagonist.</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a Phase 1B target engagement clinical study completed after the Elevate Study by the Baylor College of Medicine (</w:t>
      </w:r>
      <w:r>
        <w:rPr>
          <w:rFonts w:ascii="Arial" w:cs="Arial" w:eastAsia="Arial" w:hAnsi="Arial"/>
          <w:sz w:val="17"/>
          <w:szCs w:val="17"/>
          <w:i w:val="1"/>
          <w:iCs w:val="1"/>
          <w:color w:val="auto"/>
        </w:rPr>
        <w:t>Baylor</w:t>
      </w:r>
      <w:r>
        <w:rPr>
          <w:rFonts w:ascii="Arial" w:cs="Arial" w:eastAsia="Arial" w:hAnsi="Arial"/>
          <w:sz w:val="17"/>
          <w:szCs w:val="17"/>
          <w:color w:val="auto"/>
        </w:rPr>
        <w:t>), with financial support from the U.S. Department of Veterans Affairs (</w:t>
      </w:r>
      <w:r>
        <w:rPr>
          <w:rFonts w:ascii="Arial" w:cs="Arial" w:eastAsia="Arial" w:hAnsi="Arial"/>
          <w:sz w:val="17"/>
          <w:szCs w:val="17"/>
          <w:i w:val="1"/>
          <w:iCs w:val="1"/>
          <w:color w:val="auto"/>
        </w:rPr>
        <w:t>VA</w:t>
      </w:r>
      <w:r>
        <w:rPr>
          <w:rFonts w:ascii="Arial" w:cs="Arial" w:eastAsia="Arial" w:hAnsi="Arial"/>
          <w:sz w:val="17"/>
          <w:szCs w:val="17"/>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7"/>
          <w:szCs w:val="17"/>
          <w:i w:val="1"/>
          <w:iCs w:val="1"/>
          <w:color w:val="auto"/>
        </w:rPr>
        <w:t>EEG</w:t>
      </w:r>
      <w:r>
        <w:rPr>
          <w:rFonts w:ascii="Arial" w:cs="Arial" w:eastAsia="Arial" w:hAnsi="Arial"/>
          <w:sz w:val="17"/>
          <w:szCs w:val="17"/>
          <w:color w:val="auto"/>
        </w:rPr>
        <w:t xml:space="preserve">) biomarkers related to NMDAR function, as well as blood biomarkers associated with suicidality (the </w:t>
      </w:r>
      <w:r>
        <w:rPr>
          <w:rFonts w:ascii="Arial" w:cs="Arial" w:eastAsia="Arial" w:hAnsi="Arial"/>
          <w:sz w:val="17"/>
          <w:szCs w:val="17"/>
          <w:i w:val="1"/>
          <w:iCs w:val="1"/>
          <w:color w:val="auto"/>
        </w:rPr>
        <w:t>Baylor Study</w:t>
      </w:r>
      <w:r>
        <w:rPr>
          <w:rFonts w:ascii="Arial" w:cs="Arial" w:eastAsia="Arial" w:hAnsi="Arial"/>
          <w:sz w:val="17"/>
          <w:szCs w:val="17"/>
          <w:color w:val="auto"/>
        </w:rPr>
        <w:t>). The findings from the Baylor Study suggest that, in healthy Veterans, the higher dose of AV-101 (1440 mg) was associated with dose-related increase in the 40 Hz Auditory Steady State Response (</w:t>
      </w:r>
      <w:r>
        <w:rPr>
          <w:rFonts w:ascii="Arial" w:cs="Arial" w:eastAsia="Arial" w:hAnsi="Arial"/>
          <w:sz w:val="17"/>
          <w:szCs w:val="17"/>
          <w:i w:val="1"/>
          <w:iCs w:val="1"/>
          <w:color w:val="auto"/>
        </w:rPr>
        <w:t>ASSR</w:t>
      </w:r>
      <w:r>
        <w:rPr>
          <w:rFonts w:ascii="Arial" w:cs="Arial" w:eastAsia="Arial" w:hAnsi="Arial"/>
          <w:sz w:val="17"/>
          <w:szCs w:val="17"/>
          <w:color w:val="auto"/>
        </w:rPr>
        <w:t>), a robust measure of the integrity of inhibitory interneuron synchronization that is associated with NMDAR inhibition. Findings from the successful Baylor Study were presented at the 58</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Annual Meeting of the American College of Neuropsychopharmacology (</w:t>
      </w:r>
      <w:r>
        <w:rPr>
          <w:rFonts w:ascii="Arial" w:cs="Arial" w:eastAsia="Arial" w:hAnsi="Arial"/>
          <w:sz w:val="17"/>
          <w:szCs w:val="17"/>
          <w:i w:val="1"/>
          <w:iCs w:val="1"/>
          <w:color w:val="auto"/>
        </w:rPr>
        <w:t>ACNP</w:t>
      </w:r>
      <w:r>
        <w:rPr>
          <w:rFonts w:ascii="Arial" w:cs="Arial" w:eastAsia="Arial" w:hAnsi="Arial"/>
          <w:sz w:val="17"/>
          <w:szCs w:val="17"/>
          <w:color w:val="auto"/>
        </w:rPr>
        <w:t>) in Orlando, Florida in December 2019.</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We are conducting additional preclinical studies of AV-101 with adjunctive probenecid to evaluate its potential applicability to NMDAR-focused CNS indications for which we have existing AV-101 data without probenecid (depression, epilepsy, levodopa-induced dyskinesia, and neuropathic pain) to determine the most appropriate next-step clinical studies of AV-101 plus adjunctive probenecid, which may include MDD, and optimal commercialization of AV-101.</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FDA has granted Fast Track designation for development of AV-101 as an adjunctive treatment for MDD in adult patients with an inadequate response to standard ADs.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Potential 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for Additional Anxiety Disorders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Disorder with Anxiety</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Almost everyone experiences significant life events, changes, or stressors and while some individuals adjust to such changes within a few months, others cannot and may struggle with adjustment disorder. Adjustment disorder is an emotional or behavioral reaction considered excessive or disproportionate to a sudden change, stressful event or major life change, such as loss of work, divorce or health setback, occurring within three months of the stressor, and/or significantly impairing a person’s social, occupational and/or other important areas of functioning. The stress-related disturbance does not represent normal bereavement or meet the criteria for another mental disorder and is not merely an exacerbation of a preexisting mental disorder.</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recent onset of mental health stressors associated with the COVID-19 pandemic has directly or indirectly affected hundreds of millions of individuals around the world. With the future still uncertain in the COVID-19 era, including uncertainty about safety and protocols for reopening and operating workplaces, schools, universities and sporting venues, as well as parks, beaches and other many other public and private locations, on top of fear and anxiety about catching and spreading the virus and about new waves of cases and a new round of stay-at-home orders, has increased prevalence of AjDA considerably during the COVID-19 pandemic. We believe the mental health impact of the COVID-19 pandemic will be long-term and varied across a wide range of anxiety disorders. PH94B has potential as a novel, acute treatment for AjDA, including stress and impaired functioning as a result of recent-onset of stressors brought on by the health, safety, economic and social circumstances and consequences of the COVID-19 pandemic. With successful Phase 2 development of PH94B for SAD completed and preparations for Phase 3 development underway, we are also planning exploratory Phase 2 development of PH94B for AjDA.</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recently submitted our proposed protocol for an exploratory Phase 2A study of PH94B for acute treatment of AjDA related to the COVID-19 pandemic to the FDA through the FDA’s Coronavirus Treatment Acceleration Program (</w:t>
      </w:r>
      <w:r>
        <w:rPr>
          <w:rFonts w:ascii="Arial" w:cs="Arial" w:eastAsia="Arial" w:hAnsi="Arial"/>
          <w:sz w:val="16"/>
          <w:szCs w:val="16"/>
          <w:i w:val="1"/>
          <w:iCs w:val="1"/>
          <w:color w:val="auto"/>
        </w:rPr>
        <w:t>CTAP</w:t>
      </w:r>
      <w:r>
        <w:rPr>
          <w:rFonts w:ascii="Arial" w:cs="Arial" w:eastAsia="Arial" w:hAnsi="Arial"/>
          <w:sz w:val="16"/>
          <w:szCs w:val="16"/>
          <w:color w:val="auto"/>
        </w:rPr>
        <w:t>). We plan to conduct the proposed Phase 2A study in New York City, the epicenter of the COVID-19 pandemic in the U.S., on an open-label basis and involve approximately 30 adult individuals suffering from AjDA from stressors related to the pandemic. Dr. Michael Liebowitz, Professor of Clinical Psychiatry at Columbia University and director of the Medical Research Network in New York City, will serve as Principal Investigator of the exploratory Phase 2A study. Our goal in this Phase 2A study is to gain initial experience with PH94B in this patient population, and, based on those results, apply that experience to advance development into a Phase 2B randomized, double-blind, placebo-controlled study of approximately 150 subjects with AjDA.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Postpartum Anxiety</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before the COVID-19 pandemic, there was compelling research indicating that about 17% of new mothers battle anxiety. Recent research reflects that the prevalence of postpartum anxiety (</w:t>
      </w:r>
      <w:r>
        <w:rPr>
          <w:rFonts w:ascii="Arial" w:cs="Arial" w:eastAsia="Arial" w:hAnsi="Arial"/>
          <w:sz w:val="16"/>
          <w:szCs w:val="16"/>
          <w:i w:val="1"/>
          <w:iCs w:val="1"/>
          <w:color w:val="auto"/>
        </w:rPr>
        <w:t>PPA</w:t>
      </w:r>
      <w:r>
        <w:rPr>
          <w:rFonts w:ascii="Arial" w:cs="Arial" w:eastAsia="Arial" w:hAnsi="Arial"/>
          <w:sz w:val="16"/>
          <w:szCs w:val="16"/>
          <w:color w:val="auto"/>
        </w:rPr>
        <w:t>) among new mothers is increasing significantly during the COVID-19 pandemic. Combined with commonly experienced hormone changes and sleep deprivation, key factors contributing to increasing mental health challenges among new mothers during the COVID-19 pandemic include job loss, lack of secure housing and access to healthcare, physical isolation from friends and family, increased childcare, educational and household duties, and fear and uncertainty about the state of the world for themselves and their newborn children.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its potential to produce rapid-onset therapeutic effects at microgram doses, without requiring systemic uptake and without causing sedation, we believe PH94B may be ideally suited for new mothers suffering with PPA, especially new mothers who are interested in breastfeeding and who would prefer a non-systemic, non-sedating therapeutic alternative.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collaboration with a leading academic university in the U.S., we are planning to explore opportunities to assess PH94B’s potential as a novel monotherapy for treating PPA in a small (n=25-30) open-label, Phase 2A study.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Post-Traumatic Stress Disorder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Post-traumatic stress disorder (</w:t>
      </w:r>
      <w:r>
        <w:rPr>
          <w:rFonts w:ascii="Arial" w:cs="Arial" w:eastAsia="Arial" w:hAnsi="Arial"/>
          <w:sz w:val="18"/>
          <w:szCs w:val="18"/>
          <w:i w:val="1"/>
          <w:iCs w:val="1"/>
          <w:color w:val="auto"/>
        </w:rPr>
        <w:t>PTSD</w:t>
      </w:r>
      <w:r>
        <w:rPr>
          <w:rFonts w:ascii="Arial" w:cs="Arial" w:eastAsia="Arial" w:hAnsi="Arial"/>
          <w:sz w:val="18"/>
          <w:szCs w:val="18"/>
          <w:color w:val="auto"/>
        </w:rPr>
        <w:t>) is a clinically diagnosed psychiatric disorder that develops in some people who have experienced or witnessed a shocking, scary, dangerous or life-threatening event, such as military combat, natural disasters, terrorist incidents, serious accidents, or physical or sexual assault in adulthood or childhood. Symptoms of PTSD include flashbacks, nightmares, severe anxiety, uncontrollable intrusive thoughts, and emotional numbing after the event. More than 8 million people in the U.S. suffer from PTSD. Anyone can develop PTSD at any age. According to the National Center for PTSD, about seven or eight out of every 100 people will experience PTSD at some point in their lives. PTSD is often accompanied by depression, substance abuse or one or more of the other anxiety disorders.</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It is natural to feel afraid during and after a traumatic situation. Fear triggers many split-second changes in the body to help defend against danger or to avoid it. This “fight-or-flight” response is a typical reaction meant to protect a person from harm. Because PTSD is associated with a heightened “fight or flight” response mediated by increased sympathetic nervous response to conditioned stimuli, an agent which decreases sympathetic tone may be able to treat some symptoms of PTSD. In Phase 2 studies, at microgram doses, PH94B has been shown to have anti-anxiety effects in patients with both generalized anxiety disorder and SAD. PH94B may therefore have utility either as monotherapy or as add-on therapy in PTSD. Available therapeutic options for PTSD are limited, including only two FDA-approved SSRI antidepressants, which have limited efficacy, undesirable side effects, and target only the symptoms of PTSD, not the underlying disorder itself. We are currently assessing PH94B’s potential for exploratory Phase 2 clinical development as a new generation, rapid-acting, anxiolytic for treatment of PTSD.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Anxiety Disorder</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Generalized Anxiety Disorder (</w:t>
      </w:r>
      <w:r>
        <w:rPr>
          <w:rFonts w:ascii="Arial" w:cs="Arial" w:eastAsia="Arial" w:hAnsi="Arial"/>
          <w:sz w:val="16"/>
          <w:szCs w:val="16"/>
          <w:i w:val="1"/>
          <w:iCs w:val="1"/>
          <w:color w:val="auto"/>
        </w:rPr>
        <w:t>GAD</w:t>
      </w:r>
      <w:r>
        <w:rPr>
          <w:rFonts w:ascii="Arial" w:cs="Arial" w:eastAsia="Arial" w:hAnsi="Arial"/>
          <w:sz w:val="16"/>
          <w:szCs w:val="16"/>
          <w:color w:val="auto"/>
        </w:rPr>
        <w:t>) is a common chronic neuropsychiatric disorder characterized by persistent, debilitating and excessive concern and worry about family, friends, health, money, work, or other everyday issues and situations. Individuals with GAD find it difficult to control their worry and may worry more about actual circumstances than seems appropriate. They may also expect the worst even when there is no apparent reason to do so. GAD is diagnosed when an individual is unable or finds it difficult to control worry on more days than not for at least six months and has three or more of the many symptoms of GAD, such as excessive and ongoing worrying and tension, an unrealistic view of problems, restlessness, irritability, difficulty concentrating, or being easily startled. This differentiates GAD from worry that may be specific to a set stressor or for a more limited period of time. According to the Anxiety and Depression Association, GAD affects approximately 6.8 million adults in the U.S. in any given year. GAD comes on gradually and can begin across the life cycle, though the risk is highest between childhood and middle age.</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People with GAD do not know how to stop the worry cycle and feel it is beyond their control, even though they usually realize that their anxiety is more intense than the situation warrants. Many individuals with GAD may avoid situations because they have the disorder or they may not take advantage of important professional or social opportunities in their lives due to their anxiety and worry. When their anxiety is severe, it is difficult for individuals with GAD to carry out even the simplest of daily activities. Currently, the standard of care for GAD includes psychotherapy and certain medications with limited therapeutic benefits and various side effects and safety concerns, including antidepressants (SSRIs and SNRIs) and benzodiazepines.</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PH94B demonstrated efficacy in a small, exploratory, placebo-controlled Phase 2 study in patients with GAD. Twenty-one patients were randomized to receive 200 picograms of PH94B or placebo in a one-second aerosol pulse to the chemosensory epithelium of the anterior nasal septum. Thirty minutes after treatment there was mean reduction of 32.0% for the PH94B group and 19.6% for the placebo group in the total Hamilton Anxiety Rating Scale (</w:t>
      </w:r>
      <w:r>
        <w:rPr>
          <w:rFonts w:ascii="Arial" w:cs="Arial" w:eastAsia="Arial" w:hAnsi="Arial"/>
          <w:sz w:val="16"/>
          <w:szCs w:val="16"/>
          <w:i w:val="1"/>
          <w:iCs w:val="1"/>
          <w:color w:val="auto"/>
        </w:rPr>
        <w:t>HAM-A</w:t>
      </w:r>
      <w:r>
        <w:rPr>
          <w:rFonts w:ascii="Arial" w:cs="Arial" w:eastAsia="Arial" w:hAnsi="Arial"/>
          <w:sz w:val="16"/>
          <w:szCs w:val="16"/>
          <w:color w:val="auto"/>
        </w:rPr>
        <w:t>) score. Electrophysiological changes (respiratory, cardiac, and electrodermal frequency), concordant with the reduction in anxiety, were significantly greater for the PH94B group. We believe these transient anti-anxiety effects of PH94B may warrant further investigation in a larger Phase 2 GAD trial.</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assessing PH94B’s potential for exploratory Phase 2A studies to treat preoperative/pretesting anxiety and panic disorder. We are considering including open-label investigation in these populations in the context of our long-term safety study in parallel with Phase 3 development of PH94B for acute treatment of SAD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 for Treatment-resistant Depression and Postpartum Depression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Treatment-resistant Depression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404040"/>
        </w:rPr>
        <w:t xml:space="preserve">TRD is a form of depression that does not get better even after an individual has tried adequate and well-controlled doses of two different oral, FDA-approved antidepressant therapies taken for a sufficient period of time, usually at least six weeks. Approximately one-third of adults with MDD battle depression symptoms that do not respond to current oral AD treatments, including persistent feelings of sadness, disturbances in their sleep patterns, low energy and thoughts of suicide. </w:t>
      </w:r>
      <w:r>
        <w:rPr>
          <w:rFonts w:ascii="Arial" w:cs="Arial" w:eastAsia="Arial" w:hAnsi="Arial"/>
          <w:sz w:val="16"/>
          <w:szCs w:val="16"/>
          <w:color w:val="000000"/>
        </w:rPr>
        <w:t>Certain populations, especially women and elderly individuals, experience TRD at higher rates than others. Individuals who endure severe</w:t>
      </w:r>
      <w:r>
        <w:rPr>
          <w:rFonts w:ascii="Arial" w:cs="Arial" w:eastAsia="Arial" w:hAnsi="Arial"/>
          <w:sz w:val="16"/>
          <w:szCs w:val="16"/>
          <w:color w:val="404040"/>
        </w:rPr>
        <w:t xml:space="preserve"> </w:t>
      </w:r>
      <w:r>
        <w:rPr>
          <w:rFonts w:ascii="Arial" w:cs="Arial" w:eastAsia="Arial" w:hAnsi="Arial"/>
          <w:sz w:val="16"/>
          <w:szCs w:val="16"/>
          <w:color w:val="000000"/>
        </w:rPr>
        <w:t xml:space="preserve">or frequently recurring bouts of depression also appear to be more susceptible to TRD. </w:t>
      </w:r>
      <w:r>
        <w:rPr>
          <w:rFonts w:ascii="Arial" w:cs="Arial" w:eastAsia="Arial" w:hAnsi="Arial"/>
          <w:sz w:val="16"/>
          <w:szCs w:val="16"/>
          <w:color w:val="404040"/>
        </w:rPr>
        <w:t>Individuals</w:t>
      </w:r>
      <w:r>
        <w:rPr>
          <w:rFonts w:ascii="Arial" w:cs="Arial" w:eastAsia="Arial" w:hAnsi="Arial"/>
          <w:sz w:val="16"/>
          <w:szCs w:val="16"/>
          <w:color w:val="000000"/>
        </w:rPr>
        <w:t xml:space="preserve"> with MDD who also have certain underlying medical conditions, such as thyroid disease, chronic pain, substance abuse and eating or sleep disorders, also may be at greater risk for TRD.</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certain individuals with TRD may benefit from giving their current oral antidepressant more time to work or by taking a larger dose, for others, switching to a different class of antidepressant, or augmenting their current AD with an FDA-approved atypical antipsychotic may lead to remission. In recent years,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which includes intravenous ketamine and intranasal esketamine given adjunctively with a new oral AD, have been effective in treating TRD. However, KBT has significant drawbacks. Certain patients receiving KBT may experience uncomfortable dissociative symptoms, hypertension, or other side effects for a few hours after administration. Additionally, because of these potential side effects and safety concerns, as well as the potential for abuse, KBT must be administered in a clinical setting.</w:t>
      </w:r>
    </w:p>
    <w:p>
      <w:pPr>
        <w:spacing w:after="0" w:line="1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With its potential for rapid-onset at a microgram dose that does not require systemic uptake to achieve sustained antidepressant effects, and, as demonstrated in the PH10 Phase 2A program for MDD, an exceptional safety profile that is not expected to require administration in a clinical setting, we believe PH10 has transformative potential in the treatment paradigm for multiple applications in global depression markets, including as a new stand-alone therapy for TRD and to prevent relapse following successful treatment for TRD with KBT. After we submit our IND for Phase 2B development of PH10 as a stand-alone treatment for MDD, we plan to assess its potential for exploratory Phase2A development as a treatment for TRD.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Postpartum Depression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New mothers face many challenges, both practical and emotional, when adjusting to life following the birth of a newborn child. PPD develops around the time a woman gives birth, occurring in approximately 15% of births, according to the NIMH. Women with PPD often struggle with anxiety, sadness, difficulty eating and sleeping, or disturbing thoughts of worthlessness, shame, guilt or suicide, all significant depressive symptoms that may commence during pregnancy or typically within the first few months following childbirth. Other symptoms of PPD may include agitation, loss of interest in daily activities, feeling overwhelmed and fatigued, and inability to concentrate. The current standard of care for PPD involves psychotherapy and, in certain mothers, off-label use of oral ADs or a recently-approved intravenous neurosteroid, all of which require systemic uptake to achieve a therapeutic effect, a potential complication for new mothers who wish to breastfeed their newborn child. The recently-approved intravenous neurosteroid requires a lengthy continuous intravenous infusion (approximately 60 hours) that must be administered in a clinical setting and may also cause sedation.</w:t>
      </w:r>
    </w:p>
    <w:p>
      <w:pPr>
        <w:spacing w:after="0" w:line="1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demonstrated in an exploratory Phase 2A study of PH10 in adults, including adult women, PH10, self-administered intranasally in microgram doses, does not require systemic uptake to achieve antidepressant effects and, based on its safety profile in all studies to date, is not expected to require inconvenient administration in a clinical setting. PH10 is fundamentally differentiated from the FDA-approved neurosteroid for PPD, as well as all and ADs used off-label for treatment of PPD. Based on prior clinical studies of PH10, including the exploratory Phase 2A clinical study of PH10 in MDD, we believe it has potential to be the first FDA-approved, rapid-onset, non-systemic stand-alone treatment for PPD. After we submit our IND for Phase 2B development of PH10 as a stand-alone treatment for MDD, we plan to assess its potential for exploratory Phase 2A development as a treatment for PPD.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 and AV-101 for Suicidal Ideation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According to the WHO, every year approximately 800,000 people worldwide take their own life and many more attempt suicide. The U.S. Centers for Disease Control (</w:t>
      </w:r>
      <w:r>
        <w:rPr>
          <w:rFonts w:ascii="Arial" w:cs="Arial" w:eastAsia="Arial" w:hAnsi="Arial"/>
          <w:sz w:val="16"/>
          <w:szCs w:val="16"/>
          <w:i w:val="1"/>
          <w:iCs w:val="1"/>
          <w:color w:val="auto"/>
        </w:rPr>
        <w:t>CDC</w:t>
      </w:r>
      <w:r>
        <w:rPr>
          <w:rFonts w:ascii="Arial" w:cs="Arial" w:eastAsia="Arial" w:hAnsi="Arial"/>
          <w:sz w:val="16"/>
          <w:szCs w:val="16"/>
          <w:color w:val="auto"/>
        </w:rPr>
        <w:t>) views suicide as a major public health concern in the U.S. as rates of suicide have been increasing for both men and women and across all age groups. Suicide is the 10th leading cause of death in the U.S. and is one of just three leading causes that are on the rise. According to experts in the field of suicidal ideation (</w:t>
      </w:r>
      <w:r>
        <w:rPr>
          <w:rFonts w:ascii="Arial" w:cs="Arial" w:eastAsia="Arial" w:hAnsi="Arial"/>
          <w:sz w:val="16"/>
          <w:szCs w:val="16"/>
          <w:i w:val="1"/>
          <w:iCs w:val="1"/>
          <w:color w:val="auto"/>
        </w:rPr>
        <w:t>SI</w:t>
      </w:r>
      <w:r>
        <w:rPr>
          <w:rFonts w:ascii="Arial" w:cs="Arial" w:eastAsia="Arial" w:hAnsi="Arial"/>
          <w:sz w:val="16"/>
          <w:szCs w:val="16"/>
          <w:color w:val="auto"/>
        </w:rPr>
        <w:t>), characterized as suicidal thoughts and behavior, the number of Americans who die by suicide is, since 2010, higher than those who die in motor vehicle accidents. People of all genders, ages, and ethnicities can be at risk for suicide. Suicidal ideation is complex and there is no single cause. The NIMH attributes many different factors to someone making a suicide attempt, including, but not limited to, depression, other mental health disorders or substance abuse. Additionally, according to reports released by the VA, the U.S. Military Veteran population is at significantly higher risk for suicide than the general population.</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noted, we collaborated with Baylor and the VA on a small Phase 1b clinical trial of AV-101 in healthy volunteer U.S. Military Veterans from Operation Enduring Freedom, Operation Iraqi Freedom or Operation New Dawn. The Baylor Study was a randomized, double-blind, placebo-controlled cross-over study designed as a target engagement study as the first-step in our plans to test potential anti-suicidal effects of AV-101 in U.S. Military Veterans who respond to ketamine-based therapy.</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Going forward, we believe both PH10 and AV-101 may play a key role in a new treatment paradigm for SI. Accordingly, based on results of various IND-enabling preclinical studies, and, after appropriate IND submissions, we will assess potential exploratory Phase 2A development of each drug candidate for treatment for stand-alone treatment of SI and/or adjunctive treatment of SI together with KBT or other AD therapies.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 for Certain CNS Diseases and Disorders related to Abnormal NMDAR Function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Neuropathic Pain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333333"/>
        </w:rPr>
        <w:t xml:space="preserve">NP affects approximately 33 million people in the United States (excluding patients with back pain) according to an article published in the Journal of Pain Research in 2017. NP is a complex, chronic pain state characterized by a steady burning "pins and needles" or "electric shock" sensation that results in abnormal neuronal function after nerve damage. </w:t>
      </w:r>
      <w:r>
        <w:rPr>
          <w:rFonts w:ascii="Arial" w:cs="Arial" w:eastAsia="Arial" w:hAnsi="Arial"/>
          <w:sz w:val="16"/>
          <w:szCs w:val="16"/>
          <w:color w:val="000000"/>
        </w:rPr>
        <w:t>The American Chronic Pain Association has identified various causes of NP, including tissue injury, nerve</w:t>
      </w:r>
      <w:r>
        <w:rPr>
          <w:rFonts w:ascii="Arial" w:cs="Arial" w:eastAsia="Arial" w:hAnsi="Arial"/>
          <w:sz w:val="16"/>
          <w:szCs w:val="16"/>
          <w:color w:val="333333"/>
        </w:rPr>
        <w:t xml:space="preserve"> </w:t>
      </w:r>
      <w:r>
        <w:rPr>
          <w:rFonts w:ascii="Arial" w:cs="Arial" w:eastAsia="Arial" w:hAnsi="Arial"/>
          <w:sz w:val="16"/>
          <w:szCs w:val="16"/>
          <w:color w:val="000000"/>
        </w:rPr>
        <w:t xml:space="preserve">damage or disease, diabetes, infection, toxins, certain types of drugs, such as antivirals and chemotherapeutic agents, certain cancers, and even chronic alcohol intake. </w:t>
      </w:r>
      <w:r>
        <w:rPr>
          <w:rFonts w:ascii="Arial" w:cs="Arial" w:eastAsia="Arial" w:hAnsi="Arial"/>
          <w:sz w:val="16"/>
          <w:szCs w:val="16"/>
          <w:color w:val="333333"/>
        </w:rPr>
        <w:t>Current treatments for NP include antidepressants, anticonvulsants (such as gabapentin and pregabalin), and opioids, among others. However, current</w:t>
      </w:r>
      <w:r>
        <w:rPr>
          <w:rFonts w:ascii="Arial" w:cs="Arial" w:eastAsia="Arial" w:hAnsi="Arial"/>
          <w:sz w:val="16"/>
          <w:szCs w:val="16"/>
          <w:color w:val="000000"/>
        </w:rPr>
        <w:t xml:space="preserve"> </w:t>
      </w:r>
      <w:r>
        <w:rPr>
          <w:rFonts w:ascii="Arial" w:cs="Arial" w:eastAsia="Arial" w:hAnsi="Arial"/>
          <w:sz w:val="16"/>
          <w:szCs w:val="16"/>
          <w:color w:val="333333"/>
        </w:rPr>
        <w:t>medications may offer inadequate efficacy, have limiting side effects, and be associated with abuse.</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effects of AV-101 as a potential new treatment for NP were assessed in published peer-reviewed preclinical studies involving four well-established models of pain. In these studies, AV-101 was observed to have robust, dose-dependent anti-nociceptive effects, as measured by dose-dependent reversal of NP in the Chung (nerve ligation), formalin and carrageenan thermal models in rats, and was well-tolerated. The publication, titled: “</w:t>
      </w:r>
      <w:r>
        <w:rPr>
          <w:rFonts w:ascii="Arial" w:cs="Arial" w:eastAsia="Arial" w:hAnsi="Arial"/>
          <w:sz w:val="16"/>
          <w:szCs w:val="16"/>
          <w:i w:val="1"/>
          <w:iCs w:val="1"/>
          <w:color w:val="auto"/>
        </w:rPr>
        <w:t>Characterization of the effects of L-4-chlorokynurenine on nociception in rodents</w:t>
      </w:r>
      <w:r>
        <w:rPr>
          <w:rFonts w:ascii="Arial" w:cs="Arial" w:eastAsia="Arial" w:hAnsi="Arial"/>
          <w:sz w:val="16"/>
          <w:szCs w:val="16"/>
          <w:color w:val="auto"/>
        </w:rPr>
        <w:t>,” by lead author, Tony L. Yaksh, Ph.D., Professor in Anesthesiology at the University of California, San Diego,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was published in </w:t>
      </w:r>
      <w:r>
        <w:rPr>
          <w:rFonts w:ascii="Arial" w:cs="Arial" w:eastAsia="Arial" w:hAnsi="Arial"/>
          <w:sz w:val="16"/>
          <w:szCs w:val="16"/>
          <w:i w:val="1"/>
          <w:iCs w:val="1"/>
          <w:color w:val="auto"/>
        </w:rPr>
        <w:t>The Journal of Pain</w:t>
      </w:r>
      <w:r>
        <w:rPr>
          <w:rFonts w:ascii="Arial" w:cs="Arial" w:eastAsia="Arial" w:hAnsi="Arial"/>
          <w:sz w:val="16"/>
          <w:szCs w:val="16"/>
          <w:color w:val="auto"/>
        </w:rPr>
        <w:t xml:space="preserve"> in April 2017 (J Pain. 18:1184-1196, 2017)). In recent studies in this preclinical model, AV-101 also had positive results using pregabalin as an active control. AV-101 demonstrated robust analgesic effects, similar to Lyrica, but fewer side effects as measured in the rotarod assay. Neurontin and Lyrica have been associated with sedation and mild cognitive impairment in third party literature and are often prescribed for treatment of NP. Other commonly prescribed medications for NP include drugs targeting opioid receptors in the brain. Unfortunately, misuse of such drugs can lead to a significantly increased risk of addiction, and, we believe, their therapeutic utility for neuropathic pain is unclear.</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successful preclinical studies involving AV-101, gabapentin and pregabalin, as well as AV-101’s exceptional safety profile in all preclinical and clinical studies to date, we are exploring the optimal development path forward, subject to securing sufficient capital, for Phase 2A clinical development of AV-101, together with probenecid, as a new generation, non-opioid treatment to reduce debilitating NP, as well as its potential to avoid sedative side effects and cognitive impairment that have been observed in third party literature to be associated with other NP treatments, and to reduce the risk of addiction associated with pain medications targeting opioid receptors.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Levodopa-Induced Dyskinesia</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Parkinson’s disease (</w:t>
      </w:r>
      <w:r>
        <w:rPr>
          <w:rFonts w:ascii="Arial" w:cs="Arial" w:eastAsia="Arial" w:hAnsi="Arial"/>
          <w:sz w:val="16"/>
          <w:szCs w:val="16"/>
          <w:i w:val="1"/>
          <w:iCs w:val="1"/>
          <w:color w:val="auto"/>
        </w:rPr>
        <w:t>PD</w:t>
      </w:r>
      <w:r>
        <w:rPr>
          <w:rFonts w:ascii="Arial" w:cs="Arial" w:eastAsia="Arial" w:hAnsi="Arial"/>
          <w:sz w:val="16"/>
          <w:szCs w:val="16"/>
          <w:color w:val="auto"/>
        </w:rPr>
        <w:t>) is the second most common neurodegenerative disease worldwide, affecting approximately one million people in the U.S., according to the Parkinson’s Foundation. Although there is no "one-size-fits-all” description of PD, PD is a complex neurodegenerative disorder that occurs when brain cells responsible for making dopamine, a chemical that coordinates movement, stop working or die. This results in progressive deterioration of voluntary motor control. Loss of dopamine neurons is thought to be due to neurotoxicity associated with misfolding of proteins and is associated with increased signaling of glutamate, the most abundant excitatory neurotransmitter in the brain. Increased glutamate activity is involved with aberrant neuronal signaling and excitotoxic death of neurons. Classic PD motor symptoms include muscular rigidity, resting tremor, and postural and gait impairment. Typically, PD patients present with a combination of motor and non-motor symptoms. Non-motor symptoms may include cognitive impairment, sleep disorders pain and fatigue. There is currently no medication to slow, delay, stop or cure PD, and currently available treatments are symptomatic. Treatment of motor symptoms with oral levodopa, introduced about 50 years ago, remains the gold standard treatment.</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Levodopa-induced dyskinesia </w:t>
      </w:r>
      <w:r>
        <w:rPr>
          <w:rFonts w:ascii="Arial" w:cs="Arial" w:eastAsia="Arial" w:hAnsi="Arial"/>
          <w:sz w:val="16"/>
          <w:szCs w:val="16"/>
          <w:b w:val="1"/>
          <w:bCs w:val="1"/>
          <w:color w:val="auto"/>
        </w:rPr>
        <w:t>(</w:t>
      </w:r>
      <w:r>
        <w:rPr>
          <w:rFonts w:ascii="Arial" w:cs="Arial" w:eastAsia="Arial" w:hAnsi="Arial"/>
          <w:sz w:val="16"/>
          <w:szCs w:val="16"/>
          <w:i w:val="1"/>
          <w:iCs w:val="1"/>
          <w:color w:val="auto"/>
        </w:rPr>
        <w:t>LID</w:t>
      </w:r>
      <w:r>
        <w:rPr>
          <w:rFonts w:ascii="Arial" w:cs="Arial" w:eastAsia="Arial" w:hAnsi="Arial"/>
          <w:sz w:val="16"/>
          <w:szCs w:val="16"/>
          <w:color w:val="auto"/>
        </w:rPr>
        <w:t xml:space="preserve">) is a disorder that affects people with PD who are treated with levodopa for an extended period of time. Oral levodopa remains the most effective therapy for motor symptoms of PD. However, after continuous long-term use (longer than five years), many PD patients experience LID. Although clinical manifestations of LID are heterogenous, LID is commonly associated with abnormal involuntary movements, including chorea and dystonia. These motor complications tend to become more severe as PD progresses and as the duration of levodopa treatment is extended, until the impact of LID may compromise the advantage of treatment with levodopa. PD treatment with levodopa is routinely delayed due to concerns over LID. Once LID develops, levodopa-treated PD patients may be faced with a choice between immobility due to untreated and uncontrolled PD, or mobility with the associated LID. Studies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Movement Disorders</w:t>
      </w:r>
      <w:r>
        <w:rPr>
          <w:rFonts w:ascii="Arial" w:cs="Arial" w:eastAsia="Arial" w:hAnsi="Arial"/>
          <w:sz w:val="16"/>
          <w:szCs w:val="16"/>
          <w:color w:val="auto"/>
        </w:rPr>
        <w:t xml:space="preserve"> have shown LID develops in approximately 45% of levodopa-treated Parkinson’s disease patients after five years and 80% after 10 years of levodopa treatment. In the U.S., there are an estimated 150,000 to 200,000 people with PD who are impacted by LID.</w:t>
      </w:r>
    </w:p>
    <w:p>
      <w:pPr>
        <w:spacing w:after="0" w:line="179"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AV-101 is not a dopamine-based drug candidate. Rather, AV-101’s active metabolite, 7-Cl-KYNA, is a potent and selective NMDA receptor glycine site antagonist with neuroprotective properties, which receptor plays a major role in glutamatergic signaling and has been shown to be a therapeutic target for LID.</w:t>
      </w:r>
    </w:p>
    <w:p>
      <w:pPr>
        <w:spacing w:after="0" w:line="1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 recently reported preclinical study in the “gold standard” MPTP monkey model of PD and LID, AV-101’s efficacy against LID was measured through behavioral scores on a dyskinesia scale, and a Parkinsonian disability scale was used to measure levodopa anti-parkinsonian efficacy. This study demonstrated that AV-101 significantly (p = 0.01) reduced LID. Importantly, AV-101 did not reduce the timing, extent, or duration of the therapeutic effects of levodopa, indicating that AV-101 did not impact the anti-parkinsonian efficacy of levodopa. Moreover, AV-101 did not cause adverse events often associated with amantadine therapy for LID, such as hallucinations, dizziness, and falls. These preclinical results confirmed our prior anti-dyskinesia study in this MPTP monkey model. We believe these preclinical data and AV-101’s positive safety profile in all clinical studies to date support AV-101’s potential to treat LID, while both maintaining the antiparkinsonian benefits of levodopa and without causing hallucinations or other serious side effects that may be associated with amantadine therapy for LID. As a result, we are exploring the optimal development path forward, subject to securing sufficient capital, for Phase 2A clinical development of AV-101, together with probenecid, as a new generation treatment for LID.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Epilepsy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Epilepsy is one of the most prevalent neurological disorders, affecting almost 1% of the worldwide population. According to the Epilepsy Foundation, as many as three million Americans have epilepsy, and one-third of those suffering from epilepsy are not effectively treated with currently available medications. In addition, standard anticonvulsants can cause significant side effects, which frequently interfere with compliance.</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as noted, classic ion channel-blocking NMDAR antagonists are limited by adverse effects, such as neurotoxicity, declining mental status, and the onset of psychotic symptoms following administration of the drug. The endogenous amino acid glycine modulates glutamatergic neurotransmission by stimulating the glycine coagonist site of the NMDAR. Glycine site antagonists such as AV-101’s active metabolite, 7-Cl-KYNA, inhibit NMDAR function and are therefore anticonvulsant and neuroprotective. Importantly, glycine site antagonists have fewer and less severe side effects than classic ion channel-blocking NMDAR antagonists and other antiepileptic agents, making them a safer potential alternative to, and one expected to be associated with greater patient compliance than, currently available anticonvulsant medications.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another active metabolite of AV-101, 4-Cl-3-hydroxyanthranilic acid, inhibits the synthesis of quinolinic acid (</w:t>
      </w:r>
      <w:r>
        <w:rPr>
          <w:rFonts w:ascii="Arial" w:cs="Arial" w:eastAsia="Arial" w:hAnsi="Arial"/>
          <w:sz w:val="18"/>
          <w:szCs w:val="18"/>
          <w:i w:val="1"/>
          <w:iCs w:val="1"/>
          <w:color w:val="auto"/>
        </w:rPr>
        <w:t>QUIN</w:t>
      </w:r>
      <w:r>
        <w:rPr>
          <w:rFonts w:ascii="Arial" w:cs="Arial" w:eastAsia="Arial" w:hAnsi="Arial"/>
          <w:sz w:val="18"/>
          <w:szCs w:val="18"/>
          <w:color w:val="auto"/>
        </w:rPr>
        <w:t>), which is an endogenous NMDAR agonist that causes convulsions and excitotoxic neuronal damage.</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AV-101 has been shown to protect against seizures and neuronal damage in preclinical animal models of epilepsy. We believe AV-101’s dual action as a NMDAR GlyB antagonist and QUIN synthesis inhibitor, and exploratory preclinical data, together with human safety data in all clinical studies to date, may provide support for AV-101’s potential as an exploratory Phase 2A clinical development candidate for treatment of epilepsy. As a result, we are planning to conduct additional preclinical studies to assess AV-101’s optimal development path forward and potential for future Phase 2A clinical development, together with probenecid, as a new generation treatment for epilepsy.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VistaStem Therapeutics - Stem Cell Technology-Based Programs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hPSCs, which can be differentiated into all of the more than 200 types of cells in the human body, can be expanded readily, and have diverse medical research, drug discovery, drug rescue (</w:t>
      </w:r>
      <w:r>
        <w:rPr>
          <w:rFonts w:ascii="Arial" w:cs="Arial" w:eastAsia="Arial" w:hAnsi="Arial"/>
          <w:sz w:val="16"/>
          <w:szCs w:val="16"/>
          <w:i w:val="1"/>
          <w:iCs w:val="1"/>
          <w:color w:val="auto"/>
        </w:rPr>
        <w:t>DR</w:t>
      </w:r>
      <w:r>
        <w:rPr>
          <w:rFonts w:ascii="Arial" w:cs="Arial" w:eastAsia="Arial" w:hAnsi="Arial"/>
          <w:sz w:val="16"/>
          <w:szCs w:val="16"/>
          <w:color w:val="auto"/>
        </w:rPr>
        <w:t>), drug development and therapeutic applications. We believe hPSCs can be used to develop numerous cell types, tissues and customized assays that can mimic complex human biology, including heart biology for DR applications.</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VistaStem is our wholly owned subsidiary focused on applying our hPSC technology to discover, rescue, develop and commercialize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for our CNS pipeline and cellular therapies and RM involving hPSC-derived blood, cartilage, heart and liver cells. We used our hPSC-derived human heart cells to develop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bioassay system for predicting heart toxicity of potential DR NCEs. We believe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more comprehensive and clinically predictive than the hERG assay and provides us with new generation human cell-based technology to</w:t>
      </w:r>
      <w:r>
        <w:rPr>
          <w:rFonts w:ascii="Arial" w:cs="Arial" w:eastAsia="Arial" w:hAnsi="Arial"/>
          <w:sz w:val="16"/>
          <w:szCs w:val="16"/>
          <w:i w:val="1"/>
          <w:iCs w:val="1"/>
          <w:color w:val="auto"/>
        </w:rPr>
        <w:t xml:space="preserve"> </w:t>
      </w:r>
      <w:r>
        <w:rPr>
          <w:rFonts w:ascii="Arial" w:cs="Arial" w:eastAsia="Arial" w:hAnsi="Arial"/>
          <w:sz w:val="16"/>
          <w:szCs w:val="16"/>
          <w:color w:val="auto"/>
        </w:rPr>
        <w:t>identify and evaluate DR candidates and develop DR NCEs for our CNS pipeline and/or out-licensing.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Rescue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 xml:space="preserve">Our DR activities are focused on producing, for our internal CNS pipeline or out-licensing, novel, proprietary and safer variants of still-promising NCEs previously discovered, optimized and tested for efficacy by pharmaceutical companies and others but terminated before FDA approval due to unexpected heart toxicity. Our DR strategy involves using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to assess the cardiac toxicity that caused certain NCEs available in the public domain to be terminated, and then produce and develop new, potentially safer, and proprietary NCEs. We believe the pre-existing public domain knowledge base supporting the therapeutic and commercial potential of NCEs that we target for our DR programs will provide us with a valuable head start as we launch each of our potential DR programs. The essential components of our DR strategy are to (i) leverage the substantial prior investments by global pharmaceutical companies and others in discovery, optimization and efficacy validation of the NCEs we identify in the public domain and (ii) use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to enhance our understanding of the cardiac liability profile of such NCEs, insight not previously available when the NCEs were originally discovered, optimized for efficacy and developed by others, and (iii) demonstrate preclinical proof-of-concept (</w:t>
      </w:r>
      <w:r>
        <w:rPr>
          <w:rFonts w:ascii="Arial" w:cs="Arial" w:eastAsia="Arial" w:hAnsi="Arial"/>
          <w:sz w:val="15"/>
          <w:szCs w:val="15"/>
          <w:i w:val="1"/>
          <w:iCs w:val="1"/>
          <w:color w:val="auto"/>
        </w:rPr>
        <w:t>POC</w:t>
      </w:r>
      <w:r>
        <w:rPr>
          <w:rFonts w:ascii="Arial" w:cs="Arial" w:eastAsia="Arial" w:hAnsi="Arial"/>
          <w:sz w:val="15"/>
          <w:szCs w:val="15"/>
          <w:color w:val="auto"/>
        </w:rPr>
        <w:t xml:space="preserve">) as to the efficacy and safety of new, safer DR NCEs in standard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models earlier in development and with substantially less investment in discovery and preclinical development than was required of others prior to their decision to terminate the original NCE. In this context, POC means that the lead DR NCE, as compared to the original previously-terminated original NCE</w:t>
      </w:r>
      <w:r>
        <w:rPr>
          <w:rFonts w:ascii="Arial" w:cs="Arial" w:eastAsia="Arial" w:hAnsi="Arial"/>
          <w:sz w:val="15"/>
          <w:szCs w:val="15"/>
          <w:i w:val="1"/>
          <w:iCs w:val="1"/>
          <w:color w:val="auto"/>
        </w:rPr>
        <w:t>,</w:t>
      </w:r>
      <w:r>
        <w:rPr>
          <w:rFonts w:ascii="Arial" w:cs="Arial" w:eastAsia="Arial" w:hAnsi="Arial"/>
          <w:sz w:val="15"/>
          <w:szCs w:val="15"/>
          <w:color w:val="auto"/>
        </w:rPr>
        <w:t xml:space="preserve"> demonstrates both (i) equal or superior efficacy in the same, or a similar,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preclinical efficacy models used by the initial developer of the previously-terminated NCE before it was terminated for cardiac safety reasons, and (ii) significant reduction of concentration dependent cardiotoxicity in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Regenerative Medicine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Stem cell technology-based cell therapy (</w:t>
      </w:r>
      <w:r>
        <w:rPr>
          <w:rFonts w:ascii="Arial" w:cs="Arial" w:eastAsia="Arial" w:hAnsi="Arial"/>
          <w:sz w:val="16"/>
          <w:szCs w:val="16"/>
          <w:i w:val="1"/>
          <w:iCs w:val="1"/>
          <w:color w:val="auto"/>
        </w:rPr>
        <w:t>CT</w:t>
      </w:r>
      <w:r>
        <w:rPr>
          <w:rFonts w:ascii="Arial" w:cs="Arial" w:eastAsia="Arial" w:hAnsi="Arial"/>
          <w:sz w:val="16"/>
          <w:szCs w:val="16"/>
          <w:color w:val="auto"/>
        </w:rPr>
        <w:t xml:space="preserve">) and RM have the potential to transform healthcare by providing new approaches for treating the fundamental mechanisms of disease. We currently intend to establish strategic CT- and/or RM-focused collaborations to leverage our hPSC technology platform, our expertise in human biology, differentiation of hPSCs to develop functional adult human cells and tissues involved in human disease, including blood, bone, cartilage, heart and liver cells for CT and RM purposes. We have exclusively sublicensed to BlueRock Therapeutics, a next generation RM company established by Bayer AG and Versant Ventures and later acquired by Bayer, rights to certain proprietary technologies relating to the production of cardiac stem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In a manner similar to the Bayer Agreement, we may pursue additional CT and RM collaborations or licensing transactions involving blood, cartilage, and/or liver cells derived from hPSCs for CT and RM applications.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protect the proprietary know-how and technology that we believe is important to our business, including seeking and maintaining patents intended to cover our product candidates and related pharmaceutical compositions, their therapeutic methods of use, including therapeutic and prognostic methods, as well as processes for their manufacture, and any other aspects of our discoveries and inventions that are commercially important to the development of our business.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also rely on trade secrets to protect aspects of our business that are not amenable to, or that we do not consider appropriate for, patent protection. We also rely on know-how, continuing technological innovation and in-licensing opportunities to develop and maintain our proprietary position. We seek to obtain domestic and international patent protection, and endeavor to promptly file patent applications for new commercially valuable inventions.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protect our rights to our proprietary technology, we require all employees, as well as our external collaborators, consultants and CROs when feasible, to enter into agreements that require disclosure and assignment to us of ideas, developments, discoveries and inventions made by these employees, consultants, and CROs in the course of their service to us.</w:t>
      </w:r>
    </w:p>
    <w:p>
      <w:pPr>
        <w:spacing w:after="0" w:line="19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We plan to continue to expand our intellectual property estate by filing patent applications directed to compositions, methods of use, including treatment and patient selection, formulations and manufacturing processes created or identified from our ongoing development of our product candidates.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own and have licensed granted patents and pending patent applications in the U.S. and in certain foreign countries. These patent properties include, but are not limited 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(licensed by us from Pherin Pharmaceuticals, Inc. (Pherin))</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granted U.S. patents and other foreign patents related to the reduction of anticipatory anxiety or social phobic response; and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patents related to PH94B nominally expire either in 2025 or 2028, respectively, and foreign patents nominally expire in 2026, subject to extensions that may be available on a country-by-country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patent application owned by VistaGen:</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U.S. patent application related to the treatment of adjustment disorder with anxiety</w:t>
      </w:r>
      <w:r>
        <w:rPr>
          <w:rFonts w:ascii="Arial" w:cs="Arial" w:eastAsia="Arial" w:hAnsi="Arial"/>
          <w:sz w:val="16"/>
          <w:szCs w:val="16"/>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Patents that may be granted on this patent application nominally will expire in 2041.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 (licensed by us from Pherin)</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granted U.S. patent related to treatment of depressive disorders;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Granted foreign patents and pending foreign patent applications related to treatment of depressive disorders.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U.S. and foreign patents related to PH10 nominally expire in 2033, subject to extensions that may be available on a country-by-country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Four granted U.S. patents related to the treatment of depression with AV-101, certain unit dose formulations of AV-101 effective to treat depression, and treatment of dyskinesia induced by the administration of L-DOPA;</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Pending U.S. patent applications and foreign granted patents and pending foreign patent applications related to treatment of various disorders, including depression, LID, neuropathic pain (</w:t>
      </w:r>
      <w:r>
        <w:rPr>
          <w:rFonts w:ascii="Arial" w:cs="Arial" w:eastAsia="Arial" w:hAnsi="Arial"/>
          <w:sz w:val="18"/>
          <w:szCs w:val="18"/>
          <w:i w:val="1"/>
          <w:iCs w:val="1"/>
          <w:color w:val="auto"/>
        </w:rPr>
        <w:t>NP</w:t>
      </w:r>
      <w:r>
        <w:rPr>
          <w:rFonts w:ascii="Arial" w:cs="Arial" w:eastAsia="Arial" w:hAnsi="Arial"/>
          <w:sz w:val="18"/>
          <w:szCs w:val="18"/>
          <w:color w:val="auto"/>
        </w:rPr>
        <w:t>), tinnitus and obsessive-compulsive disorder;</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Pending U.S. patent application related to the prognostic identification of high and low responders to treatment of various CNS disorders with AV-101;</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Pending U.S. patent application related to the therapeutic use of the combined administration of AV-101 plus probenecid;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granted U.S. patents, and foreign granted patents and pending foreign patent applications related to the manufacture of AV-10.</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and foreign patents related to AV-101 nominally expire between 2034 and 2040, depending on the particular subject matter, subject to extensions that may be available on a country-by-country basis.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Stem Cell Technology (owned by us and/or licensed by us from the University Health Network (Toronto) or Icahn School of Medicine at Mount Sinai)</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Cells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to methods for enriching pluripotent stem cell-derived cardiomyocyte cells, methods for generating epicardium cells, methods for making and using sino-atrial node-like pacemaker and ventricular-like cardiomyocytes and methods for generation of atrial and ventricular cardiomyocyte lineages.</w:t>
      </w:r>
    </w:p>
    <w:p>
      <w:pPr>
        <w:spacing w:after="0" w:line="194" w:lineRule="exact"/>
        <w:rPr>
          <w:sz w:val="20"/>
          <w:szCs w:val="20"/>
          <w:color w:val="auto"/>
        </w:rPr>
      </w:pPr>
    </w:p>
    <w:p>
      <w:pPr>
        <w:jc w:val="both"/>
        <w:spacing w:after="0" w:line="369" w:lineRule="auto"/>
        <w:rPr>
          <w:sz w:val="20"/>
          <w:szCs w:val="20"/>
          <w:color w:val="auto"/>
        </w:rPr>
      </w:pPr>
      <w:r>
        <w:rPr>
          <w:rFonts w:ascii="Arial" w:cs="Arial" w:eastAsia="Arial" w:hAnsi="Arial"/>
          <w:sz w:val="15"/>
          <w:szCs w:val="15"/>
          <w:color w:val="auto"/>
        </w:rPr>
        <w:t>The U.S. and foreign patents and patent applications related to cardiac stem cells nominally expire between 2031 and 2037, subject to extensions that may be available on a country-by-country basis. Additionally, therapeutic and certain other fields of use have been licensed by us to Bayer under the Bayer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Blood Cells</w:t>
      </w:r>
    </w:p>
    <w:p>
      <w:pPr>
        <w:spacing w:after="0" w:line="225" w:lineRule="exact"/>
        <w:rPr>
          <w:sz w:val="20"/>
          <w:szCs w:val="20"/>
          <w:color w:val="auto"/>
        </w:rPr>
      </w:pPr>
    </w:p>
    <w:p>
      <w:pPr>
        <w:ind w:left="660" w:right="2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mesoderm and definitive endoderm cell populations, and to populations of hematopoietic progenitors.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and foreign patents and patent applications related to blood stem cells nominally expire between 2023 and 2032, subject to extensions that may be available on a country-by-country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Cartilage and Chondrocyte Cells</w:t>
      </w:r>
    </w:p>
    <w:p>
      <w:pPr>
        <w:spacing w:after="0" w:line="225" w:lineRule="exact"/>
        <w:rPr>
          <w:sz w:val="20"/>
          <w:szCs w:val="20"/>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to methods and compositions for generating chondrocyte lineage cells and cartilage like tissue.</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and foreign patents and patent applications related to blood stem cells nominally expire in 2034, subject to extensions that may be available on a country-by-country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Liver and Biliary Cells</w:t>
      </w:r>
    </w:p>
    <w:p>
      <w:pPr>
        <w:spacing w:after="0" w:line="225" w:lineRule="exact"/>
        <w:rPr>
          <w:sz w:val="20"/>
          <w:szCs w:val="20"/>
          <w:color w:val="auto"/>
        </w:rPr>
      </w:pPr>
    </w:p>
    <w:p>
      <w:pPr>
        <w:ind w:left="660" w:right="2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and foreign patents and patent applications relating to methods for generating hepatocytes and cholangiocytes from pluripotent stem cells and to toxicity typing using liver stem cells.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U.S. and foreign patents and patent applications related to blood stem cells nominally expire between 2021 and 2034.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 Patent and Trademark Office (</w:t>
      </w:r>
      <w:r>
        <w:rPr>
          <w:rFonts w:ascii="Arial" w:cs="Arial" w:eastAsia="Arial" w:hAnsi="Arial"/>
          <w:sz w:val="18"/>
          <w:szCs w:val="18"/>
          <w:i w:val="1"/>
          <w:iCs w:val="1"/>
          <w:color w:val="auto"/>
        </w:rPr>
        <w:t>PTO</w:t>
      </w:r>
      <w:r>
        <w:rPr>
          <w:rFonts w:ascii="Arial" w:cs="Arial" w:eastAsia="Arial" w:hAnsi="Arial"/>
          <w:sz w:val="18"/>
          <w:szCs w:val="18"/>
          <w:color w:val="auto"/>
        </w:rPr>
        <w:t>). In some cases, the term of a U.S. patent is shortened by a terminal disclaimer that reduces its term to align with that of a related patent.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Depending upon the timing, duration and specifics of the FDA approval of our drug candidates, if any,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w:t>
      </w:r>
      <w:r>
        <w:rPr>
          <w:rFonts w:ascii="Arial" w:cs="Arial" w:eastAsia="Arial" w:hAnsi="Arial"/>
          <w:sz w:val="16"/>
          <w:szCs w:val="16"/>
          <w:i w:val="1"/>
          <w:iCs w:val="1"/>
          <w:color w:val="auto"/>
        </w:rPr>
        <w:t>testing phase</w:t>
      </w:r>
      <w:r>
        <w:rPr>
          <w:rFonts w:ascii="Arial" w:cs="Arial" w:eastAsia="Arial" w:hAnsi="Arial"/>
          <w:sz w:val="16"/>
          <w:szCs w:val="16"/>
          <w:color w:val="auto"/>
        </w:rPr>
        <w:t>), plus the time between the submission date of an NDA and the approval of that application (</w:t>
      </w:r>
      <w:r>
        <w:rPr>
          <w:rFonts w:ascii="Arial" w:cs="Arial" w:eastAsia="Arial" w:hAnsi="Arial"/>
          <w:sz w:val="16"/>
          <w:szCs w:val="16"/>
          <w:i w:val="1"/>
          <w:iCs w:val="1"/>
          <w:color w:val="auto"/>
        </w:rPr>
        <w:t>approval phase</w:t>
      </w:r>
      <w:r>
        <w:rPr>
          <w:rFonts w:ascii="Arial" w:cs="Arial" w:eastAsia="Arial" w:hAnsi="Arial"/>
          <w:sz w:val="16"/>
          <w:szCs w:val="16"/>
          <w:color w:val="auto"/>
        </w:rPr>
        <w:t>). This patent term restoration period may be reduced by the FDA if it finds that applicant did not act with due diligence during the testing phase or the approval phase. Only one patent related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if circumstances permit, we intend to apply for restoration of patent term for one of our then-owned or licensed patents, if any, to extend patent life beyond its current expiration date, depending on the expected length of the clinical trials and other factors involved in the filing of the relevant NDA.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our products may also be entitled to certain non-patent-related data exclusivity under the FDCA. The FDCA provides a five-year period of non-patent data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an abbreviated new drug application (</w:t>
      </w:r>
      <w:r>
        <w:rPr>
          <w:rFonts w:ascii="Arial" w:cs="Arial" w:eastAsia="Arial" w:hAnsi="Arial"/>
          <w:sz w:val="16"/>
          <w:szCs w:val="16"/>
          <w:i w:val="1"/>
          <w:iCs w:val="1"/>
          <w:color w:val="auto"/>
        </w:rPr>
        <w:t>ANDA</w:t>
      </w:r>
      <w:r>
        <w:rPr>
          <w:rFonts w:ascii="Arial" w:cs="Arial" w:eastAsia="Arial" w:hAnsi="Arial"/>
          <w:sz w:val="16"/>
          <w:szCs w:val="16"/>
          <w:color w:val="auto"/>
        </w:rPr>
        <w:t>), or a 505(b)(2) NDA may not be submitted by another company for another drug containing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Orange Book by the innovator NDA holder. The FDCA also provides three years of marketing exclusivity for a full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Three-year exclusivity prevents the FDA from approving ANDAs and 505(b)(2) applications that rely on the information that served as the basis of granting three-year exclusivity.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w:t>
      </w:r>
    </w:p>
    <w:p>
      <w:pPr>
        <w:spacing w:after="0" w:line="17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Some foreign jurisdictions, including Europe and Japan, also have patent term extension provisions, which allow for extension of the term of a patent that covers a drug approved by the applicable foreign regulatory agency. In the future, if and when our pharmaceutical products receive FDA approval, we expect to apply for patent term extension on patents covering those products, their methods of use, and/or methods of manufacture.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patents, we may rely on trade secrets and know-how to develop and maintain our competitive position. We protect trade secrets, if any, and know-how by establishing confidentiality agreements and invention assignment agreements with our employees, consultants, scientific advisors, contractors and partners. These agreements provide that all confidential information developed or made known during the course of an individual’s or entity’s relationship with us must be kept confidential during and after the relationship. These agreements also generally provide that all relevant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Company also owns a registered trademark in the U.S. for “VISTAGEN,” which was renewed in 2014. In addition, we use trademarks in our business for </w:t>
      </w: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 and</w:t>
      </w:r>
      <w:r>
        <w:rPr>
          <w:rFonts w:ascii="Arial" w:cs="Arial" w:eastAsia="Arial" w:hAnsi="Arial"/>
          <w:sz w:val="18"/>
          <w:szCs w:val="18"/>
          <w:i w:val="1"/>
          <w:iCs w:val="1"/>
          <w:color w:val="auto"/>
        </w:rPr>
        <w:t xml:space="preserve"> LiverSafe </w:t>
      </w:r>
      <w:r>
        <w:rPr>
          <w:rFonts w:ascii="Arial" w:cs="Arial" w:eastAsia="Arial" w:hAnsi="Arial"/>
          <w:sz w:val="18"/>
          <w:szCs w:val="18"/>
          <w:color w:val="auto"/>
        </w:rPr>
        <w:t>3D.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Transactions and Relationships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Strategic collaborations are an important cornerstone of our corporate development strategy. We believe that our highly selective outsourcing of certain research, development, manufacturing and regulatory activities gives us flexible access to a broad range of capabilities and expertise at a lower overall cost than developing and maintaining such capabilities and expertise internally on a full-time basis. In particular, we contract with third parties for certain manufacturing, nonclinical development, clinical development and regulatory affairs support.</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may seek multiple strategic collaborations and relationships focused on development and commercialization of our product candidates in regions outside the 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Agreements</w:t>
      </w:r>
    </w:p>
    <w:p>
      <w:pPr>
        <w:spacing w:after="0" w:line="258" w:lineRule="exact"/>
        <w:rPr>
          <w:sz w:val="20"/>
          <w:szCs w:val="20"/>
          <w:color w:val="auto"/>
        </w:rPr>
      </w:pPr>
    </w:p>
    <w:p>
      <w:pPr>
        <w:jc w:val="both"/>
        <w:ind w:right="60"/>
        <w:spacing w:after="0" w:line="218" w:lineRule="exact"/>
        <w:rPr>
          <w:sz w:val="20"/>
          <w:szCs w:val="20"/>
          <w:color w:val="auto"/>
        </w:rPr>
      </w:pPr>
      <w:r>
        <w:rPr>
          <w:rFonts w:ascii="Arial" w:cs="Arial" w:eastAsia="Arial" w:hAnsi="Arial"/>
          <w:sz w:val="16"/>
          <w:szCs w:val="16"/>
          <w:color w:val="auto"/>
        </w:rPr>
        <w:t>We have customary clinical supply agreements and customary agreements with clinical research organizations to help us manage our nonclinical and clinical development programs. Each of our commercial agreements is non</w:t>
      </w:r>
      <w:r>
        <w:rPr>
          <w:rFonts w:ascii="MS PGothic" w:cs="MS PGothic" w:eastAsia="MS PGothic" w:hAnsi="MS PGothic"/>
          <w:sz w:val="16"/>
          <w:szCs w:val="16"/>
          <w:color w:val="auto"/>
        </w:rPr>
        <w:t>‑</w:t>
      </w:r>
      <w:r>
        <w:rPr>
          <w:rFonts w:ascii="Arial" w:cs="Arial" w:eastAsia="Arial" w:hAnsi="Arial"/>
          <w:sz w:val="16"/>
          <w:szCs w:val="16"/>
          <w:color w:val="auto"/>
        </w:rPr>
        <w:t>exclusive, and we have no material contractual obligations under such agreements, except to the extent we order supplies or request services to be performed under work orders that we generate from time to time.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License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and Collaboration Agreements with Pherin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September 2018, we acquired from Pherin an exclusive worldwide license to develop and commercialize PH94B. In October 2018, we acquired from Pherin an exclusive worldwide license to develop and commercialize PH10. Under the terms of the PH94B and PH10 license agreements, we are obligated to make additional cash payments, and pay royalties, to Pherin in connection with our sublicense, development and commercialization collaborations involving PH94B and/or PH10, as well as in the event that certain development milestones and commercial sales are achieved. Additionally, in connection with the license agreements, we are obligated to pay to Pherin monthly support payments of $10,000 for a term of the earlier of 18 months or the termination of the license agreement, however no monthly support payment is required under the 18-month period identified in the PH10 license agreement if support payments are being made under the terms of the PH94B license agreement. In April 2020, we completed our obligation to pay such monthly support payments to Pherin, and that contractual requirement has been fully satisfied.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and Collaboration Agreement with EverInsight Therapeutics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2020, we entered into a license and collaboration agreement (the </w:t>
      </w:r>
      <w:r>
        <w:rPr>
          <w:rFonts w:ascii="Arial" w:cs="Arial" w:eastAsia="Arial" w:hAnsi="Arial"/>
          <w:sz w:val="18"/>
          <w:szCs w:val="18"/>
          <w:i w:val="1"/>
          <w:iCs w:val="1"/>
          <w:color w:val="auto"/>
        </w:rPr>
        <w:t>EverInsight License Agreement</w:t>
      </w:r>
      <w:r>
        <w:rPr>
          <w:rFonts w:ascii="Arial" w:cs="Arial" w:eastAsia="Arial" w:hAnsi="Arial"/>
          <w:sz w:val="18"/>
          <w:szCs w:val="18"/>
          <w:color w:val="auto"/>
        </w:rPr>
        <w:t>) with EverInsight Therapeutics Inc., a company incorporated under the laws of the British Virgin Islands (</w:t>
      </w:r>
      <w:r>
        <w:rPr>
          <w:rFonts w:ascii="Arial" w:cs="Arial" w:eastAsia="Arial" w:hAnsi="Arial"/>
          <w:sz w:val="18"/>
          <w:szCs w:val="18"/>
          <w:i w:val="1"/>
          <w:iCs w:val="1"/>
          <w:color w:val="auto"/>
        </w:rPr>
        <w:t>EverInsight</w:t>
      </w:r>
      <w:r>
        <w:rPr>
          <w:rFonts w:ascii="Arial" w:cs="Arial" w:eastAsia="Arial" w:hAnsi="Arial"/>
          <w:sz w:val="18"/>
          <w:szCs w:val="18"/>
          <w:color w:val="auto"/>
        </w:rPr>
        <w:t xml:space="preserve">), pursuant to which we granted EverInsight an exclusive license to develop, manufacture and commercialize PH94B for multiple anxiety-related disorders in Greater China (Mainland China, Hong Kong, Macau and Taiwan), South Korea and Southeast Asia (Indonesia, Malaysia, Philippines, Thailand and Vietnam) (collectively, the </w:t>
      </w:r>
      <w:r>
        <w:rPr>
          <w:rFonts w:ascii="Arial" w:cs="Arial" w:eastAsia="Arial" w:hAnsi="Arial"/>
          <w:sz w:val="18"/>
          <w:szCs w:val="18"/>
          <w:i w:val="1"/>
          <w:iCs w:val="1"/>
          <w:color w:val="auto"/>
        </w:rPr>
        <w:t>Territory</w:t>
      </w:r>
      <w:r>
        <w:rPr>
          <w:rFonts w:ascii="Arial" w:cs="Arial" w:eastAsia="Arial" w:hAnsi="Arial"/>
          <w:sz w:val="18"/>
          <w:szCs w:val="18"/>
          <w:color w:val="auto"/>
        </w:rPr>
        <w:t>). We retained development, manufacturing and commercialization rights for PH94B in the rest of the world.</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terms of the EverInsight License Agreement, we are entitled to receive an upfront payment of $5.0 million. We may also receive up to an additional $172 million in milestone payments upon EverInsight’s achievement of certain developmental, regulatory and sales milestone events related to PH94B, which achievement cannot be guaranteed. We are also entitled to receive certain royalties on net sales, if any, of PH94B in the Territory following receipt of any required regulatory approval. In addition, EverInsight has the right to sublicense to affiliates and third parties in the Territory. EverInsight is responsible for all costs related to developing, obtaining regulatory approval of and commercializing PH94B in the Territory. A joint development committee will be established between the Company and EverInsight to coordinate and review the development, manufacturing and commercialization plans with respect to PH94B in the Territory. Unless earlier terminated due to certain material breaches of the contract, or otherwise, the EverInsight License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and Supply</w:t>
      </w:r>
    </w:p>
    <w:p>
      <w:pPr>
        <w:spacing w:after="0" w:line="258" w:lineRule="exact"/>
        <w:rPr>
          <w:sz w:val="20"/>
          <w:szCs w:val="20"/>
          <w:color w:val="auto"/>
        </w:rPr>
      </w:pPr>
    </w:p>
    <w:p>
      <w:pPr>
        <w:jc w:val="both"/>
        <w:ind w:right="80"/>
        <w:spacing w:after="0" w:line="290" w:lineRule="auto"/>
        <w:rPr>
          <w:sz w:val="20"/>
          <w:szCs w:val="20"/>
          <w:color w:val="auto"/>
        </w:rPr>
      </w:pPr>
      <w:r>
        <w:rPr>
          <w:rFonts w:ascii="Arial" w:cs="Arial" w:eastAsia="Arial" w:hAnsi="Arial"/>
          <w:sz w:val="16"/>
          <w:szCs w:val="16"/>
          <w:color w:val="auto"/>
        </w:rPr>
        <w:t>Manufacturing of the drug substance and drug product for our product candidates is done by third-parties and must comply with FDA current good manufacturing practice (</w:t>
      </w:r>
      <w:r>
        <w:rPr>
          <w:rFonts w:ascii="Arial" w:cs="Arial" w:eastAsia="Arial" w:hAnsi="Arial"/>
          <w:sz w:val="16"/>
          <w:szCs w:val="16"/>
          <w:i w:val="1"/>
          <w:iCs w:val="1"/>
          <w:color w:val="auto"/>
        </w:rPr>
        <w:t>cGMP</w:t>
      </w:r>
      <w:r>
        <w:rPr>
          <w:rFonts w:ascii="Arial" w:cs="Arial" w:eastAsia="Arial" w:hAnsi="Arial"/>
          <w:sz w:val="16"/>
          <w:szCs w:val="16"/>
          <w:color w:val="auto"/>
        </w:rPr>
        <w:t>) regulations. Our product candidates are comprised of synthetic small molecules made through a series of organic chemistry steps starting with commercially available organic chemical raw materials. We do not currently own or operate, nor do we plan to own or operate, any manufacturing facilities for the clinical or commercial production of our drug candidates. We conduct manufacturing activities under individual project or work orders with independent CMOs, to supply all of our nonclinical and clinical trial needs. We conduct periodic quality audits of their facilities. We believe that our existing suppliers of our product candidate’s active pharmaceutical ingredients and drug products will be capable of providingsufficient quantities of each to meet our clinical trial supply needs. Other CMOs may be used in the future for clinical supplies and, subject to approval, commercial manufacturing.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By design, we do not currently have any fixed contractual arrangements in place for either long-term supply or redundant supply of bulk drug substance or drug product for our product candidates. If our product candidates are approved, we intend to contract with CMOs to produce all of our future commercial supplies on our behalf. We plan to mitigate potential commercial supply risks for any products that are approved in the future through inventory management and through exploring additional back-up manufacturers, both in the U.S. and outside the U.S., to provide API and/or drug product.</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we can successfully launch and commercialize PH94B for acute treatment of SAD on our own in the U.S., if approved in the U.S. by the FDA. Upon successful completion of our PH94B Phase 3 clinical development program for acute treatment of SAD, should that occur, we believe that we can cost effectively build a commercial infrastructure in the U.S. in advance of U.S. approval of PH94B for acute treatment of SAD and ultimately implement a targeted sales force required to commercialize PH94B in the U.S. Support for this targeted team will include sales management, internal sales support, distribution support, and an internal marketing group. Additional requisite capabilities will include focused management of key accounts such as managed care organizations, group purchasing organizations, and government accounts. We also may seek co-promotion partners for our U.S. sales efforts to achieve broader reach or call frequency with other U.S. target physicians.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believe that there are significant market opportunities for our products outside of the U.S. As a result, as we have done with EverInsight for development and commercialization of PH94B in Greater China, South Korea and Southeast Asia, we plan to seek strategic partnerships with third party collaborators, which third-parties may have greater reach and resources by virtue of their size and/or experience in the field, for the development and commercialization of our products outside the U.S. We may elect in the future to utilize strategic partners, distributors, or contract sales forces to assist in the commercialization of our products. In order to implement this infrastructure, we will have to allocate management resources and make significant financial investments prior to and following any product approval, through the hiring of a targeted sales and marketing force. We expect to focus our future sales and marketing efforts, if PH94B is approved for acute treatment of SAD, on psychiatrists and select primary care physicians and potentially on pediatricians who are likely to see adolescents, as well as nurse practitioners and psychologists who, in some states, are permitted to prescribe medications.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Should we advance PH10 and AV-101 through successful completion of Phase 2 and Phase 3 clinical development for treatment of MDD and/or other CNS indications, we plan to file for and obtain regulatory approval of PH10 and AV-101 in the U.S. and then commercialize them in the U.S. on our own and outside the U.S. with third-party collaborators.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Clinical, Regulatory and Scientific Advisors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formed a Clinical and Regulatory Advisory Board (</w:t>
      </w:r>
      <w:r>
        <w:rPr>
          <w:rFonts w:ascii="Arial" w:cs="Arial" w:eastAsia="Arial" w:hAnsi="Arial"/>
          <w:sz w:val="16"/>
          <w:szCs w:val="16"/>
          <w:i w:val="1"/>
          <w:iCs w:val="1"/>
          <w:color w:val="auto"/>
        </w:rPr>
        <w:t>CRA Board</w:t>
      </w:r>
      <w:r>
        <w:rPr>
          <w:rFonts w:ascii="Arial" w:cs="Arial" w:eastAsia="Arial" w:hAnsi="Arial"/>
          <w:sz w:val="16"/>
          <w:szCs w:val="16"/>
          <w:color w:val="auto"/>
        </w:rPr>
        <w:t>) and a Scientific Advisory Board (</w:t>
      </w:r>
      <w:r>
        <w:rPr>
          <w:rFonts w:ascii="Arial" w:cs="Arial" w:eastAsia="Arial" w:hAnsi="Arial"/>
          <w:sz w:val="16"/>
          <w:szCs w:val="16"/>
          <w:i w:val="1"/>
          <w:iCs w:val="1"/>
          <w:color w:val="auto"/>
        </w:rPr>
        <w:t>SAB</w:t>
      </w:r>
      <w:r>
        <w:rPr>
          <w:rFonts w:ascii="Arial" w:cs="Arial" w:eastAsia="Arial" w:hAnsi="Arial"/>
          <w:sz w:val="16"/>
          <w:szCs w:val="16"/>
          <w:color w:val="auto"/>
        </w:rPr>
        <w:t>) composed of leading experts in the areas of related to development of our product portfolio, including anxiety, depression, neuropathic pain, FDA regulations, clinical trial design, drug rescue and medicinal chemistry, and stem cell technology, cell therapy and regenerative medicine. These experts provide us with key scientific, clinical, regulatory and strategic guidance concerning our development programs in anxiety, depression and other CNS disorders, as well as potential applications of our stem cell technology platform. The following are members of our CRA Board: Maurizio Fava, M.D., Director of the Clinical Research Program and Executive Vice Chair of the Department of Psychiatry at Massachusetts General Hospital, and Slater Family Professor of Psychiatry at Harvard Medical School; Thomas Laughren, M.D., retired Division Director of the FDA’s Division of Psychiatry Products; Michael Liebowitz, M.D., Professor of Clinical Psychiatry at Columbia University and director of the Medical Research Network in New York City; Gerard Sanacora, M.D., Ph.D., George D. and Esther S. Gross Professor of Psychiatry, Director of Yale Depression Research Program and Co-Director of Yale New Haven Hospital Interventional Psychiatry Service; Sanjay Mathew, M.D., vice chair for research and professor of psychiatry and behavioral sciences at Baylor College of Medicine and a Staff Psychiatrist at the Michael E. DeBakey VA Medical Center; and Mark Wallace, M.D., Distinguished Professor of Clinical Anesthesiology at the University of California, San Diego. Members of our SAB include Gordon Keller, Ph.D., Director of University Health Network McEwen Stem Cell Institute, and Professor, Department of Medical Biophysics, University of Toronto, Ontario, and Ron Wester, Ph.D., retired Vice President, Medicinal Chemistry and Drug Discovery at Pfizer Global R&amp;D.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biopharmaceutical industry is highly competitive and subject to rapid and significant technological change. The high unmet need in large and growing global markets for anxiety, depression and other CNS diseases and disorders, as well as stem cell technology, cell therapy and regenerative medicine, make them attractive therapeutic areas and market opportunities for biopharmaceutical businesses. We face potential competition from many different sources, including major pharmaceutical, specialty pharmaceutical, and biotechnology companies, academic institutions, governmental agencies, and public and private research institutions.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studies, obtaining regulatory approvals, and marketing approved products than we do. Several of these entities have commercial products, robust drug pipelines, readily available capital, and established research and development organizations.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 or early-stage companies may also prove to be significant competitors, particularly through collaborative arrangements with large and established companies. It is probable that the number of companies seeking to develop products and therapies similar to our products will increase. The key competitive factors affecting the success of all of our product candidates, if approved, are likely to be their efficacy, safety, convenience, price, the level of branded and generic competition, and the availability of reimbursement from government and other third-party payors.</w:t>
      </w:r>
    </w:p>
    <w:p>
      <w:pPr>
        <w:spacing w:after="0" w:line="17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Although currently there are no FDA-approved therapies for SAD with the mechanism of action of PH94B, and we are aware of no company developing a potential acute treatment for SAD that is either a nasal spray or involves the same mechanism of pharmacological action as PH94B. However, although they are not FDA-approved for the acute treatment of SAD and are associated with side effects and safety concerns we do not anticipate to be associated with PH94B, we may face competition to PH94B for acute treatment of SAD from off-label use of generic benzodiazepines and generic beta blockers. In addition, although there are three antidepressants approved by the FDA for overall treatment of SAD, such drugs do not achieve rapid-onset therapeutic effects.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currently there are no FDA-approved oral therapies for MDD with the mechanism of pharmacological action of either PH10 or AV-101, we are aware of numerous pharmaceutical and biotechnology companies that are developing therapies targeting the MDD market, including with drug candidates focused on the NMDAR. Certain of the potential MDD therapies being developed are broad NMDAR antagonists and tend to have multiple target actions. We believe AV-101 is a specific NMDAR glycine site antagonist, without negative off-target activity in preclinical screening. We are aware of the numerous companies developing or commercializing therapies for MDD or NMDAR-targeted therapies for other CNS disorders. Such companies include but are not limited to, Acadia, Adamas, Alkermes, Allergan, Aptynix, Avanir, Axsome, Biohaven, Biogen, BlackThorn, Cadent, Cerecor, Eli Lilly, Janssen, Lundbeck, Minerva, Navitor, NeuroRx, Otsuka, Novartis, Perceptive Neuroscience, Praxis, Relmada, Sage, Seelos, Shionogi, Taisho and Takeda. Additionally, with respect to MDD, we expect that PH10 and AV-101 will have to compete with a variety of therapeutic procedures for treatment of MDD, such as psychotherapy and electroconvulsive therapy.</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believe that VistaStem’s hPSC technology platform, the hPSC-derived human cells we study, and the customized human cell-based assay systems we have developed and used are capable of being competitive in the diverse and growing global stem cell, CT and RM markets, including potential markets involving the sale of hPSC-derived cells to third-parties for their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drug discovery and safety testing, contract predictive toxicology drug screening services for third parties, internal drug discovery, drug development and DR of new NCEs, and RM, including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CT research and development. A representative list of such biopharmaceutical companies pursuing one or more of these potential applications of adult and/or hPSC technology includes, but is not limited to, the following: Acea, Astellas, Athersys, BioCardia, BioTime, Caladrius, Cellectis, Cellerant, Cytori, Fujifilm, HemoGenix, International Stem Cell, Neuralstem, Organovo, PluriStem, and Stemina BioMarker Discovery. Pharmaceutical companies and other established corporations such as Bristol-Myers Squibb, Charles River, GE Healthcare, GlaxoSmithKline, Novartis, Pfizer, Roche Holdings, Thermo Fisher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CT and RM will continue to occur and increase at pharmaceutical and biotechnology companies in the future.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we believe that our employees’ and consultants’ scientific knowledge, technology, and development experience provide us with competitive advantages,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Government authorities in the U.S., at the federal, state, and local level, and in other countries and supranational regions, extensively regulate, among other things, the research, development, testing, manufacture, packaging, storage, recordkeeping, labeling, advertising, promotion, distribution, marketing, import, and export of pharmaceutical products such as those we are developing.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U.S., the FDA regulates drugs under the Federal Food, Drug, and Cosmetic Act (</w:t>
      </w:r>
      <w:r>
        <w:rPr>
          <w:rFonts w:ascii="Arial" w:cs="Arial" w:eastAsia="Arial" w:hAnsi="Arial"/>
          <w:sz w:val="16"/>
          <w:szCs w:val="16"/>
          <w:i w:val="1"/>
          <w:iCs w:val="1"/>
          <w:color w:val="auto"/>
        </w:rPr>
        <w:t>FDCA</w:t>
      </w:r>
      <w:r>
        <w:rPr>
          <w:rFonts w:ascii="Arial" w:cs="Arial" w:eastAsia="Arial" w:hAnsi="Arial"/>
          <w:sz w:val="16"/>
          <w:szCs w:val="16"/>
          <w:color w:val="auto"/>
        </w:rPr>
        <w:t>) and its implementing regulations. The process required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FDA before product candidates may be marketed in the U.S. generally involves the following:</w:t>
      </w:r>
    </w:p>
    <w:p>
      <w:pPr>
        <w:spacing w:after="0" w:line="219" w:lineRule="exact"/>
        <w:rPr>
          <w:sz w:val="20"/>
          <w:szCs w:val="20"/>
          <w:color w:val="auto"/>
        </w:rPr>
      </w:pPr>
    </w:p>
    <w:p>
      <w:pPr>
        <w:ind w:left="820" w:hanging="326"/>
        <w:spacing w:after="0" w:line="26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w:t>
      </w:r>
      <w:r>
        <w:rPr>
          <w:rFonts w:ascii="Arial" w:cs="Arial" w:eastAsia="Arial" w:hAnsi="Arial"/>
          <w:sz w:val="18"/>
          <w:szCs w:val="18"/>
          <w:i w:val="1"/>
          <w:iCs w:val="1"/>
          <w:color w:val="auto"/>
        </w:rPr>
        <w:t>GLP</w:t>
      </w:r>
      <w:r>
        <w:rPr>
          <w:rFonts w:ascii="Arial" w:cs="Arial" w:eastAsia="Arial" w:hAnsi="Arial"/>
          <w:sz w:val="18"/>
          <w:szCs w:val="18"/>
          <w:color w:val="auto"/>
        </w:rPr>
        <w:t>) regulations;</w:t>
      </w:r>
    </w:p>
    <w:p>
      <w:pPr>
        <w:spacing w:after="0" w:line="18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for each clinical site or centrally, before each trial may be initiated;</w:t>
      </w:r>
    </w:p>
    <w:p>
      <w:pPr>
        <w:spacing w:after="0" w:line="225" w:lineRule="exact"/>
        <w:rPr>
          <w:rFonts w:ascii="Arial" w:cs="Arial" w:eastAsia="Arial" w:hAnsi="Arial"/>
          <w:sz w:val="18"/>
          <w:szCs w:val="18"/>
          <w:color w:val="auto"/>
        </w:rPr>
      </w:pPr>
    </w:p>
    <w:p>
      <w:pPr>
        <w:ind w:left="820" w:hanging="326"/>
        <w:spacing w:after="0" w:line="220" w:lineRule="exact"/>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to establish the safety and efficacy of the proposed drug candidates for its intended use, performed in accordance with current Good Clinical Practices (</w:t>
      </w:r>
      <w:r>
        <w:rPr>
          <w:rFonts w:ascii="Arial" w:cs="Arial" w:eastAsia="Arial" w:hAnsi="Arial"/>
          <w:sz w:val="18"/>
          <w:szCs w:val="18"/>
          <w:i w:val="1"/>
          <w:iCs w:val="1"/>
          <w:color w:val="auto"/>
        </w:rPr>
        <w:t>GCP</w:t>
      </w:r>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development of manufacturing processes in compliance with current cGMPs to ensure the drug’s identity, strength, quality, and purity;</w:t>
      </w:r>
    </w:p>
    <w:p>
      <w:pPr>
        <w:spacing w:after="0" w:line="248" w:lineRule="exact"/>
        <w:rPr>
          <w:rFonts w:ascii="Arial" w:cs="Arial" w:eastAsia="Arial" w:hAnsi="Arial"/>
          <w:sz w:val="16"/>
          <w:szCs w:val="16"/>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compilation of required information and submission to the FDA of an NDA;</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jc w:val="both"/>
        <w:ind w:left="820" w:hanging="326"/>
        <w:spacing w:after="0" w:line="306"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60" w:lineRule="exact"/>
        <w:rPr>
          <w:rFonts w:ascii="Arial" w:cs="Arial" w:eastAsia="Arial" w:hAnsi="Arial"/>
          <w:sz w:val="16"/>
          <w:szCs w:val="16"/>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for particular indications for use.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IND Submission</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Good Laboratory Practice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w:t>
      </w:r>
    </w:p>
    <w:p>
      <w:pPr>
        <w:spacing w:after="0" w:line="169"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An IND automatically becomes effective 30 days after receipt by the FDA, unless the FDA, within the 30</w:t>
      </w:r>
      <w:r>
        <w:rPr>
          <w:rFonts w:ascii="MS PGothic" w:cs="MS PGothic" w:eastAsia="MS PGothic" w:hAnsi="MS PGothic"/>
          <w:sz w:val="16"/>
          <w:szCs w:val="16"/>
          <w:color w:val="auto"/>
        </w:rPr>
        <w:t>‑</w:t>
      </w:r>
      <w:r>
        <w:rPr>
          <w:rFonts w:ascii="Arial" w:cs="Arial" w:eastAsia="Arial" w:hAnsi="Arial"/>
          <w:sz w:val="16"/>
          <w:szCs w:val="16"/>
          <w:color w:val="auto"/>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an IND is in effect, each new clinical protocol and any amendments to the protocol must be submitted to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about certain clinical trials, including a description of the study and study results, must be submitted within specific timeframes to the NIH for public dissemination on their clinicaltrials.gov website.</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In general, for purposes of NDA approval, human clinical trials are typically conducted in three sequential phases, which may overlap or be combined.</w:t>
      </w:r>
    </w:p>
    <w:p>
      <w:pPr>
        <w:spacing w:after="0" w:line="248" w:lineRule="exact"/>
        <w:rPr>
          <w:sz w:val="20"/>
          <w:szCs w:val="20"/>
          <w:color w:val="auto"/>
        </w:rPr>
      </w:pPr>
    </w:p>
    <w:p>
      <w:pPr>
        <w:jc w:val="both"/>
        <w:ind w:left="820" w:hanging="326"/>
        <w:spacing w:after="0" w:line="218" w:lineRule="exact"/>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—Studies are initially conducted in healthy human volunteers or subjects with the target disease or condition and test the product candidate</w:t>
      </w:r>
      <w:r>
        <w:rPr>
          <w:rFonts w:ascii="Arial" w:cs="Arial" w:eastAsia="Arial" w:hAnsi="Arial"/>
          <w:sz w:val="18"/>
          <w:szCs w:val="18"/>
          <w:i w:val="1"/>
          <w:iCs w:val="1"/>
          <w:color w:val="auto"/>
        </w:rPr>
        <w:t xml:space="preserve"> </w:t>
      </w:r>
      <w:r>
        <w:rPr>
          <w:rFonts w:ascii="Arial" w:cs="Arial" w:eastAsia="Arial" w:hAnsi="Arial"/>
          <w:sz w:val="18"/>
          <w:szCs w:val="18"/>
          <w:color w:val="auto"/>
        </w:rPr>
        <w:t>for safety, dosage tolerance, structure</w:t>
      </w:r>
      <w:r>
        <w:rPr>
          <w:rFonts w:ascii="MS PGothic" w:cs="MS PGothic" w:eastAsia="MS PGothic" w:hAnsi="MS PGothic"/>
          <w:sz w:val="18"/>
          <w:szCs w:val="18"/>
          <w:color w:val="auto"/>
        </w:rPr>
        <w:t>‑</w:t>
      </w:r>
      <w:r>
        <w:rPr>
          <w:rFonts w:ascii="Arial" w:cs="Arial" w:eastAsia="Arial" w:hAnsi="Arial"/>
          <w:sz w:val="18"/>
          <w:szCs w:val="18"/>
          <w:color w:val="auto"/>
        </w:rPr>
        <w:t>activity relationships, mechanism of action, absorption, metabolism, distribution, and excretion. If possible, Phase 1 trials may also be used to gain an initial indication of product effectiveness.</w:t>
      </w:r>
    </w:p>
    <w:p>
      <w:pPr>
        <w:spacing w:after="0" w:line="212" w:lineRule="exact"/>
        <w:rPr>
          <w:rFonts w:ascii="Arial" w:cs="Arial" w:eastAsia="Arial" w:hAnsi="Arial"/>
          <w:sz w:val="18"/>
          <w:szCs w:val="18"/>
          <w:color w:val="auto"/>
        </w:rPr>
      </w:pPr>
    </w:p>
    <w:p>
      <w:pPr>
        <w:ind w:left="820" w:hanging="326"/>
        <w:spacing w:after="0" w:line="331"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—Controlled studies are conducted in limited subject populations with a specified disease or condition to evaluate preliminary efficacy,</w:t>
      </w:r>
      <w:r>
        <w:rPr>
          <w:rFonts w:ascii="Arial" w:cs="Arial" w:eastAsia="Arial" w:hAnsi="Arial"/>
          <w:sz w:val="16"/>
          <w:szCs w:val="16"/>
          <w:i w:val="1"/>
          <w:iCs w:val="1"/>
          <w:color w:val="auto"/>
        </w:rPr>
        <w:t xml:space="preserve"> </w:t>
      </w:r>
      <w:r>
        <w:rPr>
          <w:rFonts w:ascii="Arial" w:cs="Arial" w:eastAsia="Arial" w:hAnsi="Arial"/>
          <w:sz w:val="16"/>
          <w:szCs w:val="16"/>
          <w:color w:val="auto"/>
        </w:rPr>
        <w:t>identify optimal dosages, dosage tolerance and schedule, possible adverse effects and safety risks, and expanded evidence of safety.</w:t>
      </w:r>
    </w:p>
    <w:p>
      <w:pPr>
        <w:spacing w:after="0" w:line="140" w:lineRule="exact"/>
        <w:rPr>
          <w:rFonts w:ascii="Arial" w:cs="Arial" w:eastAsia="Arial" w:hAnsi="Arial"/>
          <w:sz w:val="16"/>
          <w:szCs w:val="16"/>
          <w:color w:val="auto"/>
        </w:rPr>
      </w:pPr>
    </w:p>
    <w:p>
      <w:pPr>
        <w:jc w:val="both"/>
        <w:ind w:left="820" w:hanging="326"/>
        <w:spacing w:after="0" w:line="218" w:lineRule="exact"/>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These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clinical trials are undertaken in expanded subject populations, generally at geographically dispersed</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sites, to generate enough data to provide statistically significant evidence of clinical efficacy and safety of the product for approval, to establish the overall risk</w:t>
      </w:r>
      <w:r>
        <w:rPr>
          <w:rFonts w:ascii="MS PGothic" w:cs="MS PGothic" w:eastAsia="MS PGothic" w:hAnsi="MS PGothic"/>
          <w:sz w:val="18"/>
          <w:szCs w:val="18"/>
          <w:color w:val="auto"/>
        </w:rPr>
        <w:t>‑</w:t>
      </w:r>
      <w:r>
        <w:rPr>
          <w:rFonts w:ascii="Arial" w:cs="Arial" w:eastAsia="Arial" w:hAnsi="Arial"/>
          <w:sz w:val="18"/>
          <w:szCs w:val="18"/>
          <w:color w:val="auto"/>
        </w:rPr>
        <w:t>benefit profile of the product, and to provide adequate information for the labeling of the product. Typically, two Phase 3 trials are required by the FDA for product approval.</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During the development of a new drug, a sponsor may be able to request a Special Protocol Assessment (</w:t>
      </w:r>
      <w:r>
        <w:rPr>
          <w:rFonts w:ascii="Arial" w:cs="Arial" w:eastAsia="Arial" w:hAnsi="Arial"/>
          <w:sz w:val="16"/>
          <w:szCs w:val="16"/>
          <w:i w:val="1"/>
          <w:iCs w:val="1"/>
          <w:color w:val="auto"/>
        </w:rPr>
        <w:t>SPA</w:t>
      </w:r>
      <w:r>
        <w:rPr>
          <w:rFonts w:ascii="Arial" w:cs="Arial" w:eastAsia="Arial" w:hAnsi="Arial"/>
          <w:sz w:val="16"/>
          <w:szCs w:val="16"/>
          <w:color w:val="auto"/>
        </w:rPr>
        <w:t>),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w:t>
      </w:r>
      <w:r>
        <w:rPr>
          <w:rFonts w:ascii="MS PGothic" w:cs="MS PGothic" w:eastAsia="MS PGothic" w:hAnsi="MS PGothic"/>
          <w:sz w:val="16"/>
          <w:szCs w:val="16"/>
          <w:color w:val="auto"/>
        </w:rPr>
        <w:t>‑</w:t>
      </w:r>
      <w:r>
        <w:rPr>
          <w:rFonts w:ascii="Arial" w:cs="Arial" w:eastAsia="Arial" w:hAnsi="Arial"/>
          <w:sz w:val="16"/>
          <w:szCs w:val="16"/>
          <w:color w:val="auto"/>
        </w:rPr>
        <w:t>upon clinical trial protocol is followed, the clinical trial endpoints are achieved, and there is a favorable risk</w:t>
      </w:r>
      <w:r>
        <w:rPr>
          <w:rFonts w:ascii="MS PGothic" w:cs="MS PGothic" w:eastAsia="MS PGothic" w:hAnsi="MS PGothic"/>
          <w:sz w:val="16"/>
          <w:szCs w:val="16"/>
          <w:color w:val="auto"/>
        </w:rPr>
        <w:t>‑</w:t>
      </w:r>
      <w:r>
        <w:rPr>
          <w:rFonts w:ascii="Arial" w:cs="Arial" w:eastAsia="Arial" w:hAnsi="Arial"/>
          <w:sz w:val="16"/>
          <w:szCs w:val="16"/>
          <w:color w:val="auto"/>
        </w:rPr>
        <w:t>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NDA Submission, Review by the FDA, and Marketing Approval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Assuming successful completion of the required clinical and preclinical testing, the results of product development, including chemistry, manufacturing, and control (</w:t>
      </w:r>
      <w:r>
        <w:rPr>
          <w:rFonts w:ascii="Arial" w:cs="Arial" w:eastAsia="Arial" w:hAnsi="Arial"/>
          <w:sz w:val="16"/>
          <w:szCs w:val="16"/>
          <w:i w:val="1"/>
          <w:iCs w:val="1"/>
          <w:color w:val="auto"/>
        </w:rPr>
        <w:t>CMC</w:t>
      </w:r>
      <w:r>
        <w:rPr>
          <w:rFonts w:ascii="Arial" w:cs="Arial" w:eastAsia="Arial" w:hAnsi="Arial"/>
          <w:sz w:val="16"/>
          <w:szCs w:val="16"/>
          <w:color w:val="auto"/>
        </w:rPr>
        <w:t>)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w:t>
      </w:r>
      <w:r>
        <w:rPr>
          <w:rFonts w:ascii="Arial" w:cs="Arial" w:eastAsia="Arial" w:hAnsi="Arial"/>
          <w:sz w:val="16"/>
          <w:szCs w:val="16"/>
          <w:i w:val="1"/>
          <w:iCs w:val="1"/>
          <w:color w:val="auto"/>
        </w:rPr>
        <w:t>PDUFA</w:t>
      </w:r>
      <w:r>
        <w:rPr>
          <w:rFonts w:ascii="Arial" w:cs="Arial" w:eastAsia="Arial" w:hAnsi="Arial"/>
          <w:sz w:val="16"/>
          <w:szCs w:val="16"/>
          <w:color w:val="auto"/>
        </w:rPr>
        <w:t>).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also not subject to application user fees unless the application includes an indication other than the orphan indication.</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under the Pediatric Research Equity Act (</w:t>
      </w:r>
      <w:r>
        <w:rPr>
          <w:rFonts w:ascii="Arial" w:cs="Arial" w:eastAsia="Arial" w:hAnsi="Arial"/>
          <w:sz w:val="16"/>
          <w:szCs w:val="16"/>
          <w:i w:val="1"/>
          <w:iCs w:val="1"/>
          <w:color w:val="auto"/>
        </w:rPr>
        <w:t>PREA</w:t>
      </w:r>
      <w:r>
        <w:rPr>
          <w:rFonts w:ascii="Arial" w:cs="Arial" w:eastAsia="Arial" w:hAnsi="Arial"/>
          <w:sz w:val="16"/>
          <w:szCs w:val="16"/>
          <w:color w:val="auto"/>
        </w:rPr>
        <w:t>),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w:t>
      </w:r>
      <w:r>
        <w:rPr>
          <w:rFonts w:ascii="Arial" w:cs="Arial" w:eastAsia="Arial" w:hAnsi="Arial"/>
          <w:sz w:val="16"/>
          <w:szCs w:val="16"/>
          <w:i w:val="1"/>
          <w:iCs w:val="1"/>
          <w:color w:val="auto"/>
        </w:rPr>
        <w:t>PSP</w:t>
      </w:r>
      <w:r>
        <w:rPr>
          <w:rFonts w:ascii="Arial" w:cs="Arial" w:eastAsia="Arial" w:hAnsi="Arial"/>
          <w:sz w:val="16"/>
          <w:szCs w:val="16"/>
          <w:color w:val="auto"/>
        </w:rPr>
        <w:t>)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w:t>
      </w:r>
      <w:r>
        <w:rPr>
          <w:rFonts w:ascii="Arial" w:cs="Arial" w:eastAsia="Arial" w:hAnsi="Arial"/>
          <w:sz w:val="16"/>
          <w:szCs w:val="16"/>
          <w:i w:val="1"/>
          <w:iCs w:val="1"/>
          <w:color w:val="auto"/>
        </w:rPr>
        <w:t>REMS</w:t>
      </w:r>
      <w:r>
        <w:rPr>
          <w:rFonts w:ascii="Arial" w:cs="Arial" w:eastAsia="Arial" w:hAnsi="Arial"/>
          <w:sz w:val="16"/>
          <w:szCs w:val="16"/>
          <w:color w:val="auto"/>
        </w:rPr>
        <w:t>)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17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Once the FDA receives an application, it will determine within 60 days whether the NDA as filed is sufficiently complete to permit a substantive review (with this decision often referred to as the NDA being “accepted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6"/>
          <w:szCs w:val="16"/>
          <w:color w:val="auto"/>
        </w:rPr>
        <w:t>‑</w:t>
      </w:r>
      <w:r>
        <w:rPr>
          <w:rFonts w:ascii="Arial" w:cs="Arial" w:eastAsia="Arial" w:hAnsi="Arial"/>
          <w:sz w:val="16"/>
          <w:szCs w:val="16"/>
          <w:color w:val="auto"/>
        </w:rPr>
        <w:t>depth substantive review of the NDA.</w:t>
      </w:r>
    </w:p>
    <w:p>
      <w:pPr>
        <w:spacing w:after="0" w:line="21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FDA has agreed to a set of performance goals and procedures under PDUFA to review 90% of all applications within ten months from the 60-day filing date for its initial review of a standard NDA for a New Molecular Entity (</w:t>
      </w:r>
      <w:r>
        <w:rPr>
          <w:rFonts w:ascii="Arial" w:cs="Arial" w:eastAsia="Arial" w:hAnsi="Arial"/>
          <w:sz w:val="16"/>
          <w:szCs w:val="16"/>
          <w:i w:val="1"/>
          <w:iCs w:val="1"/>
          <w:color w:val="auto"/>
        </w:rPr>
        <w:t>NME</w:t>
      </w:r>
      <w:r>
        <w:rPr>
          <w:rFonts w:ascii="Arial" w:cs="Arial" w:eastAsia="Arial" w:hAnsi="Arial"/>
          <w:sz w:val="16"/>
          <w:szCs w:val="16"/>
          <w:color w:val="auto"/>
        </w:rPr>
        <w:t>).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clinical, CMC, or other data and information. Uncertainties can be presented by reviewers’ ability to exercise judgment and discretion during the review process. Even if such data and information are submitted, the FDA and may ultimately decide that the NDA does not satisfy the criteria for approval. Data obtained from clinical trials are not always conclusive and the FDA may interpret data differently than an applicant interprets the same data.</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w:t>
      </w:r>
      <w:r>
        <w:rPr>
          <w:rFonts w:ascii="Arial" w:cs="Arial" w:eastAsia="Arial" w:hAnsi="Arial"/>
          <w:sz w:val="16"/>
          <w:szCs w:val="16"/>
          <w:i w:val="1"/>
          <w:iCs w:val="1"/>
          <w:color w:val="auto"/>
        </w:rPr>
        <w:t>CRL</w:t>
      </w:r>
      <w:r>
        <w:rPr>
          <w:rFonts w:ascii="Arial" w:cs="Arial" w:eastAsia="Arial" w:hAnsi="Arial"/>
          <w:sz w:val="16"/>
          <w:szCs w:val="16"/>
          <w:color w:val="auto"/>
        </w:rPr>
        <w:t>).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97"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6"/>
          <w:szCs w:val="16"/>
          <w:color w:val="auto"/>
        </w:rPr>
        <w:t>‑</w:t>
      </w:r>
      <w:r>
        <w:rPr>
          <w:rFonts w:ascii="Arial" w:cs="Arial" w:eastAsia="Arial" w:hAnsi="Arial"/>
          <w:sz w:val="16"/>
          <w:szCs w:val="16"/>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8"/>
          <w:szCs w:val="18"/>
          <w:color w:val="auto"/>
        </w:rPr>
        <w:t>‑</w:t>
      </w:r>
      <w:r>
        <w:rPr>
          <w:rFonts w:ascii="Arial" w:cs="Arial" w:eastAsia="Arial" w:hAnsi="Arial"/>
          <w:sz w:val="18"/>
          <w:szCs w:val="18"/>
          <w:color w:val="auto"/>
        </w:rPr>
        <w:t xml:space="preserve"> and post</w:t>
      </w:r>
      <w:r>
        <w:rPr>
          <w:rFonts w:ascii="MS PGothic" w:cs="MS PGothic" w:eastAsia="MS PGothic" w:hAnsi="MS PGothic"/>
          <w:sz w:val="18"/>
          <w:szCs w:val="18"/>
          <w:color w:val="auto"/>
        </w:rPr>
        <w:t>‑</w:t>
      </w:r>
      <w:r>
        <w:rPr>
          <w:rFonts w:ascii="Arial" w:cs="Arial" w:eastAsia="Arial" w:hAnsi="Arial"/>
          <w:sz w:val="18"/>
          <w:szCs w:val="18"/>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505(b)(2) Approval Process</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6"/>
          <w:szCs w:val="16"/>
          <w:color w:val="auto"/>
        </w:rPr>
        <w:t>‑</w:t>
      </w:r>
      <w:r>
        <w:rPr>
          <w:rFonts w:ascii="Arial" w:cs="Arial" w:eastAsia="Arial" w:hAnsi="Arial"/>
          <w:sz w:val="16"/>
          <w:szCs w:val="16"/>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w:t>
      </w:r>
      <w:r>
        <w:rPr>
          <w:rFonts w:ascii="Arial" w:cs="Arial" w:eastAsia="Arial" w:hAnsi="Arial"/>
          <w:sz w:val="16"/>
          <w:szCs w:val="16"/>
          <w:i w:val="1"/>
          <w:iCs w:val="1"/>
          <w:color w:val="auto"/>
        </w:rPr>
        <w:t>ANDA</w:t>
      </w:r>
      <w:r>
        <w:rPr>
          <w:rFonts w:ascii="Arial" w:cs="Arial" w:eastAsia="Arial" w:hAnsi="Arial"/>
          <w:sz w:val="16"/>
          <w:szCs w:val="16"/>
          <w:color w:val="auto"/>
        </w:rPr>
        <w:t>).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6"/>
          <w:szCs w:val="16"/>
          <w:color w:val="auto"/>
        </w:rPr>
        <w:t>‑</w:t>
      </w:r>
      <w:r>
        <w:rPr>
          <w:rFonts w:ascii="Arial" w:cs="Arial" w:eastAsia="Arial" w:hAnsi="Arial"/>
          <w:sz w:val="16"/>
          <w:szCs w:val="16"/>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Arial" w:cs="Arial" w:eastAsia="Arial" w:hAnsi="Arial"/>
          <w:sz w:val="18"/>
          <w:szCs w:val="18"/>
          <w:i w:val="1"/>
          <w:iCs w:val="1"/>
          <w:color w:val="auto"/>
        </w:rPr>
        <w:t>Approved Drug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Therapeutic Equivalence Evaluations</w:t>
      </w:r>
      <w:r>
        <w:rPr>
          <w:rFonts w:ascii="Arial" w:cs="Arial" w:eastAsia="Arial" w:hAnsi="Arial"/>
          <w:sz w:val="18"/>
          <w:szCs w:val="18"/>
          <w:color w:val="auto"/>
        </w:rPr>
        <w:t>, also known as the Orange Book.</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173"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PGothic" w:cs="MS PGothic" w:eastAsia="MS PGothic" w:hAnsi="MS PGothic"/>
          <w:sz w:val="18"/>
          <w:szCs w:val="18"/>
          <w:color w:val="auto"/>
        </w:rPr>
        <w:t>‑</w:t>
      </w:r>
      <w:r>
        <w:rPr>
          <w:rFonts w:ascii="Arial" w:cs="Arial" w:eastAsia="Arial" w:hAnsi="Arial"/>
          <w:sz w:val="18"/>
          <w:szCs w:val="18"/>
          <w:color w:val="auto"/>
        </w:rPr>
        <w:t>month stay.</w:t>
      </w:r>
    </w:p>
    <w:p>
      <w:pPr>
        <w:spacing w:after="0" w:line="213"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practice, where an ANDA or 505(b)(2) NDA applicant files a paragraph IV certification, the NDA holder or patent owners often take action to trigger the automatic 30</w:t>
      </w:r>
      <w:r>
        <w:rPr>
          <w:rFonts w:ascii="MS PGothic" w:cs="MS PGothic" w:eastAsia="MS PGothic" w:hAnsi="MS PGothic"/>
          <w:sz w:val="18"/>
          <w:szCs w:val="18"/>
          <w:color w:val="auto"/>
        </w:rPr>
        <w:t>‑</w:t>
      </w:r>
      <w:r>
        <w:rPr>
          <w:rFonts w:ascii="Arial" w:cs="Arial" w:eastAsia="Arial" w:hAnsi="Arial"/>
          <w:sz w:val="18"/>
          <w:szCs w:val="18"/>
          <w:color w:val="auto"/>
        </w:rPr>
        <w:t>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Regulatory exclusivity provisions under the FDCA can also delay the submission or the approval effective date of certain applications. A regulatory exclusivity can provide the holder of an approved NDA protection from new competition in the marketplace for the innovation represented by its approved drug. Five years of exclusivity are available for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17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Three years of exclusivity are available to the holder of an NDA, including a 505(b)(2) NDA, for a particular condition of approval, or change to a marketed product, such as a new formulation or indication for a drug product that contains an active moiety that has been previously approved, when the application contains 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w:t>
      </w:r>
      <w:r>
        <w:rPr>
          <w:rFonts w:ascii="Arial" w:cs="Arial" w:eastAsia="Arial" w:hAnsi="Arial"/>
          <w:sz w:val="16"/>
          <w:szCs w:val="16"/>
          <w:i w:val="1"/>
          <w:iCs w:val="1"/>
          <w:color w:val="auto"/>
        </w:rPr>
        <w:t>NCI</w:t>
      </w:r>
      <w:r>
        <w:rPr>
          <w:rFonts w:ascii="Arial" w:cs="Arial" w:eastAsia="Arial" w:hAnsi="Arial"/>
          <w:sz w:val="16"/>
          <w:szCs w:val="16"/>
          <w:color w:val="auto"/>
        </w:rPr>
        <w:t>) was essential to approval of the application containing those changes. During the NCI exclusivity period, FDA may not approve an ANDA 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clinical trials necessary to demonstrate safety and efficacy.</w:t>
      </w:r>
    </w:p>
    <w:p>
      <w:pPr>
        <w:spacing w:after="0" w:line="21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6"/>
          <w:szCs w:val="16"/>
          <w:color w:val="auto"/>
        </w:rPr>
        <w:t>‑</w:t>
      </w:r>
      <w:r>
        <w:rPr>
          <w:rFonts w:ascii="Arial" w:cs="Arial" w:eastAsia="Arial" w:hAnsi="Arial"/>
          <w:sz w:val="16"/>
          <w:szCs w:val="16"/>
          <w:color w:val="auto"/>
        </w:rPr>
        <w:t>patent exclusivity periods described above as well as applicable patent terms. This six</w:t>
      </w:r>
      <w:r>
        <w:rPr>
          <w:rFonts w:ascii="MS PGothic" w:cs="MS PGothic" w:eastAsia="MS PGothic" w:hAnsi="MS PGothic"/>
          <w:sz w:val="16"/>
          <w:szCs w:val="16"/>
          <w:color w:val="auto"/>
        </w:rPr>
        <w:t>‑</w:t>
      </w:r>
      <w:r>
        <w:rPr>
          <w:rFonts w:ascii="Arial" w:cs="Arial" w:eastAsia="Arial" w:hAnsi="Arial"/>
          <w:sz w:val="16"/>
          <w:szCs w:val="16"/>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24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PGothic" w:cs="MS PGothic" w:eastAsia="MS PGothic" w:hAnsi="MS PGothic"/>
          <w:sz w:val="16"/>
          <w:szCs w:val="16"/>
          <w:color w:val="auto"/>
        </w:rPr>
        <w:t>‑</w:t>
      </w:r>
      <w:r>
        <w:rPr>
          <w:rFonts w:ascii="Arial" w:cs="Arial" w:eastAsia="Arial" w:hAnsi="Arial"/>
          <w:sz w:val="16"/>
          <w:szCs w:val="16"/>
          <w:color w:val="auto"/>
        </w:rPr>
        <w:t>fee waivers.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FDA has various programs, including Fast Track designation, Priority Review and Breakthrough designation, that are intended to expedite or simplify the process for the development and FDA review of certain drug products that are intended for the treatment of serious or life 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if an applicant obtains “rolling review” the FDA may accept and initiate review of sections of an NDA before the application submission is complete, although it is not guaranteed that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some cases, a Fast Track product may be eligible for Accelerated Approval or Priority Review.</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w:t>
      </w:r>
      <w:r>
        <w:rPr>
          <w:rFonts w:ascii="MS PGothic" w:cs="MS PGothic" w:eastAsia="MS PGothic" w:hAnsi="MS PGothic"/>
          <w:sz w:val="18"/>
          <w:szCs w:val="18"/>
          <w:color w:val="auto"/>
        </w:rPr>
        <w:t>‑</w:t>
      </w:r>
      <w:r>
        <w:rPr>
          <w:rFonts w:ascii="Arial" w:cs="Arial" w:eastAsia="Arial" w:hAnsi="Arial"/>
          <w:sz w:val="18"/>
          <w:szCs w:val="18"/>
          <w:color w:val="auto"/>
        </w:rPr>
        <w:t>day filing date for NMEs and within six months of the submission receipt date for non</w:t>
      </w:r>
      <w:r>
        <w:rPr>
          <w:rFonts w:ascii="MS PGothic" w:cs="MS PGothic" w:eastAsia="MS PGothic" w:hAnsi="MS PGothic"/>
          <w:sz w:val="18"/>
          <w:szCs w:val="18"/>
          <w:color w:val="auto"/>
        </w:rPr>
        <w:t>‑</w:t>
      </w:r>
      <w:r>
        <w:rPr>
          <w:rFonts w:ascii="Arial" w:cs="Arial" w:eastAsia="Arial" w:hAnsi="Arial"/>
          <w:sz w:val="18"/>
          <w:szCs w:val="18"/>
          <w:color w:val="auto"/>
        </w:rPr>
        <w:t>NMEs. Products that are eligible for Fast Track designation may also be considered appropriate to receive a Priority Review.</w:t>
      </w:r>
    </w:p>
    <w:p>
      <w:pPr>
        <w:spacing w:after="0" w:line="21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Moreover, under the provisions of the Food and Drug Administration Safety and Innovation Act (</w:t>
      </w:r>
      <w:r>
        <w:rPr>
          <w:rFonts w:ascii="Arial" w:cs="Arial" w:eastAsia="Arial" w:hAnsi="Arial"/>
          <w:sz w:val="16"/>
          <w:szCs w:val="16"/>
          <w:i w:val="1"/>
          <w:iCs w:val="1"/>
          <w:color w:val="auto"/>
        </w:rPr>
        <w:t>FDASIA</w:t>
      </w:r>
      <w:r>
        <w:rPr>
          <w:rFonts w:ascii="Arial" w:cs="Arial" w:eastAsia="Arial" w:hAnsi="Arial"/>
          <w:sz w:val="16"/>
          <w:szCs w:val="16"/>
          <w:color w:val="auto"/>
        </w:rPr>
        <w:t>),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w:t>
      </w:r>
      <w:r>
        <w:rPr>
          <w:rFonts w:ascii="MS PGothic" w:cs="MS PGothic" w:eastAsia="MS PGothic" w:hAnsi="MS PGothic"/>
          <w:sz w:val="16"/>
          <w:szCs w:val="16"/>
          <w:color w:val="auto"/>
        </w:rPr>
        <w:t>‑</w:t>
      </w:r>
      <w:r>
        <w:rPr>
          <w:rFonts w:ascii="Arial" w:cs="Arial" w:eastAsia="Arial" w:hAnsi="Arial"/>
          <w:sz w:val="16"/>
          <w:szCs w:val="16"/>
          <w:color w:val="auto"/>
        </w:rPr>
        <w:t>disciplinary review.</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86"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approval Requirements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19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6"/>
          <w:szCs w:val="16"/>
          <w:color w:val="auto"/>
        </w:rPr>
        <w:t>‑</w:t>
      </w:r>
      <w:r>
        <w:rPr>
          <w:rFonts w:ascii="Arial" w:cs="Arial" w:eastAsia="Arial" w:hAnsi="Arial"/>
          <w:sz w:val="16"/>
          <w:szCs w:val="16"/>
          <w:color w:val="auto"/>
        </w:rPr>
        <w:t>party manufacturers.</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Changes to the manufacturing process are strictly regulated and often require prior FDA approval or notification before being implemented. FDA regulations also require investigation and correction of any deviations from cGMP and product specifications and impose reporting and documentation requirements upon the sponsor and any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that the sponsor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off</w:t>
      </w:r>
      <w:r>
        <w:rPr>
          <w:rFonts w:ascii="MS PGothic" w:cs="MS PGothic" w:eastAsia="MS PGothic" w:hAnsi="MS PGothic"/>
          <w:sz w:val="16"/>
          <w:szCs w:val="16"/>
          <w:color w:val="auto"/>
        </w:rPr>
        <w:t>‑</w:t>
      </w:r>
      <w:r>
        <w:rPr>
          <w:rFonts w:ascii="Arial" w:cs="Arial" w:eastAsia="Arial" w:hAnsi="Arial"/>
          <w:sz w:val="16"/>
          <w:szCs w:val="16"/>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False Claims Act exposure. Further, the FDA has not materially changed its position on off-label promotion following legal setbacks on First Amendment grounds and the DOJ has consistently asserted in FCA briefings that “speech that serves as a conduit for violations of the law is not constitutionally protected.”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Drug Supply Chain Security Act (</w:t>
      </w:r>
      <w:r>
        <w:rPr>
          <w:rFonts w:ascii="Arial" w:cs="Arial" w:eastAsia="Arial" w:hAnsi="Arial"/>
          <w:sz w:val="16"/>
          <w:szCs w:val="16"/>
          <w:i w:val="1"/>
          <w:iCs w:val="1"/>
          <w:color w:val="auto"/>
        </w:rPr>
        <w:t>DSCSA</w:t>
      </w:r>
      <w:r>
        <w:rPr>
          <w:rFonts w:ascii="Arial" w:cs="Arial" w:eastAsia="Arial" w:hAnsi="Arial"/>
          <w:sz w:val="16"/>
          <w:szCs w:val="16"/>
          <w:color w:val="auto"/>
        </w:rPr>
        <w:t>)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w:t>
      </w:r>
      <w:r>
        <w:rPr>
          <w:rFonts w:ascii="Arial" w:cs="Arial" w:eastAsia="Arial" w:hAnsi="Arial"/>
          <w:sz w:val="16"/>
          <w:szCs w:val="16"/>
          <w:i w:val="1"/>
          <w:iCs w:val="1"/>
          <w:color w:val="auto"/>
        </w:rPr>
        <w:t>PDMA</w:t>
      </w:r>
      <w:r>
        <w:rPr>
          <w:rFonts w:ascii="Arial" w:cs="Arial" w:eastAsia="Arial" w:hAnsi="Arial"/>
          <w:sz w:val="16"/>
          <w:szCs w:val="16"/>
          <w:color w:val="auto"/>
        </w:rPr>
        <w:t>).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Product identifier information (an aspect of the product tracing scheme) is also now required. The DSCSA requirements, development of standards, and the system for product tracing have been and will continue to be phased in over a period of years through 2023, and subject companies will need to continue their implementation efforts. Many states still have in place licensure and other requirements for manufacturers and distributors of drug products. The distribution of product samples continues to be regulated under the PDMA, and some states also impose regulations on drug sample distribution.</w:t>
      </w:r>
    </w:p>
    <w:p>
      <w:pPr>
        <w:spacing w:after="0" w:line="180" w:lineRule="exact"/>
        <w:rPr>
          <w:sz w:val="20"/>
          <w:szCs w:val="20"/>
          <w:color w:val="auto"/>
        </w:rPr>
      </w:pPr>
    </w:p>
    <w:p>
      <w:pPr>
        <w:jc w:val="both"/>
        <w:spacing w:after="0" w:line="217" w:lineRule="exact"/>
        <w:rPr>
          <w:sz w:val="20"/>
          <w:szCs w:val="20"/>
          <w:color w:val="auto"/>
        </w:rPr>
      </w:pPr>
      <w:r>
        <w:rPr>
          <w:rFonts w:ascii="Arial" w:cs="Arial" w:eastAsia="Arial" w:hAnsi="Arial"/>
          <w:sz w:val="15"/>
          <w:szCs w:val="15"/>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w:t>
      </w:r>
      <w:r>
        <w:rPr>
          <w:rFonts w:ascii="MS PGothic" w:cs="MS PGothic" w:eastAsia="MS PGothic" w:hAnsi="MS PGothic"/>
          <w:sz w:val="15"/>
          <w:szCs w:val="15"/>
          <w:color w:val="auto"/>
        </w:rPr>
        <w:t>‑</w:t>
      </w:r>
      <w:r>
        <w:rPr>
          <w:rFonts w:ascii="Arial" w:cs="Arial" w:eastAsia="Arial" w:hAnsi="Arial"/>
          <w:sz w:val="15"/>
          <w:szCs w:val="15"/>
          <w:color w:val="auto"/>
        </w:rPr>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 and Abuse, and Transparency Laws and Regulations</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Following product approval, our business activities, including but not limited to research, sales, promotion, marketing, distribution, medical education, sponsorships, relationships with prescribers and other referral sources, and other activities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CMS the Office of Inspector General (</w:t>
      </w:r>
      <w:r>
        <w:rPr>
          <w:rFonts w:ascii="Arial" w:cs="Arial" w:eastAsia="Arial" w:hAnsi="Arial"/>
          <w:sz w:val="16"/>
          <w:szCs w:val="16"/>
          <w:i w:val="1"/>
          <w:iCs w:val="1"/>
          <w:color w:val="auto"/>
        </w:rPr>
        <w:t>OIG</w:t>
      </w:r>
      <w:r>
        <w:rPr>
          <w:rFonts w:ascii="Arial" w:cs="Arial" w:eastAsia="Arial" w:hAnsi="Arial"/>
          <w:sz w:val="16"/>
          <w:szCs w:val="16"/>
          <w:color w:val="auto"/>
        </w:rPr>
        <w:t>) and the Health Resources and Services Administration (</w:t>
      </w:r>
      <w:r>
        <w:rPr>
          <w:rFonts w:ascii="Arial" w:cs="Arial" w:eastAsia="Arial" w:hAnsi="Arial"/>
          <w:sz w:val="16"/>
          <w:szCs w:val="16"/>
          <w:i w:val="1"/>
          <w:iCs w:val="1"/>
          <w:color w:val="auto"/>
        </w:rPr>
        <w:t>HRSA</w:t>
      </w:r>
      <w:r>
        <w:rPr>
          <w:rFonts w:ascii="Arial" w:cs="Arial" w:eastAsia="Arial" w:hAnsi="Arial"/>
          <w:sz w:val="16"/>
          <w:szCs w:val="16"/>
          <w:color w:val="auto"/>
        </w:rPr>
        <w:t>), the Department of Veterans Affairs, the Department of Defense, and certain state and local governments. Our business activities must comply with numerous healthcare laws, including but not limited to, anti</w:t>
      </w:r>
      <w:r>
        <w:rPr>
          <w:rFonts w:ascii="MS PGothic" w:cs="MS PGothic" w:eastAsia="MS PGothic" w:hAnsi="MS PGothic"/>
          <w:sz w:val="16"/>
          <w:szCs w:val="16"/>
          <w:color w:val="auto"/>
        </w:rPr>
        <w:t>‑</w:t>
      </w:r>
      <w:r>
        <w:rPr>
          <w:rFonts w:ascii="Arial" w:cs="Arial" w:eastAsia="Arial" w:hAnsi="Arial"/>
          <w:sz w:val="16"/>
          <w:szCs w:val="16"/>
          <w:color w:val="auto"/>
        </w:rPr>
        <w:t>kickback and false claims laws and regulations as well as data privacy and security laws and regulations, which are described below.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Anti-Kickback Statute. Instead, the legality of the arrangement will be evaluated on a case by case basis based on a cumulative review of all of its facts and circumstances to determine whether one purpose of an arrangement involving remuneration is to induce referrals of federal healthcare covered business. The Patient Protection and Affordable Care Act (</w:t>
      </w:r>
      <w:r>
        <w:rPr>
          <w:rFonts w:ascii="Arial" w:cs="Arial" w:eastAsia="Arial" w:hAnsi="Arial"/>
          <w:sz w:val="16"/>
          <w:szCs w:val="16"/>
          <w:i w:val="1"/>
          <w:iCs w:val="1"/>
          <w:color w:val="auto"/>
        </w:rPr>
        <w:t>ACA</w:t>
      </w:r>
      <w:r>
        <w:rPr>
          <w:rFonts w:ascii="Arial" w:cs="Arial" w:eastAsia="Arial" w:hAnsi="Arial"/>
          <w:sz w:val="16"/>
          <w:szCs w:val="16"/>
          <w:color w:val="auto"/>
        </w:rPr>
        <w:t>), of 2010, as amended, modified the intent requirement under the Anti-Kickback Statute to a stricter standard, such that a person or entity no longer needs to have actual knowledge of the statute or specific intent to violate it in order to have committed a violation. The ACA further amended the federal civil False Claims Act to provide that a claim that includes items or services resulting from a violation of the federal Anti-Kickback Statute constitutes a false or fraudulent claim under the False Claims Act. Therefore, either the federal government or private citizens under the False Claims Act’s qui tam provisions (discussed further below) can bring an action under the False Claims Act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 as contemplated in a recent regulatory proposal.</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government has asserted False Claims Act liability against manufacturers by alleging that improper arrangements with ordering physicians caused them or another provider to file false claims in violation of the False Claims Act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w:t>
      </w:r>
      <w:r>
        <w:rPr>
          <w:rFonts w:ascii="Arial" w:cs="Arial" w:eastAsia="Arial" w:hAnsi="Arial"/>
          <w:sz w:val="16"/>
          <w:szCs w:val="16"/>
          <w:i w:val="1"/>
          <w:iCs w:val="1"/>
          <w:color w:val="auto"/>
        </w:rPr>
        <w:t>EHR</w:t>
      </w:r>
      <w:r>
        <w:rPr>
          <w:rFonts w:ascii="Arial" w:cs="Arial" w:eastAsia="Arial" w:hAnsi="Arial"/>
          <w:sz w:val="16"/>
          <w:szCs w:val="16"/>
          <w:color w:val="auto"/>
        </w:rPr>
        <w:t>) vendors and pharmaceutical manufacturers for remunerative relationships involving the EHR platform’s recommendation of particular drugs and “prompting” technology to increase prescribing of particular drugs.</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ACA further created new federal requirements for reporting under the Physician Payments Sunshine Act (the </w:t>
      </w:r>
      <w:r>
        <w:rPr>
          <w:rFonts w:ascii="Arial" w:cs="Arial" w:eastAsia="Arial" w:hAnsi="Arial"/>
          <w:sz w:val="16"/>
          <w:szCs w:val="16"/>
          <w:i w:val="1"/>
          <w:iCs w:val="1"/>
          <w:color w:val="auto"/>
        </w:rPr>
        <w:t>Sunshine Act</w:t>
      </w:r>
      <w:r>
        <w:rPr>
          <w:rFonts w:ascii="Arial" w:cs="Arial" w:eastAsia="Arial" w:hAnsi="Arial"/>
          <w:sz w:val="16"/>
          <w:szCs w:val="16"/>
          <w:color w:val="auto"/>
        </w:rPr>
        <w:t>) by applicable manufacturers of covered drugs, payments and other transfers of value to physicians and teaching hospitals, and ownership and investment interests held by physicians and their immediate family members. 2018 legislation extended the Sunshine Act to cover payments and transfers of value to physician assistants, nurse practitioners, and other mid-level practitioners (with reporting requirements going into effect in 2022 for payments and transfers of value made in 2021).</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3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civil False Claims Act (</w:t>
      </w:r>
      <w:r>
        <w:rPr>
          <w:rFonts w:ascii="Arial" w:cs="Arial" w:eastAsia="Arial" w:hAnsi="Arial"/>
          <w:sz w:val="16"/>
          <w:szCs w:val="16"/>
          <w:i w:val="1"/>
          <w:iCs w:val="1"/>
          <w:color w:val="auto"/>
        </w:rPr>
        <w:t>FCA</w:t>
      </w:r>
      <w:r>
        <w:rPr>
          <w:rFonts w:ascii="Arial" w:cs="Arial" w:eastAsia="Arial" w:hAnsi="Arial"/>
          <w:sz w:val="16"/>
          <w:szCs w:val="16"/>
          <w:color w:val="auto"/>
        </w:rPr>
        <w:t>)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False Claims Act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False Claims Act; however, a November 2017 Department of Justice memorandum now prohibits the use of subregulatory guidance documents to impose new or more stringent requirements on entities outside the Executive Branch of the federal government. Because the Department has experienced recent administration changes, it is unclear whether the new Attorney General will continue this policy.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False Claims Act lawsuits against pharmaceutical companies have increased significantly in volume and breadth, leading to several substantial civil and criminal settlements, as much as $3.0 billion, regarding certain sales practices and promoting off-label drug uses. For example, civil False Claims Act liability may be imposed for Medicare or Medicaid overpayments arising out of claims that were filed by providers but alleged to have been caused by manufacturers’ incentives, impermissible discounts, or overpayments caused by understated rebate amounts. False Claims Act enforcement may also arise from claims filed as the result of manufacturing marketing materials that contained inaccurate statements or provided certain reimbursement guidance.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Similarly, the criminal healthcare fraud statutes impose criminal liability for, among other things, knowingly and willfully attempting or executing a scheme to defraud any healthcare benefit program, including private third-party payors, obtaining money or property of a benefit program by false or fraudulent means, or falsifying, concealing, or covering up a material fact or submitting a materially false statement in connection with the delivery of, or payment form healthcare benefits, items, or services. These statutes are not limited to items and services reimbursed by a governmental health care program and have been used to prosecute commercial insurance fraud as well.</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exclusion statute requires the exclusion of entities and individuals who have been convicted of federal- program related crimes or health care felony fraud or controlled substance charges. The statute also permits the exclusion of those that have been convicted of any form of fraud, the anti-kickback statute, for obstructing an investigation or audit, misdemeanor 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 (</w:t>
      </w:r>
      <w:r>
        <w:rPr>
          <w:rFonts w:ascii="Arial" w:cs="Arial" w:eastAsia="Arial" w:hAnsi="Arial"/>
          <w:sz w:val="16"/>
          <w:szCs w:val="16"/>
          <w:i w:val="1"/>
          <w:iCs w:val="1"/>
          <w:color w:val="auto"/>
        </w:rPr>
        <w:t>BLA</w:t>
      </w:r>
      <w:r>
        <w:rPr>
          <w:rFonts w:ascii="Arial" w:cs="Arial" w:eastAsia="Arial" w:hAnsi="Arial"/>
          <w:sz w:val="16"/>
          <w:szCs w:val="16"/>
          <w:color w:val="auto"/>
        </w:rPr>
        <w:t>) or an NDA, including 505(b)(2) drugs, are subject to an additional inflation penalty which can substantially increase rebate payments. In addition, for BLA and NDA drugs, the Veterans Health Care Act (</w:t>
      </w:r>
      <w:r>
        <w:rPr>
          <w:rFonts w:ascii="Arial" w:cs="Arial" w:eastAsia="Arial" w:hAnsi="Arial"/>
          <w:sz w:val="16"/>
          <w:szCs w:val="16"/>
          <w:i w:val="1"/>
          <w:iCs w:val="1"/>
          <w:color w:val="auto"/>
        </w:rPr>
        <w:t>VHCA</w:t>
      </w:r>
      <w:r>
        <w:rPr>
          <w:rFonts w:ascii="Arial" w:cs="Arial" w:eastAsia="Arial" w:hAnsi="Arial"/>
          <w:sz w:val="16"/>
          <w:szCs w:val="16"/>
          <w:color w:val="auto"/>
        </w:rPr>
        <w:t>) requires manufacturers to calculate and report to the VA a different price called the Non</w:t>
      </w:r>
      <w:r>
        <w:rPr>
          <w:rFonts w:ascii="MS PGothic" w:cs="MS PGothic" w:eastAsia="MS PGothic" w:hAnsi="MS PGothic"/>
          <w:sz w:val="16"/>
          <w:szCs w:val="16"/>
          <w:color w:val="auto"/>
        </w:rPr>
        <w:t>‑</w:t>
      </w:r>
      <w:r>
        <w:rPr>
          <w:rFonts w:ascii="Arial" w:cs="Arial" w:eastAsia="Arial" w:hAnsi="Arial"/>
          <w:sz w:val="16"/>
          <w:szCs w:val="16"/>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risk of submitting false information to the government and resulting potential FCA liability.</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HRSA within Department of Health and Human Services. Manufacturers can be audited by HRSA and be subjected to civil monetary penalties for knowingly and intentionally overcharging covered entities for drugs.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federal Health Insurance Portability and Accountability Act of 1996 (</w:t>
      </w:r>
      <w:r>
        <w:rPr>
          <w:rFonts w:ascii="Arial" w:cs="Arial" w:eastAsia="Arial" w:hAnsi="Arial"/>
          <w:sz w:val="18"/>
          <w:szCs w:val="18"/>
          <w:i w:val="1"/>
          <w:iCs w:val="1"/>
          <w:color w:val="auto"/>
        </w:rPr>
        <w:t>HIPAA</w:t>
      </w:r>
      <w:r>
        <w:rPr>
          <w:rFonts w:ascii="Arial" w:cs="Arial" w:eastAsia="Arial" w:hAnsi="Arial"/>
          <w:sz w:val="18"/>
          <w:szCs w:val="18"/>
          <w:color w:val="auto"/>
        </w:rPr>
        <w:t>)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as amended, modified the intent requirement under the certain portions of these federal criminal statutes such that a person or entity no longer needs to have actual knowledge of the statute or specific intent to violate it.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Further, we may be subject to data privacy and security regulation by both the federal government and the states in which we conduct our business. HIPAA, as amended by the Health Information Technology for Economic and Clinical Health Act (</w:t>
      </w:r>
      <w:r>
        <w:rPr>
          <w:rFonts w:ascii="Arial" w:cs="Arial" w:eastAsia="Arial" w:hAnsi="Arial"/>
          <w:sz w:val="16"/>
          <w:szCs w:val="16"/>
          <w:i w:val="1"/>
          <w:iCs w:val="1"/>
          <w:color w:val="auto"/>
        </w:rPr>
        <w:t>HITECH</w:t>
      </w:r>
      <w:r>
        <w:rPr>
          <w:rFonts w:ascii="Arial" w:cs="Arial" w:eastAsia="Arial" w:hAnsi="Arial"/>
          <w:sz w:val="16"/>
          <w:szCs w:val="16"/>
          <w:color w:val="auto"/>
        </w:rPr>
        <w:t>), and its respective implementing regulations, extended certain requirements relating to the privacy, security, and transmission of individually identifiable health information directly to business associates of HIPAA-covered entities. A business associate is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Even for entities that are not deemed “covered entities” or “business associates” under HIPAA, according to the United States Federal Trade Commission (the </w:t>
      </w:r>
      <w:r>
        <w:rPr>
          <w:rFonts w:ascii="Arial" w:cs="Arial" w:eastAsia="Arial" w:hAnsi="Arial"/>
          <w:sz w:val="16"/>
          <w:szCs w:val="16"/>
          <w:i w:val="1"/>
          <w:iCs w:val="1"/>
          <w:color w:val="auto"/>
        </w:rPr>
        <w:t>FTC</w:t>
      </w:r>
      <w:r>
        <w:rPr>
          <w:rFonts w:ascii="Arial" w:cs="Arial" w:eastAsia="Arial" w:hAnsi="Arial"/>
          <w:sz w:val="16"/>
          <w:szCs w:val="16"/>
          <w:color w:val="auto"/>
        </w:rPr>
        <w:t>) failing to take appropriate steps to keep consumers' personal information secure constitutes unfair acts or practices in or affecting commerce in violation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Section 5(a) of the Federal Trade Commission Act (the </w:t>
      </w:r>
      <w:r>
        <w:rPr>
          <w:rFonts w:ascii="Arial" w:cs="Arial" w:eastAsia="Arial" w:hAnsi="Arial"/>
          <w:sz w:val="16"/>
          <w:szCs w:val="16"/>
          <w:i w:val="1"/>
          <w:iCs w:val="1"/>
          <w:color w:val="auto"/>
        </w:rPr>
        <w:t>FTCA</w:t>
      </w:r>
      <w:r>
        <w:rPr>
          <w:rFonts w:ascii="Arial" w:cs="Arial" w:eastAsia="Arial" w:hAnsi="Arial"/>
          <w:sz w:val="16"/>
          <w:szCs w:val="16"/>
          <w:color w:val="auto"/>
        </w:rPr>
        <w: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w:t>
      </w:r>
      <w:r>
        <w:rPr>
          <w:rFonts w:ascii="Arial" w:cs="Arial" w:eastAsia="Arial" w:hAnsi="Arial"/>
          <w:sz w:val="16"/>
          <w:szCs w:val="16"/>
          <w:i w:val="1"/>
          <w:iCs w:val="1"/>
          <w:color w:val="auto"/>
        </w:rPr>
        <w:t>CCPA</w:t>
      </w:r>
      <w:r>
        <w:rPr>
          <w:rFonts w:ascii="Arial" w:cs="Arial" w:eastAsia="Arial" w:hAnsi="Arial"/>
          <w:sz w:val="16"/>
          <w:szCs w:val="16"/>
          <w:color w:val="auto"/>
        </w:rPr>
        <w:t>) was made effective January 1, 2020. The CCPA, among other things, created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and it remains unclear what language the final Attorney General regulations will contain or how the statute and the regulations will be interpreted.</w:t>
      </w:r>
    </w:p>
    <w:p>
      <w:pPr>
        <w:spacing w:after="0" w:line="17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Many states have also adopted laws similar to each of the above federal laws, which may be broader in scope and apply to items or services reimbursed by any third</w:t>
      </w:r>
      <w:r>
        <w:rPr>
          <w:rFonts w:ascii="MS PGothic" w:cs="MS PGothic" w:eastAsia="MS PGothic" w:hAnsi="MS PGothic"/>
          <w:sz w:val="16"/>
          <w:szCs w:val="16"/>
          <w:color w:val="auto"/>
        </w:rPr>
        <w:t>‑</w:t>
      </w:r>
      <w:r>
        <w:rPr>
          <w:rFonts w:ascii="Arial" w:cs="Arial" w:eastAsia="Arial" w:hAnsi="Arial"/>
          <w:sz w:val="16"/>
          <w:szCs w:val="16"/>
          <w:color w:val="auto"/>
        </w:rPr>
        <w:t>party payor, including commercial insurers, and some have transparency laws that require reporting price increases and related information. Certain state laws also regulate manufacturers’ use of prescriber</w:t>
      </w:r>
      <w:r>
        <w:rPr>
          <w:rFonts w:ascii="MS PGothic" w:cs="MS PGothic" w:eastAsia="MS PGothic" w:hAnsi="MS PGothic"/>
          <w:sz w:val="16"/>
          <w:szCs w:val="16"/>
          <w:color w:val="auto"/>
        </w:rPr>
        <w:t>‑</w:t>
      </w:r>
      <w:r>
        <w:rPr>
          <w:rFonts w:ascii="Arial" w:cs="Arial" w:eastAsia="Arial" w:hAnsi="Arial"/>
          <w:sz w:val="16"/>
          <w:szCs w:val="16"/>
          <w:color w:val="auto"/>
        </w:rPr>
        <w:t>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169" w:lineRule="exact"/>
        <w:rPr>
          <w:sz w:val="20"/>
          <w:szCs w:val="20"/>
          <w:color w:val="auto"/>
        </w:rPr>
      </w:pPr>
    </w:p>
    <w:p>
      <w:pPr>
        <w:jc w:val="both"/>
        <w:ind w:right="20"/>
        <w:spacing w:after="0" w:line="218" w:lineRule="exact"/>
        <w:rPr>
          <w:sz w:val="20"/>
          <w:szCs w:val="20"/>
          <w:color w:val="auto"/>
        </w:rPr>
      </w:pPr>
      <w:r>
        <w:rPr>
          <w:rFonts w:ascii="Arial" w:cs="Arial" w:eastAsia="Arial" w:hAnsi="Arial"/>
          <w:sz w:val="18"/>
          <w:szCs w:val="18"/>
          <w:color w:val="auto"/>
        </w:rPr>
        <w:t>To the extent that any of our products are sold in a foreign country, we may be subject to similar foreign laws and regulations, which may include, for instance, applicable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requirements, including safety surveillance, anti</w:t>
      </w:r>
      <w:r>
        <w:rPr>
          <w:rFonts w:ascii="MS PGothic" w:cs="MS PGothic" w:eastAsia="MS PGothic" w:hAnsi="MS PGothic"/>
          <w:sz w:val="18"/>
          <w:szCs w:val="18"/>
          <w:color w:val="auto"/>
        </w:rPr>
        <w:t>‑</w:t>
      </w:r>
      <w:r>
        <w:rPr>
          <w:rFonts w:ascii="Arial" w:cs="Arial" w:eastAsia="Arial" w:hAnsi="Arial"/>
          <w:sz w:val="18"/>
          <w:szCs w:val="18"/>
          <w:color w:val="auto"/>
        </w:rPr>
        <w:t>fraud and abuse laws, and implementation of corporate compliance programs and reporting of payments or transfers of value to healthcare professionals.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 Generally</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provide coverage for and establish adequate reimbursement levels for our product candidates. Government authorities, private health insurers, and other organizations generally decide which drugs they will pay for and establish reimbursement levels and potential access restrictions. Medicare is a federally funded program managed by the Centers for Medicare and Medicaid Services (</w:t>
      </w:r>
      <w:r>
        <w:rPr>
          <w:rFonts w:ascii="Arial" w:cs="Arial" w:eastAsia="Arial" w:hAnsi="Arial"/>
          <w:sz w:val="16"/>
          <w:szCs w:val="16"/>
          <w:i w:val="1"/>
          <w:iCs w:val="1"/>
          <w:color w:val="auto"/>
        </w:rPr>
        <w:t>CMS</w:t>
      </w:r>
      <w:r>
        <w:rPr>
          <w:rFonts w:ascii="Arial" w:cs="Arial" w:eastAsia="Arial" w:hAnsi="Arial"/>
          <w:sz w:val="16"/>
          <w:szCs w:val="16"/>
          <w:color w:val="auto"/>
        </w:rPr>
        <w:t>) through local contractors that administer coverage and reimbursement for certain healthcare items and services furnished to the elderly and disabled. Medicaid is an insurance program for certain categories of patients whose income and assets fall below state</w:t>
      </w:r>
      <w:r>
        <w:rPr>
          <w:rFonts w:ascii="MS PGothic" w:cs="MS PGothic" w:eastAsia="MS PGothic" w:hAnsi="MS PGothic"/>
          <w:sz w:val="16"/>
          <w:szCs w:val="16"/>
          <w:color w:val="auto"/>
        </w:rPr>
        <w:t>‑</w:t>
      </w:r>
      <w:r>
        <w:rPr>
          <w:rFonts w:ascii="Arial" w:cs="Arial" w:eastAsia="Arial" w:hAnsi="Arial"/>
          <w:sz w:val="16"/>
          <w:szCs w:val="16"/>
          <w:color w:val="auto"/>
        </w:rPr>
        <w:t>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prioritize coverage for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often provide reimbursement for products and services based on the level at which the government provides reimbursement through the Medicare or Medicaid programs for such products and services.</w:t>
      </w:r>
    </w:p>
    <w:p>
      <w:pPr>
        <w:spacing w:after="0" w:line="214"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In the U.S. and other potentially significant markets for our product candidates,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are increasingly attempting to limit or regulate the price of medical products and services, particularly for new and innovative products and therapies, which often has resulted in average selling prices lower than they would otherwise be. For example, in the U.S., federal and state governments reimburse covered prescription drugs at varying rates generally below average wholesale price. Governmental and private payors may also establish certain access restrictions, such as prior approvals or evidence of failure on existing medications or therapies.</w:t>
      </w:r>
    </w:p>
    <w:p>
      <w:pPr>
        <w:spacing w:after="0" w:line="21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These restrictions and limitations influence the purchase of healthcare services and products. Third</w:t>
      </w:r>
      <w:r>
        <w:rPr>
          <w:rFonts w:ascii="MS PGothic" w:cs="MS PGothic" w:eastAsia="MS PGothic" w:hAnsi="MS PGothic"/>
          <w:sz w:val="16"/>
          <w:szCs w:val="16"/>
          <w:color w:val="auto"/>
        </w:rPr>
        <w:t>‑</w:t>
      </w:r>
      <w:r>
        <w:rPr>
          <w:rFonts w:ascii="Arial" w:cs="Arial" w:eastAsia="Arial" w:hAnsi="Arial"/>
          <w:sz w:val="16"/>
          <w:szCs w:val="16"/>
          <w:color w:val="auto"/>
        </w:rPr>
        <w:t>party payors are developing increasingly sophisticated methods of controlling healthcare costs. Third</w:t>
      </w:r>
      <w:r>
        <w:rPr>
          <w:rFonts w:ascii="MS PGothic" w:cs="MS PGothic" w:eastAsia="MS PGothic" w:hAnsi="MS PGothic"/>
          <w:sz w:val="16"/>
          <w:szCs w:val="16"/>
          <w:color w:val="auto"/>
        </w:rPr>
        <w:t>‑</w:t>
      </w:r>
      <w:r>
        <w:rPr>
          <w:rFonts w:ascii="Arial" w:cs="Arial" w:eastAsia="Arial" w:hAnsi="Arial"/>
          <w:sz w:val="16"/>
          <w:szCs w:val="16"/>
          <w:color w:val="auto"/>
        </w:rPr>
        <w:t>party payors may limit coverage to specific drug products on an approved list, or formulary, which might not include all of the FDA</w:t>
      </w:r>
      <w:r>
        <w:rPr>
          <w:rFonts w:ascii="MS PGothic" w:cs="MS PGothic" w:eastAsia="MS PGothic" w:hAnsi="MS PGothic"/>
          <w:sz w:val="16"/>
          <w:szCs w:val="16"/>
          <w:color w:val="auto"/>
        </w:rPr>
        <w:t>‑</w:t>
      </w:r>
      <w:r>
        <w:rPr>
          <w:rFonts w:ascii="Arial" w:cs="Arial" w:eastAsia="Arial" w:hAnsi="Arial"/>
          <w:sz w:val="16"/>
          <w:szCs w:val="16"/>
          <w:color w:val="auto"/>
        </w:rPr>
        <w:t>approved drug products for a particular indication. Third</w:t>
      </w:r>
      <w:r>
        <w:rPr>
          <w:rFonts w:ascii="MS PGothic" w:cs="MS PGothic" w:eastAsia="MS PGothic" w:hAnsi="MS PGothic"/>
          <w:sz w:val="16"/>
          <w:szCs w:val="16"/>
          <w:color w:val="auto"/>
        </w:rPr>
        <w:t>‑</w:t>
      </w:r>
      <w:r>
        <w:rPr>
          <w:rFonts w:ascii="Arial" w:cs="Arial" w:eastAsia="Arial" w:hAnsi="Arial"/>
          <w:sz w:val="16"/>
          <w:szCs w:val="16"/>
          <w:color w:val="auto"/>
        </w:rPr>
        <w:t>party payors also control costs by requiring prior authorization or imposing other dispensing restrictions before covering certain products and by broadening therapeutic classes to increase competition.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 and examining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medical products and services, in addition to their safety and efficacy. Absent clinical differentiators, third</w:t>
      </w:r>
      <w:r>
        <w:rPr>
          <w:rFonts w:ascii="MS PGothic" w:cs="MS PGothic" w:eastAsia="MS PGothic" w:hAnsi="MS PGothic"/>
          <w:sz w:val="16"/>
          <w:szCs w:val="16"/>
          <w:color w:val="auto"/>
        </w:rPr>
        <w:t>‑</w:t>
      </w:r>
      <w:r>
        <w:rPr>
          <w:rFonts w:ascii="Arial" w:cs="Arial" w:eastAsia="Arial" w:hAnsi="Arial"/>
          <w:sz w:val="16"/>
          <w:szCs w:val="16"/>
          <w:color w:val="auto"/>
        </w:rPr>
        <w:t>party payors may treat products as therapeutically equivalent and base formulary decisions on net cost. To lower the prescription cost, manufacturers frequently rebate a portion of the prescription price to the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Further, the increased emphasis on managed healthcare in the U.S.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6"/>
          <w:szCs w:val="16"/>
          <w:color w:val="auto"/>
        </w:rPr>
        <w:t>‑</w:t>
      </w:r>
      <w:r>
        <w:rPr>
          <w:rFonts w:ascii="Arial" w:cs="Arial" w:eastAsia="Arial" w:hAnsi="Arial"/>
          <w:sz w:val="16"/>
          <w:szCs w:val="16"/>
          <w:color w:val="auto"/>
        </w:rPr>
        <w:t>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14"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As a result of the above, we may need to conduct expensive pharmacoeconomic studies in order to demonstrate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products, in addition to the costs required to obtain the FDA and other comparable foreign regulatory authority approvals. Our product candidates may not be considered medically necessary or cost</w:t>
      </w:r>
      <w:r>
        <w:rPr>
          <w:rFonts w:ascii="MS PGothic" w:cs="MS PGothic" w:eastAsia="MS PGothic" w:hAnsi="MS PGothic"/>
          <w:sz w:val="16"/>
          <w:szCs w:val="16"/>
          <w:color w:val="auto"/>
        </w:rPr>
        <w:t>‑</w:t>
      </w:r>
      <w:r>
        <w:rPr>
          <w:rFonts w:ascii="Arial" w:cs="Arial" w:eastAsia="Arial" w:hAnsi="Arial"/>
          <w:sz w:val="16"/>
          <w:szCs w:val="16"/>
          <w:color w:val="auto"/>
        </w:rPr>
        <w:t>effective, or the rebate percentages required to secure coverage may not yield an adequate margin over cost.</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 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 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179"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Moreover, a payor’s decision to provide coverage for a drug product does not imply that an adequate reimbursement rate will be approved. Adequate third</w:t>
      </w:r>
      <w:r>
        <w:rPr>
          <w:rFonts w:ascii="MS PGothic" w:cs="MS PGothic" w:eastAsia="MS PGothic" w:hAnsi="MS PGothic"/>
          <w:sz w:val="18"/>
          <w:szCs w:val="18"/>
          <w:color w:val="auto"/>
        </w:rPr>
        <w:t>‑</w:t>
      </w:r>
      <w:r>
        <w:rPr>
          <w:rFonts w:ascii="Arial" w:cs="Arial" w:eastAsia="Arial" w:hAnsi="Arial"/>
          <w:sz w:val="18"/>
          <w:szCs w:val="18"/>
          <w:color w:val="auto"/>
        </w:rPr>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w:t>
      </w:r>
      <w:r>
        <w:rPr>
          <w:rFonts w:ascii="MS PGothic" w:cs="MS PGothic" w:eastAsia="MS PGothic" w:hAnsi="MS PGothic"/>
          <w:sz w:val="18"/>
          <w:szCs w:val="18"/>
          <w:color w:val="auto"/>
        </w:rPr>
        <w:t>‑</w:t>
      </w:r>
      <w:r>
        <w:rPr>
          <w:rFonts w:ascii="Arial" w:cs="Arial" w:eastAsia="Arial" w:hAnsi="Arial"/>
          <w:sz w:val="18"/>
          <w:szCs w:val="18"/>
          <w:color w:val="auto"/>
        </w:rPr>
        <w:t>party coverage or adequate reimbursement for our product candidates in whole or in part.</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Pharmacy benefit managers (</w:t>
      </w:r>
      <w:r>
        <w:rPr>
          <w:rFonts w:ascii="Arial" w:cs="Arial" w:eastAsia="Arial" w:hAnsi="Arial"/>
          <w:sz w:val="18"/>
          <w:szCs w:val="18"/>
          <w:i w:val="1"/>
          <w:iCs w:val="1"/>
          <w:color w:val="auto"/>
        </w:rPr>
        <w:t>PBM</w:t>
      </w:r>
      <w:r>
        <w:rPr>
          <w:rFonts w:ascii="Arial" w:cs="Arial" w:eastAsia="Arial" w:hAnsi="Arial"/>
          <w:sz w:val="18"/>
          <w:szCs w:val="18"/>
          <w:color w:val="auto"/>
        </w:rPr>
        <w:t>),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66"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For example, the Medicare Prescription Drug, Improvement, and Modernization Act of 2003 (</w:t>
      </w:r>
      <w:r>
        <w:rPr>
          <w:rFonts w:ascii="Arial" w:cs="Arial" w:eastAsia="Arial" w:hAnsi="Arial"/>
          <w:sz w:val="16"/>
          <w:szCs w:val="16"/>
          <w:i w:val="1"/>
          <w:iCs w:val="1"/>
          <w:color w:val="auto"/>
        </w:rPr>
        <w:t>MMA</w:t>
      </w:r>
      <w:r>
        <w:rPr>
          <w:rFonts w:ascii="Arial" w:cs="Arial" w:eastAsia="Arial" w:hAnsi="Arial"/>
          <w:sz w:val="16"/>
          <w:szCs w:val="16"/>
          <w:color w:val="auto"/>
        </w:rPr>
        <w:t>)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w:t>
      </w:r>
      <w:r>
        <w:rPr>
          <w:rFonts w:ascii="MS PGothic" w:cs="MS PGothic" w:eastAsia="MS PGothic" w:hAnsi="MS PGothic"/>
          <w:sz w:val="16"/>
          <w:szCs w:val="16"/>
          <w:color w:val="auto"/>
        </w:rPr>
        <w:t>‑</w:t>
      </w:r>
      <w:r>
        <w:rPr>
          <w:rFonts w:ascii="Arial" w:cs="Arial" w:eastAsia="Arial" w:hAnsi="Arial"/>
          <w:sz w:val="16"/>
          <w:szCs w:val="16"/>
          <w:color w:val="auto"/>
        </w:rPr>
        <w:t>governmental payors.</w:t>
      </w:r>
    </w:p>
    <w:p>
      <w:pPr>
        <w:spacing w:after="0" w:line="213"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consider our product candidates to be cost</w:t>
      </w:r>
      <w:r>
        <w:rPr>
          <w:rFonts w:ascii="MS PGothic" w:cs="MS PGothic" w:eastAsia="MS PGothic" w:hAnsi="MS PGothic"/>
          <w:sz w:val="16"/>
          <w:szCs w:val="16"/>
          <w:color w:val="auto"/>
        </w:rPr>
        <w:t>‑</w:t>
      </w:r>
      <w:r>
        <w:rPr>
          <w:rFonts w:ascii="Arial" w:cs="Arial" w:eastAsia="Arial" w:hAnsi="Arial"/>
          <w:sz w:val="16"/>
          <w:szCs w:val="16"/>
          <w:color w:val="auto"/>
        </w:rPr>
        <w: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ACA also imposed an affirmative obligation to report and repay any overpayments, including those payments that resulted from violations of the Anti-Kickback Statute, false claims act, or civil monetary penalties statute,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False Claims Act.</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cost of pharmaceuticals continues to generate substantial governmental and third-party payor interest, and pharmaceutical pricing and marketing currently received a great deal of Congressional and administrative attention. There have been numerous initiatives on the federal and state levels in the United States for comprehensive reforms affecting the payment for, the availability of, and reimbursement for, healthcare services. In particular,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Recent U.S. Congressional inquiries and proposed and enacted federal and state legislation have also been released and are designed to, among other things, bring more transparency to drug pricing, reduce the cost of prescription drugs under Medicare, review the relationship between pricing and manufacturer patient programs and reform government program reimbursement methodologies for drugs. Recent federal budget proposals have included measures to permit Medicare Part D plans to negotiate the price of certain drugs under Medicare Part B, to allow some states to negotiate drug prices under Medicaid, and to eliminate cost sharing for generic drugs for low-income patients. The U.S. Congress and the Trump Administration have indicated that they will continue to seek new legislative and administrative measures to control drug costs, including by addressing the role of PBMs in the supply chain. Current and future U.S. legislative healthcare reforms may result in price controls and other restrictions for any approved products, if covered, and could seriously harm our business. Drug pricing is and will remain a key bipartisan issue in the coming year. If drug pricing reform is not meaningfully addressed before the 2020 election, policies to be pursued in the future may be more aggressive, regardless of which party controls the White House. Given that drug pricing controls is a key legislative and administration priority, it is likely that additional pricing controls will be enacted and could harm our business, financial condition and results of operations.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17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Government and private payors also increasingly require pre</w:t>
      </w:r>
      <w:r>
        <w:rPr>
          <w:rFonts w:ascii="MS PGothic" w:cs="MS PGothic" w:eastAsia="MS PGothic" w:hAnsi="MS PGothic"/>
          <w:sz w:val="18"/>
          <w:szCs w:val="18"/>
          <w:color w:val="auto"/>
        </w:rPr>
        <w:t>‑</w:t>
      </w:r>
      <w:r>
        <w:rPr>
          <w:rFonts w:ascii="Arial" w:cs="Arial" w:eastAsia="Arial" w:hAnsi="Arial"/>
          <w:sz w:val="18"/>
          <w:szCs w:val="18"/>
          <w:color w:val="auto"/>
        </w:rPr>
        <w:t>approval of coverage for new or innovative devices or drug therapies or condition coverage on unsuccessful alternative treatment before they will reimburse healthcare providers that use such therapies. For some specialty drugs, payors are conditioning payment on successful treatment measured by objective metrics. While we cannot predict whether any proposed cost</w:t>
      </w:r>
      <w:r>
        <w:rPr>
          <w:rFonts w:ascii="MS PGothic" w:cs="MS PGothic" w:eastAsia="MS PGothic" w:hAnsi="MS PGothic"/>
          <w:sz w:val="18"/>
          <w:szCs w:val="18"/>
          <w:color w:val="auto"/>
        </w:rPr>
        <w:t>‑</w:t>
      </w:r>
      <w:r>
        <w:rPr>
          <w:rFonts w:ascii="Arial" w:cs="Arial" w:eastAsia="Arial" w:hAnsi="Arial"/>
          <w:sz w:val="18"/>
          <w:szCs w:val="18"/>
          <w:color w:val="auto"/>
        </w:rPr>
        <w: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2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Since January 2017, Congress and the Trump Administration have been engaged in various efforts to repeal or materially modify various aspects of ACA. The results and effects of such ongoing efforts have varied after facing judicial and Congressional challenges but could affect our business operations and prospects in unknown ways, and it is unclear how ACA and other laws ultimately will be implemented. For example, on December 15, 2019, a federal district court in Texas struck down the ACA in its entirety, finding that the Tax Cuts and Jobs Act of 2017 (</w:t>
      </w:r>
      <w:r>
        <w:rPr>
          <w:rFonts w:ascii="Arial" w:cs="Arial" w:eastAsia="Arial" w:hAnsi="Arial"/>
          <w:sz w:val="16"/>
          <w:szCs w:val="16"/>
          <w:i w:val="1"/>
          <w:iCs w:val="1"/>
          <w:color w:val="auto"/>
        </w:rPr>
        <w:t>TCJA</w:t>
      </w:r>
      <w:r>
        <w:rPr>
          <w:rFonts w:ascii="Arial" w:cs="Arial" w:eastAsia="Arial" w:hAnsi="Arial"/>
          <w:sz w:val="16"/>
          <w:szCs w:val="16"/>
          <w:color w:val="auto"/>
        </w:rPr>
        <w:t xml:space="preserve">) rendered the individual mandate unconstitutional. The judge further concluded in </w:t>
      </w:r>
      <w:r>
        <w:rPr>
          <w:rFonts w:ascii="Arial" w:cs="Arial" w:eastAsia="Arial" w:hAnsi="Arial"/>
          <w:sz w:val="16"/>
          <w:szCs w:val="16"/>
          <w:i w:val="1"/>
          <w:iCs w:val="1"/>
          <w:color w:val="auto"/>
        </w:rPr>
        <w:t>Texas v. Azar</w:t>
      </w:r>
      <w:r>
        <w:rPr>
          <w:rFonts w:ascii="Arial" w:cs="Arial" w:eastAsia="Arial" w:hAnsi="Arial"/>
          <w:sz w:val="16"/>
          <w:szCs w:val="16"/>
          <w:color w:val="auto"/>
        </w:rPr>
        <w:t xml:space="preserve"> that since the individual mandate is “essential” to the ACA, it could not be severed from the rest of the ACA and therefore, the entire ACA was unconstitutional. Despite its decision, however, the court did not issue an injunction and therefore, immediate compliance is not required. In addition, the Trump Administration announced that it will continue to administer the law until a formal decision is made by the U.S. Supreme Court. The Supreme Court recently announced that it will hear a challenge in </w:t>
      </w:r>
      <w:r>
        <w:rPr>
          <w:rFonts w:ascii="Arial" w:cs="Arial" w:eastAsia="Arial" w:hAnsi="Arial"/>
          <w:sz w:val="16"/>
          <w:szCs w:val="16"/>
          <w:i w:val="1"/>
          <w:iCs w:val="1"/>
          <w:color w:val="auto"/>
        </w:rPr>
        <w:t>Texas v. United States</w:t>
      </w:r>
      <w:r>
        <w:rPr>
          <w:rFonts w:ascii="Arial" w:cs="Arial" w:eastAsia="Arial" w:hAnsi="Arial"/>
          <w:sz w:val="16"/>
          <w:szCs w:val="16"/>
          <w:color w:val="auto"/>
        </w:rPr>
        <w:t xml:space="preserve">, though arguments have not yet been set. It is likely that the case will be scheduled for arguments early in the next term that starts in October 2020. Apart from </w:t>
      </w:r>
      <w:r>
        <w:rPr>
          <w:rFonts w:ascii="Arial" w:cs="Arial" w:eastAsia="Arial" w:hAnsi="Arial"/>
          <w:sz w:val="16"/>
          <w:szCs w:val="16"/>
          <w:i w:val="1"/>
          <w:iCs w:val="1"/>
          <w:color w:val="auto"/>
        </w:rPr>
        <w:t>Texas v. United States</w:t>
      </w:r>
      <w:r>
        <w:rPr>
          <w:rFonts w:ascii="Arial" w:cs="Arial" w:eastAsia="Arial" w:hAnsi="Arial"/>
          <w:sz w:val="16"/>
          <w:szCs w:val="16"/>
          <w:color w:val="auto"/>
        </w:rPr>
        <w:t>, ACA litigation continues across the country in district and appellate courts, and before the Supreme Court. The Supreme Court will issue at least two ACA-related decisions before the end of its current term: one on the risk corridors program (</w:t>
      </w:r>
      <w:r>
        <w:rPr>
          <w:rFonts w:ascii="Arial" w:cs="Arial" w:eastAsia="Arial" w:hAnsi="Arial"/>
          <w:sz w:val="16"/>
          <w:szCs w:val="16"/>
          <w:i w:val="1"/>
          <w:iCs w:val="1"/>
          <w:color w:val="auto"/>
        </w:rPr>
        <w:t>Maine Community Health Options v. United States</w:t>
      </w:r>
      <w:r>
        <w:rPr>
          <w:rFonts w:ascii="Arial" w:cs="Arial" w:eastAsia="Arial" w:hAnsi="Arial"/>
          <w:sz w:val="16"/>
          <w:szCs w:val="16"/>
          <w:color w:val="auto"/>
        </w:rPr>
        <w:t>) and the other on religious or moral exemptions to the contraceptive mandate (</w:t>
      </w:r>
      <w:r>
        <w:rPr>
          <w:rFonts w:ascii="Arial" w:cs="Arial" w:eastAsia="Arial" w:hAnsi="Arial"/>
          <w:sz w:val="16"/>
          <w:szCs w:val="16"/>
          <w:i w:val="1"/>
          <w:iCs w:val="1"/>
          <w:color w:val="auto"/>
        </w:rPr>
        <w:t>Trump v. Pennsylvania</w:t>
      </w:r>
      <w:r>
        <w:rPr>
          <w:rFonts w:ascii="Arial" w:cs="Arial" w:eastAsia="Arial" w:hAnsi="Arial"/>
          <w:sz w:val="16"/>
          <w:szCs w:val="16"/>
          <w:color w:val="auto"/>
        </w:rPr>
        <w:t xml:space="preserve"> and </w:t>
      </w:r>
      <w:r>
        <w:rPr>
          <w:rFonts w:ascii="Arial" w:cs="Arial" w:eastAsia="Arial" w:hAnsi="Arial"/>
          <w:sz w:val="16"/>
          <w:szCs w:val="16"/>
          <w:i w:val="1"/>
          <w:iCs w:val="1"/>
          <w:color w:val="auto"/>
        </w:rPr>
        <w:t>Little Sisters of the Poor v. Pennsylvania</w:t>
      </w:r>
      <w:r>
        <w:rPr>
          <w:rFonts w:ascii="Arial" w:cs="Arial" w:eastAsia="Arial" w:hAnsi="Arial"/>
          <w:sz w:val="16"/>
          <w:szCs w:val="16"/>
          <w:color w:val="auto"/>
        </w:rPr>
        <w:t>). Both decisions are expected before July 2020. It is unclear how the eventual decisions from the Supreme Court and the various other courts across the country to repeal and replace the ACA will impact the ACA and our business. It is also unclear how regulations and sub-regulatory policy, which fluctuate continually, may affect interpretation and implementation of the ACA and its practical effects on our business, particularly entering an election year.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future, there may continue to be additional proposals relating to the reform of the U.S. healthcare system, some of which could further limit the prices we will be able to charge for our product candidates, or the amounts of reimbursement available for our product candidates. If future legislation were to impose direct governmental price controls or access restrictions, it could have a significant adverse impact on our business.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Foreign Corrupt Practices Act (</w:t>
      </w:r>
      <w:r>
        <w:rPr>
          <w:rFonts w:ascii="Arial" w:cs="Arial" w:eastAsia="Arial" w:hAnsi="Arial"/>
          <w:sz w:val="18"/>
          <w:szCs w:val="18"/>
          <w:i w:val="1"/>
          <w:iCs w:val="1"/>
          <w:color w:val="auto"/>
        </w:rPr>
        <w:t>FCPA</w:t>
      </w:r>
      <w:r>
        <w:rPr>
          <w:rFonts w:ascii="Arial" w:cs="Arial" w:eastAsia="Arial" w:hAnsi="Arial"/>
          <w:sz w:val="18"/>
          <w:szCs w:val="18"/>
          <w:color w:val="auto"/>
        </w:rPr>
        <w: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To the extent we choose to develop or sell any products outside of the U.S., we will be subject to a variety of foreign regulatory requirements of other countries regarding safety and efficacy and governing, among other things, clinical trials, marketing authorization, commercial sales, and distribution of our products. For example, in the European Union (</w:t>
      </w:r>
      <w:r>
        <w:rPr>
          <w:rFonts w:ascii="Arial" w:cs="Arial" w:eastAsia="Arial" w:hAnsi="Arial"/>
          <w:sz w:val="16"/>
          <w:szCs w:val="16"/>
          <w:i w:val="1"/>
          <w:iCs w:val="1"/>
          <w:color w:val="auto"/>
        </w:rPr>
        <w:t>EU</w:t>
      </w:r>
      <w:r>
        <w:rPr>
          <w:rFonts w:ascii="Arial" w:cs="Arial" w:eastAsia="Arial" w:hAnsi="Arial"/>
          <w:sz w:val="16"/>
          <w:szCs w:val="16"/>
          <w:color w:val="auto"/>
        </w:rPr>
        <w:t>), we must obtain authorization of a clinical trial application in each member state in which we intend to conduct a clinical trial prior to the pending introduction of a EU portal for EU-wide approvals.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U.S., post</w:t>
      </w:r>
      <w:r>
        <w:rPr>
          <w:rFonts w:ascii="MS PGothic" w:cs="MS PGothic" w:eastAsia="MS PGothic" w:hAnsi="MS PGothic"/>
          <w:sz w:val="16"/>
          <w:szCs w:val="16"/>
          <w:color w:val="auto"/>
        </w:rPr>
        <w:t>‑</w:t>
      </w:r>
      <w:r>
        <w:rPr>
          <w:rFonts w:ascii="Arial" w:cs="Arial" w:eastAsia="Arial" w:hAnsi="Arial"/>
          <w:sz w:val="16"/>
          <w:szCs w:val="16"/>
          <w:color w:val="auto"/>
        </w:rPr>
        <w:t>approval regulatory requirements, such as those regarding product manufacture, marketing, or distribution, would apply to any product that is approved outside the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and Inter-Corporate Relationships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wholly-owned subsidiary and has a wholly-owned subsidiary, Artemis Neuroscience, Inc., a corporation incorporated pursuant to the laws of the State of Maryland. The operations of VistaStem, and its wholly owned subsidiary are managed by our senior management team based in South San Francisco, California.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History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VistaGen Therapeutics, Inc., a California corporation incorporated on May 26, 1998, dba VistaStem, is our wholly-owned subsidiary. Excaliber Enterprises, Ltd. (</w:t>
      </w:r>
      <w:r>
        <w:rPr>
          <w:rFonts w:ascii="Arial" w:cs="Arial" w:eastAsia="Arial" w:hAnsi="Arial"/>
          <w:sz w:val="18"/>
          <w:szCs w:val="18"/>
          <w:i w:val="1"/>
          <w:iCs w:val="1"/>
          <w:color w:val="auto"/>
        </w:rPr>
        <w:t>Excaliber</w:t>
      </w:r>
      <w:r>
        <w:rPr>
          <w:rFonts w:ascii="Arial" w:cs="Arial" w:eastAsia="Arial" w:hAnsi="Arial"/>
          <w:sz w:val="18"/>
          <w:szCs w:val="18"/>
          <w:color w:val="auto"/>
        </w:rPr>
        <w:t xml:space="preserve">), a publicly-held company (formerly OTCBB: EXCA) was incorporated under the laws of the State of Nevada on October 6, 2005. Pursuant to a strategic merger transaction on May 11, 2011, Excaliber acquired all outstanding shares of VistaStem in exchange for 341,823 shares of our common stock and assumed all of VistaStem’s pre-Merger obligations (the </w:t>
      </w:r>
      <w:r>
        <w:rPr>
          <w:rFonts w:ascii="Arial" w:cs="Arial" w:eastAsia="Arial" w:hAnsi="Arial"/>
          <w:sz w:val="18"/>
          <w:szCs w:val="18"/>
          <w:i w:val="1"/>
          <w:iCs w:val="1"/>
          <w:color w:val="auto"/>
        </w:rPr>
        <w:t>Merger</w:t>
      </w:r>
      <w:r>
        <w:rPr>
          <w:rFonts w:ascii="Arial" w:cs="Arial" w:eastAsia="Arial" w:hAnsi="Arial"/>
          <w:sz w:val="18"/>
          <w:szCs w:val="18"/>
          <w:color w:val="auto"/>
        </w:rPr>
        <w:t>). Shortly after the Merger, Excaliber’s name was changed to “VistaGen Therapeutics, Inc.” (a Nevada corporation).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VistaStem,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are reflected as outstanding for all periods presented in the Consolidated Financial Statements of the Company included in Item 8 of this Annual Report. Additionally, the Consolidated Balance Sheets reflect the $0.001 par value of Excaliber’s common stock.</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Consolidated Financial Statements included in Item 8 of this Annual Report represent the activity of VistaStem from May 26, 1998, and the consolidated activity of VistaStem and Excaliber (now VistaGen Therapeutics, Inc., a Nevada corporation), from May 11, 2011 (the date of the Merger) through March 31, 2019. The Consolidated Financial Statements also include the accounts of VistaStem’s two inactive wholly-owned subsidiaries, Artemis Neuroscience, Inc., a Maryland corporation (</w:t>
      </w:r>
      <w:r>
        <w:rPr>
          <w:rFonts w:ascii="Arial" w:cs="Arial" w:eastAsia="Arial" w:hAnsi="Arial"/>
          <w:sz w:val="16"/>
          <w:szCs w:val="16"/>
          <w:i w:val="1"/>
          <w:iCs w:val="1"/>
          <w:color w:val="auto"/>
        </w:rPr>
        <w:t>Artemis</w:t>
      </w:r>
      <w:r>
        <w:rPr>
          <w:rFonts w:ascii="Arial" w:cs="Arial" w:eastAsia="Arial" w:hAnsi="Arial"/>
          <w:sz w:val="16"/>
          <w:szCs w:val="16"/>
          <w:color w:val="auto"/>
        </w:rPr>
        <w:t>), and VistaStem Canada, Inc., a corporation organized under the laws of Ontario, Canada (</w:t>
      </w:r>
      <w:r>
        <w:rPr>
          <w:rFonts w:ascii="Arial" w:cs="Arial" w:eastAsia="Arial" w:hAnsi="Arial"/>
          <w:sz w:val="16"/>
          <w:szCs w:val="16"/>
          <w:i w:val="1"/>
          <w:iCs w:val="1"/>
          <w:color w:val="auto"/>
        </w:rPr>
        <w:t>VistaStem Canada</w:t>
      </w:r>
      <w:r>
        <w:rPr>
          <w:rFonts w:ascii="Arial" w:cs="Arial" w:eastAsia="Arial" w:hAnsi="Arial"/>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and Development</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Conducting research and development is central to our business model. We have invested and expect to continue to invest significant time and capital in our research and development operations. Our research and development expenses were $13.4 million and $17.1 million for the fiscal years ended March 31, 2020 and 2019, respectively, including the noncash cost of $4.25 million in fiscal 2019 for the acquisition of the PH94B and PH10 licenses from Pherin. We plan to increase our research and development expenses for the foreseeable future as we seek to complete the development of PH94B, PH10 and AV-101.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26, 2020, we employed nine full-time employees, four of whom have doctorate degrees. Five full-time employees work in research and development and laboratory support services and four full-time employees work in general and administrative roles. Staffing for all other functional areas is achieved through our diverse network of strategic relationships with multiple CROs, CDMOs, and other third-party service providers and consultants. These service providers and consultants provide us with support services on a flexible, real-time, as-needed basis, including services related to, among others, human resources and payroll, information technology, facilities, legal, investor and public relations, manufacturing, product development, regulatory affairs and FDA program management to complement our internal resources in these areas.</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never had a work stoppage, and none of our employees is represented by a labor organization or under any collective bargaining agreement. We consider our employee relations to be good.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lease our office and laboratory space, which consists of approximately 10,900 square feet located in South San Francisco, California, under a lease expiring on July 31,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Environmental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business does not require us to comply with any extraordinary environmental regulations.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file reports and other information with the SEC, as required by the Exchange Act. We make available free of charge through our website (</w:t>
      </w:r>
      <w:r>
        <w:rPr>
          <w:rFonts w:ascii="Arial" w:cs="Arial" w:eastAsia="Arial" w:hAnsi="Arial"/>
          <w:sz w:val="16"/>
          <w:szCs w:val="16"/>
          <w:u w:val="single" w:color="auto"/>
          <w:color w:val="9454C3"/>
        </w:rPr>
        <w:t>http://www.vistagen.com</w:t>
      </w:r>
      <w:r>
        <w:rPr>
          <w:rFonts w:ascii="Arial" w:cs="Arial" w:eastAsia="Arial" w:hAnsi="Arial"/>
          <w:sz w:val="16"/>
          <w:szCs w:val="16"/>
          <w:color w:val="auto"/>
        </w:rPr>
        <w:t>)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together with all other information in this Annual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and/or operating results could be materially and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and may continue to adversely impact our business</w:t>
      </w:r>
      <w:r>
        <w:rPr>
          <w:rFonts w:ascii="Arial" w:cs="Arial" w:eastAsia="Arial" w:hAnsi="Arial"/>
          <w:sz w:val="18"/>
          <w:szCs w:val="18"/>
          <w:color w:val="auto"/>
        </w:rPr>
        <w:t>.</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recent months, a new strain of coronavirus (</w:t>
      </w:r>
      <w:r>
        <w:rPr>
          <w:rFonts w:ascii="Arial" w:cs="Arial" w:eastAsia="Arial" w:hAnsi="Arial"/>
          <w:sz w:val="16"/>
          <w:szCs w:val="16"/>
          <w:i w:val="1"/>
          <w:iCs w:val="1"/>
          <w:color w:val="auto"/>
        </w:rPr>
        <w:t>COVID-19</w:t>
      </w:r>
      <w:r>
        <w:rPr>
          <w:rFonts w:ascii="Arial" w:cs="Arial" w:eastAsia="Arial" w:hAnsi="Arial"/>
          <w:sz w:val="16"/>
          <w:szCs w:val="16"/>
          <w:color w:val="auto"/>
        </w:rPr>
        <w:t>) has spread to many countries in the world and the outbreak has been declared a pandemic by the World Health Organization. The U.S. Secretary of Health and Human Services has also declared a public health emergency in the U.S. in response to the outbreak. Considerable uncertainty still surrounds the COVID-19 virus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have already resulted in significant negative economic impacts on a global basis.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the coronavirus pandemic continues to rapidly evolve, we cannot at this time accurately predict the effects of these conditions on our operations. Uncertainties remain as to the ultimate geographic spread of the virus, the severity of the disease, the duration of the outbreak, and the length and scope of the travel restrictions and business closures imposed by the governments of impacted countries. The continued outbreak of COVID-19, or another infectious disease with similar characteristics, may lead to the implementation of further responses, including additional travel restrictions, government-imposed quarantines or stay-at-home orders, and other public health safety measures, which may result in further disruptions to our business and operations. The COVID-19 outbreak has had an impact on our business, and a continuing outbreak or future outbreaks may have several adverse effects on our business, results of operations and financial condition.</w:t>
      </w:r>
    </w:p>
    <w:p>
      <w:pPr>
        <w:spacing w:after="0" w:line="201" w:lineRule="exact"/>
        <w:rPr>
          <w:sz w:val="20"/>
          <w:szCs w:val="20"/>
          <w:color w:val="auto"/>
        </w:rPr>
      </w:pPr>
    </w:p>
    <w:p>
      <w:pPr>
        <w:jc w:val="both"/>
        <w:ind w:left="660" w:hanging="328"/>
        <w:spacing w:after="0" w:line="29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Delayed product development: </w:t>
      </w:r>
      <w:r>
        <w:rPr>
          <w:rFonts w:ascii="Arial" w:cs="Arial" w:eastAsia="Arial" w:hAnsi="Arial"/>
          <w:sz w:val="16"/>
          <w:szCs w:val="16"/>
          <w:color w:val="auto"/>
        </w:rPr>
        <w:t>We have, and may continue to face delays or other disruptions to our ongoing clinical development programs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PH94B, PH10 and AV-101 due to the ongoing COVID-19 pandemic. In addition, regulatory oversight and actions regarding our products may be disrupted or delayed in regions impacted by COVID-19, including the U.S. and elsewhere, which may impact review and approval timelines for products in development. Although we remain invested in continuing our clinical development programs for our current product candidates, our research and development efforts may be impacted if our employees, our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are advised to continue to work remotely as part of social distancing measures.</w:t>
      </w:r>
    </w:p>
    <w:p>
      <w:pPr>
        <w:spacing w:after="0" w:line="173" w:lineRule="exact"/>
        <w:rPr>
          <w:rFonts w:ascii="Arial" w:cs="Arial" w:eastAsia="Arial" w:hAnsi="Arial"/>
          <w:sz w:val="16"/>
          <w:szCs w:val="16"/>
          <w:color w:val="auto"/>
        </w:rPr>
      </w:pPr>
    </w:p>
    <w:p>
      <w:pPr>
        <w:jc w:val="both"/>
        <w:ind w:left="660" w:hanging="328"/>
        <w:spacing w:after="0" w:line="312" w:lineRule="auto"/>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Negative impacts on our suppliers and employees</w:t>
      </w:r>
      <w:r>
        <w:rPr>
          <w:rFonts w:ascii="Arial" w:cs="Arial" w:eastAsia="Arial" w:hAnsi="Arial"/>
          <w:sz w:val="15"/>
          <w:szCs w:val="15"/>
          <w:color w:val="auto"/>
        </w:rPr>
        <w:t>: COVID-19 or similar infectious diseases may impact the health of our employees, contractors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Arial" w:cs="Arial" w:eastAsia="Arial" w:hAnsi="Arial"/>
          <w:sz w:val="15"/>
          <w:szCs w:val="15"/>
          <w:i w:val="1"/>
          <w:iCs w:val="1"/>
          <w:color w:val="auto"/>
        </w:rPr>
        <w:t>API</w:t>
      </w:r>
      <w:r>
        <w:rPr>
          <w:rFonts w:ascii="Arial" w:cs="Arial" w:eastAsia="Arial" w:hAnsi="Arial"/>
          <w:sz w:val="15"/>
          <w:szCs w:val="15"/>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shifted to remote working arrangements, we also face a heightened risk of cybersecurity attacks or data security incidents and are more dependent on internet and telecommunications access and capabilities.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COVID-19 has also created significant disruption to and volatility in national, regional and local economies and markets. Uncertainties related to, and perceived or experienced negative effects from, COVID-19 may cause significant volatility or decline in the trading price of our securities, capital market conditions and general economic environment. Our future results of operations and liquidity could be adversely impacted by supply chain disruptions and operational challenges faced by our CROs, CMOs and other contractors. Continued outbreaks of COVID-19 or a significant outbreak of contagious diseases in the human population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drug candidates and we cannot be certain that we will be able to obtain regulatory approval for, or successfully commercialize any of our product candidates.</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drug candidates, as well as, but to a more limited extent, our ability to acquire, license or produce, develop and commercialize additional product candidates. Each of our current drug candidates will require substantial additional nonclinical and clinical development, manufacturing and regulatory approval before any of them may be commercialized, and there can be no assurance that any of them will ever achieve regulatory approval. Any new chemical entity (</w:t>
      </w:r>
      <w:r>
        <w:rPr>
          <w:rFonts w:ascii="Arial" w:cs="Arial" w:eastAsia="Arial" w:hAnsi="Arial"/>
          <w:sz w:val="16"/>
          <w:szCs w:val="16"/>
          <w:i w:val="1"/>
          <w:iCs w:val="1"/>
          <w:color w:val="auto"/>
        </w:rPr>
        <w:t>NCE</w:t>
      </w:r>
      <w:r>
        <w:rPr>
          <w:rFonts w:ascii="Arial" w:cs="Arial" w:eastAsia="Arial" w:hAnsi="Arial"/>
          <w:sz w:val="16"/>
          <w:szCs w:val="16"/>
          <w:color w:val="auto"/>
        </w:rPr>
        <w:t>) we may produce through drug rescue activities will require substantial nonclinical development, all phases of clinical development, manufacturing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not permitted to market our product candidates in the U.S. until we receive approval of a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60" w:lineRule="exact"/>
        <w:rPr>
          <w:sz w:val="20"/>
          <w:szCs w:val="20"/>
          <w:color w:val="auto"/>
        </w:rPr>
      </w:pPr>
    </w:p>
    <w:p>
      <w:pPr>
        <w:jc w:val="both"/>
        <w:ind w:left="240" w:hanging="232"/>
        <w:spacing w:after="0" w:line="306" w:lineRule="auto"/>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Risk Evaluation and Mitigation Strategies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hanging="232"/>
        <w:spacing w:after="0" w:line="331" w:lineRule="auto"/>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40" w:lineRule="exact"/>
        <w:rPr>
          <w:rFonts w:ascii="Arial" w:cs="Arial" w:eastAsia="Arial" w:hAnsi="Arial"/>
          <w:sz w:val="16"/>
          <w:szCs w:val="16"/>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addition, we anticipate that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w:t>
      </w:r>
      <w:r>
        <w:rPr>
          <w:rFonts w:ascii="Arial" w:cs="Arial" w:eastAsia="Arial" w:hAnsi="Arial"/>
          <w:sz w:val="16"/>
          <w:szCs w:val="16"/>
          <w:color w:val="231F20"/>
        </w:rPr>
        <w:t>A</w:t>
      </w:r>
      <w:r>
        <w:rPr>
          <w:rFonts w:ascii="Arial" w:cs="Arial" w:eastAsia="Arial" w:hAnsi="Arial"/>
          <w:sz w:val="16"/>
          <w:szCs w:val="16"/>
          <w:color w:val="auto"/>
        </w:rPr>
        <w:t xml:space="preserve"> </w:t>
      </w:r>
      <w:r>
        <w:rPr>
          <w:rFonts w:ascii="Arial" w:cs="Arial" w:eastAsia="Arial" w:hAnsi="Arial"/>
          <w:sz w:val="16"/>
          <w:szCs w:val="16"/>
          <w:color w:val="231F20"/>
        </w:rPr>
        <w:t xml:space="preserve">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w:t>
      </w:r>
      <w:r>
        <w:rPr>
          <w:rFonts w:ascii="Arial" w:cs="Arial" w:eastAsia="Arial" w:hAnsi="Arial"/>
          <w:sz w:val="16"/>
          <w:szCs w:val="16"/>
          <w:color w:val="000000"/>
        </w:rPr>
        <w:t>Under FDA regulations, combination products are subject to cGMP requirements applicable to both drugs and</w:t>
      </w:r>
      <w:r>
        <w:rPr>
          <w:rFonts w:ascii="Arial" w:cs="Arial" w:eastAsia="Arial" w:hAnsi="Arial"/>
          <w:sz w:val="16"/>
          <w:szCs w:val="16"/>
          <w:color w:val="231F20"/>
        </w:rPr>
        <w:t xml:space="preserve"> </w:t>
      </w:r>
      <w:r>
        <w:rPr>
          <w:rFonts w:ascii="Arial" w:cs="Arial" w:eastAsia="Arial" w:hAnsi="Arial"/>
          <w:sz w:val="16"/>
          <w:szCs w:val="16"/>
          <w:color w:val="000000"/>
        </w:rPr>
        <w:t>devices, including the Quality System (</w:t>
      </w:r>
      <w:r>
        <w:rPr>
          <w:rFonts w:ascii="Arial" w:cs="Arial" w:eastAsia="Arial" w:hAnsi="Arial"/>
          <w:sz w:val="16"/>
          <w:szCs w:val="16"/>
          <w:i w:val="1"/>
          <w:iCs w:val="1"/>
          <w:color w:val="000000"/>
        </w:rPr>
        <w:t>QS</w:t>
      </w:r>
      <w:r>
        <w:rPr>
          <w:rFonts w:ascii="Arial" w:cs="Arial" w:eastAsia="Arial" w:hAnsi="Arial"/>
          <w:sz w:val="16"/>
          <w:szCs w:val="16"/>
          <w:color w:val="000000"/>
        </w:rPr>
        <w:t>) regulations applicable to medical devices. Problems associated with the device component of the combination product candidate may delay or prevent approval.</w:t>
      </w:r>
    </w:p>
    <w:p>
      <w:pPr>
        <w:spacing w:after="0" w:line="17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for if it believes that the respective designation is no longer supported by data from our clinical development programs.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review or approval will compare to conventional FDA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With respect to our current product candidates, if one or more of the future Phase 3 clinical trials of PH94B for SAD, any future clinical study of AV-101 or a future Phase 2 clinical trial of PH10 for MDD fail(s) to produce positive results, the development timeline and regulatory approval and commercialization prospects for PH94B, PH10 or AV-101 and, correspondingly, our business and financial prospects, could be materially adversely affected.</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6" w:name="page47"/>
    <w:bookmarkEnd w:id="4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example, the results of planned clinical trials have been affected by supply chain disruptions experienced by certain of our CMOs as a result of the ongoing COVID-19 pandemic.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future clinical trials of our product candidates, it may adversely affect or delay our clinical development and commercialization of PH94B, PH10 or AV-101.</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Undesirable side effects or safety concerns caused by our product candidates could cause us or regulatory authorities to interrupt, delay or halt clinical trials and could result in a more restrictive label or the delay or denial of regulatory approval.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observed in any clinical trials of our product candidates to date, if treatment-related SAEs or other undesirable side effects or safety concerns, or unexpected characteristics attributable to PH94B, PH10 and/or AV-101 are observed in any furture clinical trials, including investigator-sponsored clinical trials, it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73"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25" w:lineRule="exact"/>
        <w:rPr>
          <w:rFonts w:ascii="Arial" w:cs="Arial" w:eastAsia="Arial" w:hAnsi="Arial"/>
          <w:sz w:val="18"/>
          <w:szCs w:val="18"/>
          <w:color w:val="auto"/>
        </w:rPr>
      </w:pPr>
    </w:p>
    <w:p>
      <w:pPr>
        <w:ind w:left="660" w:right="820" w:hanging="652"/>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85" w:lineRule="exact"/>
        <w:rPr>
          <w:rFonts w:ascii="Arial" w:cs="Arial" w:eastAsia="Arial" w:hAnsi="Arial"/>
          <w:sz w:val="18"/>
          <w:szCs w:val="18"/>
          <w:color w:val="auto"/>
        </w:rPr>
      </w:pPr>
    </w:p>
    <w:p>
      <w:pPr>
        <w:ind w:left="660" w:right="20" w:hanging="652"/>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or REMS-like plan to ensure that the benefits of the product outweigh its risks;</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distributed or administered, conduct additional clinical trials or change the labeling of a product;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369" w:lineRule="auto"/>
        <w:rPr>
          <w:sz w:val="20"/>
          <w:szCs w:val="20"/>
          <w:color w:val="auto"/>
        </w:rPr>
      </w:pPr>
      <w:r>
        <w:rPr>
          <w:rFonts w:ascii="Arial" w:cs="Arial" w:eastAsia="Arial" w:hAnsi="Arial"/>
          <w:sz w:val="15"/>
          <w:szCs w:val="15"/>
          <w:b w:val="1"/>
          <w:bCs w:val="1"/>
          <w:i w:val="1"/>
          <w:iCs w:val="1"/>
          <w:color w:val="auto"/>
        </w:rPr>
        <w:t>Failures or delays in the commencement or completion of our planned clinical trials and nonclinical studies of PH94B, PH10, AV-101 or other our product candidates could result in increased costs to us and could delay, prevent or limit our ability to generate revenue and continue our business.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will need to complete at least two pivotal Phase 3 clinical studies of PH94B, additional toxicology and other standard nonclinical and clinical safety studies, as well as certain standard smaller clinical studies prior to our submission of an NDA for regulatory approval of PH94B as an on-demand treatment for SAD or any other CNS indication. For PH10, we will need to complete at least one additional Phase 2 clinical study, two pivotal Phase 3 clinical trials, additional toxicology and other standard nonclinical and clinical safety studies, as well as certain standard smaller clinical studies prior to the submission of an NDA for regulatory approval of PH10 as treatment for MDD, or any other CNS indication. For AV-101, for treatment of any CNS indication, we will need to complete at least two Phase 2 clinical studies, two pivotal Phase 3 clinical trials, additional toxicology and other standard nonclinical and clinical safety studies, as well as certain standard smaller clinical studies prior to the submission of an NDA for regulatory approval.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80"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due to events resulting from the ongoing COVID-19 pandemic;</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25" w:lineRule="exact"/>
        <w:rPr>
          <w:rFonts w:ascii="Arial" w:cs="Arial" w:eastAsia="Arial" w:hAnsi="Arial"/>
          <w:sz w:val="18"/>
          <w:szCs w:val="18"/>
          <w:color w:val="auto"/>
        </w:rPr>
      </w:pPr>
    </w:p>
    <w:p>
      <w:pPr>
        <w:ind w:left="240" w:hanging="232"/>
        <w:spacing w:after="0" w:line="331" w:lineRule="auto"/>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4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failure to conduct the clinical trial in accordance with regulatory requirements or approved clinical protocols;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48" w:name="page49"/>
    <w:bookmarkEnd w:id="4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right="20" w:hanging="232"/>
        <w:spacing w:after="0" w:line="268" w:lineRule="auto"/>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PH94B, PH10,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PH94B, PH10, AV-101 or other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product candidates may be harmed and our ability to generate product revenue will be delayed.</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our nonclinical and clinical trials of our current product candidates and will continue to do so for any other future product candidates. If these third parties do not successfully carry out their contractual duties and/or meet expected deadlines, completion of our nonclinical or clinical trials and development of PH94B, PH10, AV-101 or other future product candidates may be delayed and we may not be able to obtain regulatory approval for or commercialize PH94B, PH10, AV-101 or other future product candidates and our business could be substantially harmed.</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CROs and other outside parties may:</w:t>
      </w:r>
    </w:p>
    <w:p>
      <w:pPr>
        <w:spacing w:after="0" w:line="173"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experience disrutions to their operations, such as reduced staffing and supply chain disruptions, as a result of the ongoing COVID-19 pandemic;</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completely on third-parties to manufacture, formulate,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PH94B, PH10 and AV-101 API and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do not directly control the manufacturing process or the supply or quality of materials used in the manufacturing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PH94B, PH10 and AV-101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With respect to PH94B, PH10 and AV-101, we do not yet have long-term supply agreements in place with our CMOs and each batch of PH94B, PH10 and AV-101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CMO-related delays in the manufacture and formulation of PH94B, PH10 or AV-101 API and/or finished drug product will not occur in the future.</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6"/>
          <w:szCs w:val="16"/>
          <w:i w:val="1"/>
          <w:iCs w:val="1"/>
          <w:color w:val="auto"/>
        </w:rPr>
        <w:t>QSR</w:t>
      </w:r>
      <w:r>
        <w:rPr>
          <w:rFonts w:ascii="Arial" w:cs="Arial" w:eastAsia="Arial" w:hAnsi="Arial"/>
          <w:sz w:val="16"/>
          <w:szCs w:val="16"/>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anf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PH94B, PH10, AV-101 or any other product candidate in the U.S., we may never receive regulatory approval to market PH94B, PH10, AV-101 or any other product candidate outside of the U.S.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market PH94B, PH10, AV-101 or any other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Before we can commercialize our product candidates in the U.S. or any market outside the U.S., the U.S.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currently have any internal resources for the sale, marketing and distribution of pharmaceutical products, and we may not create such internal capabilities in the foreseeable future. Therefore,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or establish those capabilities prior to market approval. If we are unable to establish adequate contractual arrangements for such sales, marketing and distribution capabilities, or if we are unable to do so on commercially reasonable terms, or if we are unable to establish such capabilities on our own, our business, results of operations, financial condition and prospects will be materially adversely affected.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240" w:hanging="232"/>
        <w:spacing w:after="0" w:line="331" w:lineRule="auto"/>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40" w:lineRule="exact"/>
        <w:rPr>
          <w:rFonts w:ascii="Arial" w:cs="Arial" w:eastAsia="Arial" w:hAnsi="Arial"/>
          <w:sz w:val="16"/>
          <w:szCs w:val="16"/>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other applicable regulatory authorities;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2" w:name="page53"/>
    <w:bookmarkEnd w:id="5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20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4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6"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3" w:name="page54"/>
    <w:bookmarkEnd w:id="5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Competing therapies could emerge adversely affecting our opportunity to generate revenue from the sale of our product candidates.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pharmacological action and safety profile as our orally-administered AV-101 or our intranasally-administered PH10. However, new antidepressant products with other mechanisms of pharmacological action or products approved for other indications, including the FDA-approved anesthetic ketamine hydrochloride administered intravenously, are being or may be used off-label for treatment of MDD, as well as other CNS indications for which AV-101 or PH10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used before or instead of standard antidepressant medications to treat patients with MDD. Management is also unaware of any FDA-approved rapid-onset, on-demand treatment for SAD having the same mechanism of pharmacological action and safety profile as our PH94B.</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field of new generation, oral adjunctive treatments for adult patients with MDD with an inadequate response to standard FDA-approved ADs, we believe our principal competitors may be Axsome’s AX-05, Alkermes’ ALKS-5461, Allergan’s AGN-241751 and Sage’s Sage-217. Additional potential competitors may include, but not be limited to, academic and private commercial clinics providing intravenous ketamine therapy on an off-label basis and Janssen’s intranasally-administered Spravato (esketamine). With respect to PH94B and current FDA-approved treatment options for SAD in the U.S., our competition may include, but is not limited to, certain current generic ADs approved by the FDA for treatment of SAD and certain classes of drugs used on an off-label basis for treatment of SAD, including benzodiazepines such as alprazolam, and beta blockers such as propranolol.</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AV-101 and PH10, we believe that a range of pharmaceutical and biotechnology companies have programs to develop drug candidates for the treatment of depression, including MDD, Parkinson’s disease levodopa-induced dyskinesia, neuropathic pain, epilepsy, and other neurological conditions and diseases, including, but not limited to, Abbott Laboratories, Acadia, Allergan, Alkermes, Aptynix, AstraZeneca, Axsome, Eli Lilly, GlaxoSmithKline, IntraCellular, Janssen, Lundbeck, Merck, Novartis, Ono, Otsuka, Pfizer, Relmada, Roche, Sage, Sumitomo Dainippon, and Takeda, as well as any affiliates of the foregoing companies.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License and Collaboration Agreement we entered into with EverInsight Therapeutics, Inc. in June 2020 for the development and commercialization of PH94B in certain international markets.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may derive revenue from research and development fees, license fees, milestone payments and royalties under any collaborative arrangement into which we enter, including the EverInsight Agreement and/or the Bayer Agreement. Our ability to generate revenue from these arrangements will depend on our collaborators’ abilities to successfully perform the functions assigned to them in these arrangements. In addition, our collaborators may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We may fail to pursue additional development opportunities for PH94B, PH10 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PH94B, PH10 and AV-101, with additional limited focus on NCE drug rescue and, through a third-party collaboration, regenerative medicine.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ectPr>
          <w:pgSz w:w="11900" w:h="16838" w:orient="portrait"/>
          <w:cols w:equalWidth="0" w:num="1">
            <w:col w:w="11240"/>
          </w:cols>
          <w:pgMar w:left="320" w:top="131" w:right="339" w:bottom="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09"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240" w:hanging="232"/>
        <w:spacing w:after="0" w:line="306" w:lineRule="auto"/>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240" w:hanging="232"/>
        <w:spacing w:after="0" w:line="259"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3" w:lineRule="exact"/>
        <w:rPr>
          <w:rFonts w:ascii="Arial" w:cs="Arial" w:eastAsia="Arial" w:hAnsi="Arial"/>
          <w:sz w:val="18"/>
          <w:szCs w:val="18"/>
          <w:color w:val="auto"/>
        </w:rPr>
      </w:pPr>
    </w:p>
    <w:p>
      <w:pPr>
        <w:jc w:val="both"/>
        <w:ind w:left="240" w:hanging="232"/>
        <w:spacing w:after="0" w:line="306" w:lineRule="auto"/>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240" w:hanging="232"/>
        <w:spacing w:after="0" w:line="256"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6" w:lineRule="exact"/>
        <w:rPr>
          <w:rFonts w:ascii="Arial" w:cs="Arial" w:eastAsia="Arial" w:hAnsi="Arial"/>
          <w:sz w:val="18"/>
          <w:szCs w:val="18"/>
          <w:color w:val="auto"/>
        </w:rPr>
      </w:pPr>
    </w:p>
    <w:p>
      <w:pPr>
        <w:jc w:val="both"/>
        <w:ind w:left="240" w:hanging="232"/>
        <w:spacing w:after="0" w:line="306" w:lineRule="auto"/>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 treatment of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41"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7" w:name="page58"/>
    <w:bookmarkEnd w:id="5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hanging="232"/>
        <w:spacing w:after="0" w:line="268" w:lineRule="auto"/>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development stage biopharmaceutical company.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97"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PH94B, PH10, AV-101 and/or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8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Our future success is highly dependent upon our ability to successfully develop and commercialize any of our current product candidates, acquire or license additional product candidates, or discover, as well as produce, develop and commercialize proprietary NCEs using our stem cell technology, and we cannot provide any assurance that we will successfully develop and commercialize PH94B, PH10, AV-101 or acquire or license additional product candidates or discover and develop NCEs, or that, if produced, PH94B, PH10, AV-101 or any other product candidate will be successfully commercialized.</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development and research and development programs designed to identify, acquire or license additional product candidates, or, as the case may be, produce DR NCEs require substantial technical, financial and human resources, whether or not any additional product candidate is acquired or licensed or NCEs are ultimately identified and produced.</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PH94B, PH10, AV-101, drug rescue NCEs and/or other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NCEs and no operating history with respect to the production of NCEs, and we may never be able to produce a NCE.</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we are unable to develop and commercialize PH94B, PH10, AV-101 or acquire or license additional product candidates, or produce suitable NCEs, we may not be able to generate sufficient revenues to execute our business plan, which likely would result in significant harm to our financial position and results of operations, which could adversely impact our stock price.</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8" w:name="page59"/>
    <w:bookmarkEnd w:id="5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With respect to drug rescue, 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NCEs, independently or with partners, including:</w:t>
      </w:r>
    </w:p>
    <w:p>
      <w:pPr>
        <w:spacing w:after="0" w:line="186"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identify potential candidates in the public domain, obtain sufficient quantities of them, and assess them using our bioassay systems;</w:t>
      </w:r>
    </w:p>
    <w:p>
      <w:pPr>
        <w:spacing w:after="0" w:line="248"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seek to rescue drug candidates that are not available to us in the public domain, the extent to which third parties may be willing to out-license or sell certain candidates to us on commercially reasonable terms;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resources available to us to develop and commercialize lead NCEs internally, or, if we sell or out-license them to partners, the resources such partners choose to dedicate to development and commercialization of any NCEs they acquire or license from us.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do acquire additional product candidates or produce proprietary NCEs, we can give no assurance that we will be able to develop and commercialize them as marketable drugs, on our own or in collaboration with others. Before we generate any revenues from PH94B, PH10, AV-101 or additional acquired or licensed products candidates or any NCEs, we or our potential collaborators must complete preclinical and clinical development programs, submit clinical and manufacturing data to the FDA, qualify a third party CMO, receive regulatory approval in one or more jurisdictions, satisfy the FDA that our CMO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Success of our subsidiary, VistaStem, is partly dependent on our ability to use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identify and predict, accurately and efficiently, the potential toxic and nontoxic cardiac effects of drug rescue candidates and drug rescue NCEs.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not capable of providing physiologically relevant and clinically predictive information regarding human cardiac biology, our business will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Drug rescue programs are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business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generate revenue from our drug rescue activities, we must produce proprietary NCEs for which there proves to be demand within the healthcare marketplace, and, if we intend to out-license a particular NCE for development and commercialization prior to market approval, then also among pharmaceutical companies and other potential collaborators. However, we may produce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business may be adversely affected.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hPSC technology is technically complex, and the time and resources necessary to develop various human cell types and customized bioassay systems, although not significant at present, are difficult to predict in advance. We might decide to devote significant additional personnel and financial resources to research and development activities designed to expand, in the case of DR, and explore, in the case of drug discovery and RM, potential applications of our stem cell technology platform. In particular, we may conduct exploratory nonclinical RM programs involving blood, bone, cartilage, and/or liver cells. Although we and our third-party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RM studies. In the past, our stem cell research and development projects have been significantly delayed when we encountered unanticipated difficulties in differentiating hPSCs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RM business opportunities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Some of our research and development programs may involve the use of human cells derived from our controlled differentiation of human embryonic stem cells (</w:t>
      </w:r>
      <w:r>
        <w:rPr>
          <w:rFonts w:ascii="Arial" w:cs="Arial" w:eastAsia="Arial" w:hAnsi="Arial"/>
          <w:sz w:val="16"/>
          <w:szCs w:val="16"/>
          <w:i w:val="1"/>
          <w:iCs w:val="1"/>
          <w:color w:val="auto"/>
        </w:rPr>
        <w:t>hESC</w:t>
      </w:r>
      <w:r>
        <w:rPr>
          <w:rFonts w:ascii="Arial" w:cs="Arial" w:eastAsia="Arial" w:hAnsi="Arial"/>
          <w:sz w:val="16"/>
          <w:szCs w:val="16"/>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U.S. and elsewhere voice opposition to hESC technology and practices. We may use hESCs derived from excess fertilized eggs that have been created for clinical use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fertilization (</w:t>
      </w:r>
      <w:r>
        <w:rPr>
          <w:rFonts w:ascii="Arial" w:cs="Arial" w:eastAsia="Arial" w:hAnsi="Arial"/>
          <w:sz w:val="16"/>
          <w:szCs w:val="16"/>
          <w:i w:val="1"/>
          <w:iCs w:val="1"/>
          <w:color w:val="auto"/>
        </w:rPr>
        <w:t>IVF</w:t>
      </w:r>
      <w:r>
        <w:rPr>
          <w:rFonts w:ascii="Arial" w:cs="Arial" w:eastAsia="Arial" w:hAnsi="Arial"/>
          <w:sz w:val="16"/>
          <w:szCs w:val="16"/>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 capabilities of our technology, which would have a material adverse effect on our business.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U.S. federal and state and foreign laws and regulations are constantly evolving and can be subject to significant change. If we engage in iPSC-related research and development activities in countries other than the U.S., we may become subject to foreign laws and regulations relating to human-subjects research and other laws and regulations that are often more restrictive than those in the U.S.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72"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RM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69"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approximately $20.8 million and $24.6 million million during our fiscal years ended March 31, 2020 and 2019, respectively. At March 31, 2020, we had an accumulated deficit of approximately $201.9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1" w:name="page62"/>
    <w:bookmarkEnd w:id="6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Our ability to become profitable depends upon our ability to generate revenues. To date, we have generated approximately $17.7 million in revenues, consisting of receipt of non-dilutive cash payments from collaborators, sublicense revenue,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product candidate, or we enter into one or more development and commercialization agreements with respect to PH94B, PH10, AV-101 or one or more other future product candidates. Our ability to generate revenue depends on a number of factors, including, but not limited to, our ability to:</w:t>
      </w:r>
    </w:p>
    <w:p>
      <w:pPr>
        <w:spacing w:after="0" w:line="158" w:lineRule="exact"/>
        <w:rPr>
          <w:sz w:val="20"/>
          <w:szCs w:val="20"/>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timely complete and compose successful regulatory submissions such as NDAs or comparable documents for both the U.S. and foreign jurisdictions;</w:t>
      </w:r>
    </w:p>
    <w:p>
      <w:pPr>
        <w:spacing w:after="0" w:line="248"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for sales and marketing capabilities; and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commercialization collaboration or partnership with respect to the commercialization of our product candidates,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2020 included in this Annual Report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VistaStem’s stem cell technology platform. In particular, we have expended substantial resources on research and development of methods and processes relating to the production of AV-101 API and drug product, advancing AV-101 through IND-enabling preclinical development, Phase 1 clinical safety studies, and into ongoing Phase 2 clinical development, including the Elevate Study completed in 2019, as well as research and development and regulatory expenses related to the production of PH94B and PH10 and our stem cell technology platform, including development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 and our cardiac stem cell technology for potential RM applications in connection with the Bayer Agreement, and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March 31, 2020, we had cash and cash equivalents of approximately $1.4 million. We do not believe this amount, plus the proceeds to date from the LPC Aagreement, is sufficient to enable us to fund our planned operations for at least the twelve months following the issuance of the financial statements included elsewhere in this Annual Report. We expect to seek additional capital to produce PH94B study material, conduct PH94B pivotal Phase 3 clinical trials, produce additional AV-101 study material for future nonclinical and clinical studies, conduct AV-101 Phase 3-enabling toxicology studies, conduct pivotal Phase 3 clinical studies of AV-101 in MDD, conduct AV-101 Phase 2 studies in LID, MDD, NP and SI, produce PH10 study material and conduct a Phase 2b clinical trial of PH10 in MDD, acquire or license and conduct research and development of additional product candidates and to fund our internal operations.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the outcome of our ongoing research and development activities, including the outcome of future anticipated clinical trials is highly uncertain, we cannot reasonably estimate the actual amounts necessary to successfully complete the development and commercialization of our product candidates, on our own or in collaboration with others. As with prior periods, we will continue to incur costs associated with other development programs for PH94B, PH10 and AV-101.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have completed in the past, and are currently considering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later in 2019 and thereafter.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collaborative arrangements and the financial terms of such agreements;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our ability to engage in certain types of capital raising transactions may be limited by the Listing Rules of the Nasdaq Stock Market and/or General Instruction I.B.6 of Form S-3 so long as the market value of our common stock held by non-affiliates remains below $75 million.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Current volatile and/or recessionary conditions in the U.S. or abroad could adversely affect our business or our access to capital markets in a material manner.</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date, our principal sources of capital used to fund our development programs and other operations have been the net proceeds we received from sales of equity securities, as described herein. We have and will continue to use significant capital for the development of our product candidates, and, as such, we expect to seek additional capital from future issuance(s) of our securities, which may consist of issuances of equity and/or debt securities, to fund our planned operations.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most recent global financial crisis caused by COVID-19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69"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We recieved funds from the Paycheck Protection Program enacted by Congres under the Coronavirus Aid, Relief and Economic Security Act, which funds must be repaid if we do not meet the criteria for forgiveness established by the U.S. Small Business Administration.</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April 22, 2020, we entered into a note payable agreement, pursuant to which we received net proceeds of approximately $224,000 from a potentially forgivable loan from the U.S. Small Business Administration (</w:t>
      </w:r>
      <w:r>
        <w:rPr>
          <w:rFonts w:ascii="Arial" w:cs="Arial" w:eastAsia="Arial" w:hAnsi="Arial"/>
          <w:sz w:val="16"/>
          <w:szCs w:val="16"/>
          <w:i w:val="1"/>
          <w:iCs w:val="1"/>
          <w:color w:val="auto"/>
        </w:rPr>
        <w:t>SBA</w:t>
      </w:r>
      <w:r>
        <w:rPr>
          <w:rFonts w:ascii="Arial" w:cs="Arial" w:eastAsia="Arial" w:hAnsi="Arial"/>
          <w:sz w:val="16"/>
          <w:szCs w:val="16"/>
          <w:color w:val="auto"/>
        </w:rPr>
        <w:t>) pursuant to the Paycheck Protection Program (</w:t>
      </w:r>
      <w:r>
        <w:rPr>
          <w:rFonts w:ascii="Arial" w:cs="Arial" w:eastAsia="Arial" w:hAnsi="Arial"/>
          <w:sz w:val="16"/>
          <w:szCs w:val="16"/>
          <w:i w:val="1"/>
          <w:iCs w:val="1"/>
          <w:color w:val="auto"/>
        </w:rPr>
        <w:t>PPP</w:t>
      </w:r>
      <w:r>
        <w:rPr>
          <w:rFonts w:ascii="Arial" w:cs="Arial" w:eastAsia="Arial" w:hAnsi="Arial"/>
          <w:sz w:val="16"/>
          <w:szCs w:val="16"/>
          <w:color w:val="auto"/>
        </w:rPr>
        <w:t xml:space="preserve">) enacted by Congress under the Coronavirus Aid, Relief, and Economic Security Act (the </w:t>
      </w:r>
      <w:r>
        <w:rPr>
          <w:rFonts w:ascii="Arial" w:cs="Arial" w:eastAsia="Arial" w:hAnsi="Arial"/>
          <w:sz w:val="16"/>
          <w:szCs w:val="16"/>
          <w:i w:val="1"/>
          <w:iCs w:val="1"/>
          <w:color w:val="auto"/>
        </w:rPr>
        <w:t>CARES Act</w:t>
      </w:r>
      <w:r>
        <w:rPr>
          <w:rFonts w:ascii="Arial" w:cs="Arial" w:eastAsia="Arial" w:hAnsi="Arial"/>
          <w:sz w:val="16"/>
          <w:szCs w:val="16"/>
          <w:color w:val="auto"/>
        </w:rPr>
        <w:t xml:space="preserve">) administered by the SBA (the </w:t>
      </w:r>
      <w:r>
        <w:rPr>
          <w:rFonts w:ascii="Arial" w:cs="Arial" w:eastAsia="Arial" w:hAnsi="Arial"/>
          <w:sz w:val="16"/>
          <w:szCs w:val="16"/>
          <w:i w:val="1"/>
          <w:iCs w:val="1"/>
          <w:color w:val="auto"/>
        </w:rPr>
        <w:t>PPP Loan</w:t>
      </w:r>
      <w:r>
        <w:rPr>
          <w:rFonts w:ascii="Arial" w:cs="Arial" w:eastAsia="Arial" w:hAnsi="Arial"/>
          <w:sz w:val="16"/>
          <w:szCs w:val="16"/>
          <w:color w:val="auto"/>
        </w:rPr>
        <w:t>). The PPP Loan provides for working capital to the Company and matures on April 22, 2022. Under the CARES Act and the PPP Loan Agreement, all payments of both principal and interest are deferred until at least October 22, 2020. The PPP Loan will accrue interest at a rate of 1.00% per annum, and interest will continue to accrue throughout the period the</w:t>
      </w:r>
    </w:p>
    <w:p>
      <w:pPr>
        <w:spacing w:after="0" w:line="2" w:lineRule="exact"/>
        <w:rPr>
          <w:sz w:val="20"/>
          <w:szCs w:val="20"/>
          <w:color w:val="auto"/>
        </w:rPr>
      </w:pPr>
    </w:p>
    <w:p>
      <w:pPr>
        <w:jc w:val="both"/>
        <w:ind w:right="20" w:firstLine="8"/>
        <w:spacing w:after="0" w:line="295" w:lineRule="auto"/>
        <w:tabs>
          <w:tab w:leader="none" w:pos="3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Loan is outstanding, or until it is forgiven. The CARES Act (including subsequent guidance issued by SBA and U.S. Department of the Treasury related thereto) provides that all or a portion of the PPP Loan may be forgiven upon our request to the Lender, subject to requirements in the PPP Loan Agreement and the CARES Act. Although no assurances can be given, the Company currently believes it will be able to satisfy the applicable requirements for forgiveness of the PPP Loan and expects that the PPP Loan will be forgiven.</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8"/>
          <w:szCs w:val="18"/>
          <w:b w:val="1"/>
          <w:bCs w:val="1"/>
          <w:color w:val="auto"/>
        </w:rPr>
        <w:t>.</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of our staff does not permit appropriate segregation of duties to (a) permit appropriate review of accounting transactions and/or accounting treatment by multiple qualified individuals, and</w:t>
      </w:r>
    </w:p>
    <w:p>
      <w:pPr>
        <w:spacing w:after="0" w:line="1" w:lineRule="exact"/>
        <w:rPr>
          <w:sz w:val="20"/>
          <w:szCs w:val="20"/>
          <w:color w:val="auto"/>
        </w:rPr>
      </w:pPr>
    </w:p>
    <w:p>
      <w:pPr>
        <w:jc w:val="both"/>
        <w:ind w:right="20" w:firstLine="8"/>
        <w:spacing w:after="0" w:line="255" w:lineRule="auto"/>
        <w:tabs>
          <w:tab w:leader="none" w:pos="2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4" w:name="page65"/>
    <w:bookmarkEnd w:id="6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2020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including the impact of the ongoing COVID-19 pandemic.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 of March 31, 2020, we had federal and state net operating loss carryforwards of approximately $125.1 million and $64.1 million, respectively, which begin to expire in fiscal 2021 and will continue to expire in future periods.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Vice President – Corporate Development as well as our other employees, consultants and scientific collaborators. As of the date of this Annual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should we elect to expand our research and development and administrative activities. We may not be able to attract and retain quality personnel on acceptable terms.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any NCE, other product candidate, or RM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Our efforts to comply with these regulations are likely to result in increased general and administrative expenses and management time and attention directed to compliance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or political conditions could adversely affect our business, financial condition or results of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6" w:name="page67"/>
    <w:bookmarkEnd w:id="6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2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current political environment in the U.S. has led many incumbents and political candidates to propose various measures to reduce the prices for pharmaceuticals. As we near the U.S. presidential 2020 elections, it is likely that these proposals will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hPSC technology.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own and have licensed issued and allowed patents and patent applications relating to PH94B, PH10 and AV-101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97"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additional patent claims that we may obtain cannot be predicted with certainty.</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obtain valid and enforceable patents depends in large measure on whether the differences between our technology and the prior art allow our inventions to be patentable over relevant prior art. Such prior art includes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which may prevent a pending patent application from being granted or result in an issued patent being held invalid or unenforceable.</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certain of our product candidates or that were evaluated in early (often pre-clinical) studies.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our filing of our initial AV-101 patent applications,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in our two granted U.S. patents related to (i) unit dose formulations of AV-101 effective to treat depression and (ii) methods of treating depression with AV-101, respectively. However, it was submitted in two depression-related AV-101 patent applications that have similar claims and we have received Notices of Allowance from the USPTO in those applications. We are considering entering this web post in the record of the aforementioned two issued U.S. patents. Another source of uncertainty pertains to patent properties that were in-licensed by us for which prior art submissions were under the control of the licensor. We rely on these licensors to have satisfied the relevant disclosure obligations.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our product candidates. Such a loss of patent protection would have a material adverse impact on our business.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8" w:name="page69"/>
    <w:bookmarkEnd w:id="6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USPTO,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240" w:hanging="232"/>
        <w:spacing w:after="0" w:line="259" w:lineRule="auto"/>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69" w:name="page70"/>
    <w:bookmarkEnd w:id="6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74"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6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or derivation proceedings before the United States or other jurisdictions.</w:t>
      </w:r>
    </w:p>
    <w:p>
      <w:pPr>
        <w:spacing w:after="0" w:line="169"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ectPr>
          <w:pgSz w:w="11900" w:h="16838" w:orient="portrait"/>
          <w:cols w:equalWidth="0" w:num="1">
            <w:col w:w="11240"/>
          </w:cols>
          <w:pgMar w:left="320" w:top="131" w:right="3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0" w:name="page71"/>
    <w:bookmarkEnd w:id="7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1" w:name="page72"/>
    <w:bookmarkEnd w:id="7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our PH10, PH94B and certain stem cell technologies, we are a party to a number of license agreements under which we are granted rights to intellectual properties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including the EverInsight Agreement and the Bayer Agreement,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3"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w:t>
      </w:r>
    </w:p>
    <w:p>
      <w:pPr>
        <w:sectPr>
          <w:pgSz w:w="11900" w:h="16838" w:orient="portrait"/>
          <w:cols w:equalWidth="0" w:num="1">
            <w:col w:w="11240"/>
          </w:cols>
          <w:pgMar w:left="320" w:top="131"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3" w:name="page74"/>
    <w:bookmarkEnd w:id="7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for example, if the active ingredient of PH94B, PH10 or AV-101 is used in another drug company’s product candidate and that product candidate is the first to obtain FDA approval.</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6"/>
          <w:szCs w:val="16"/>
          <w:i w:val="1"/>
          <w:iCs w:val="1"/>
          <w:color w:val="auto"/>
        </w:rPr>
        <w:t>Mayo Collaborative Services, DBA</w:t>
      </w:r>
      <w:r>
        <w:rPr>
          <w:rFonts w:ascii="Arial" w:cs="Arial" w:eastAsia="Arial" w:hAnsi="Arial"/>
          <w:sz w:val="16"/>
          <w:szCs w:val="16"/>
          <w:color w:val="auto"/>
        </w:rPr>
        <w:t xml:space="preserve"> </w:t>
      </w:r>
      <w:r>
        <w:rPr>
          <w:rFonts w:ascii="Arial" w:cs="Arial" w:eastAsia="Arial" w:hAnsi="Arial"/>
          <w:sz w:val="16"/>
          <w:szCs w:val="16"/>
          <w:i w:val="1"/>
          <w:iCs w:val="1"/>
          <w:color w:val="auto"/>
        </w:rPr>
        <w:t>Mayo Medical Laboratories, et al. v. Prometheus Laboratories, Inc.</w:t>
      </w:r>
      <w:r>
        <w:rPr>
          <w:rFonts w:ascii="Arial" w:cs="Arial" w:eastAsia="Arial" w:hAnsi="Arial"/>
          <w:sz w:val="16"/>
          <w:szCs w:val="16"/>
          <w:color w:val="auto"/>
        </w:rPr>
        <w:t>, the Court held that several claims drawn to measuring drug metabolite levels from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74"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240" w:hanging="232"/>
        <w:spacing w:after="0" w:line="268" w:lineRule="auto"/>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With regard to our stem cell technology, if, instead of identifying DR candidates based on information available to us in the public domain, we seek to in-license DR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 NCEs that we may produce and develop. If we are unable to obtain ownership or substantial economic participation rights over intellectual property related to DR NCEs we produce and develop, our DR business may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31, 2020, we were notified by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xml:space="preserve">)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July 29, 2020, to regain compliance with Nasdaq Listing Rule 5550(a)(2) (the </w:t>
      </w:r>
      <w:r>
        <w:rPr>
          <w:rFonts w:ascii="Arial" w:cs="Arial" w:eastAsia="Arial" w:hAnsi="Arial"/>
          <w:sz w:val="16"/>
          <w:szCs w:val="16"/>
          <w:i w:val="1"/>
          <w:iCs w:val="1"/>
          <w:color w:val="auto"/>
        </w:rPr>
        <w:t>Bid Price Rule</w:t>
      </w:r>
      <w:r>
        <w:rPr>
          <w:rFonts w:ascii="Arial" w:cs="Arial" w:eastAsia="Arial" w:hAnsi="Arial"/>
          <w:sz w:val="16"/>
          <w:szCs w:val="16"/>
          <w:color w:val="auto"/>
        </w:rPr>
        <w:t>). To regain compliance, the bid price of our common stock must have a closing bid price of at least $1.00 per share for a minimum of 10 consecutive business days.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addition, on March 30, 2020, we were notified by Nasdaq that we were not in compliance with Nasdaq Listing Rule 5550(b)(2) (the </w:t>
      </w:r>
      <w:r>
        <w:rPr>
          <w:rFonts w:ascii="Arial" w:cs="Arial" w:eastAsia="Arial" w:hAnsi="Arial"/>
          <w:sz w:val="18"/>
          <w:szCs w:val="18"/>
          <w:i w:val="1"/>
          <w:iCs w:val="1"/>
          <w:color w:val="auto"/>
        </w:rPr>
        <w:t>MVLS Rule</w:t>
      </w:r>
      <w:r>
        <w:rPr>
          <w:rFonts w:ascii="Arial" w:cs="Arial" w:eastAsia="Arial" w:hAnsi="Arial"/>
          <w:sz w:val="18"/>
          <w:szCs w:val="18"/>
          <w:color w:val="auto"/>
        </w:rPr>
        <w:t>) for continued listing on the Nasdaq Capital Market, as the market value of our listed securities was less than $35 million for the previous 30 consecutive business days. Under Nasdaq Listing Rule 5810(c)(3)(C), we have a period of 180 calendar days, or until September 28, 2020, to regain compliance with the MVLS Rule. To regain compliance, during this 180-day compliance period, the market value of our listed securities must be $35 million or more for a minimum of 10 consecutive business days.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17, 2020, in response to the extraordinary market conditions caused by the COVID-19 pandemic, Nasdaq instituted a longer period of time for companies such as ours to regain compliance with certain continued listing requirements, including the Bid Price Rule. As a result, we now have until October 12, 2020 to regain compliance with the Bid Price Rule and the deadline to regain compliance with the MVLS Rule remains unchanged. If we do not regain compliance with the Bid Price Rule by October 12, 2020, an additional 180 days may be granted to regain compliance, so long as we meet the Nasdaq Capital Market continued listing requirements (including the MVLS Rule) and notify Nasdaq in writing of our intention to cure the deficiency during the second compliance period.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volatility resulting from uncertainty and general ecomnic conditions caused by the ongoing COVID-19 pandemic;</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ectPr>
          <w:pgSz w:w="11900" w:h="16838" w:orient="portrait"/>
          <w:cols w:equalWidth="0" w:num="1">
            <w:col w:w="11240"/>
          </w:cols>
          <w:pgMar w:left="320" w:top="131" w:right="339" w:bottom="208"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77" w:name="page78"/>
    <w:bookmarkEnd w:id="7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sales or purchases of large blocks of our common stock, including sales or purchases by our executive officers, directors and significant stockholders;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limited number of institutional stockholders could limit your ability to influence the outcome of key transactions, including changes in control.</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limited number of institutional stockholders own a substantial portion of our outstanding preferred stock, consisting of shares of our Series A Preferred, Series B Preferred, and Series C Preferred, all of which is convertible, at the option of the holders (but subject to certain beneficial ownership restrictions), into a substantial number of shares of our common stock. Accordingly, should a few of these institutional holders convert their shares of preferred stock into common stock, such stockholders may exert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the Company, even if such a change of control is approved by our Board and would benefit our other stockholders. Furthermore, the interests of such institutional stockholders may not always coincide with your interests or the interests of other common stockholders and an institutional holder may act in a manner that advances its best interests and not necessarily those of other stockholders.</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78" w:name="page79"/>
    <w:bookmarkEnd w:id="7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March 31, 2020; (ii) 4.0 million shares of Series B 10% Convertible Preferred stock, of which approximately 1.2 million shares remain issued and outstanding at March 31, 2020; and (iii) 3.0 million shares of Series C Convertible Preferred Stock, of which approximately 2.3 million shares are issued and outstanding at March 31, 2020.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since we qualify as a smaller reporting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headquarters and laboratories are located at 343 Allerton Avenue, South San Francisco, California 94080, where we occupy approximately 10,900 square feet of office and lab space under a lease expiring on July 31, 2022. We believe that our facilities are suitable and adequate for our current and foreseeable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was approved for listing and has traded since May 11, 2016 on The Nasdaq Capital Market under the symbol “VTGN”. From June 21, 2011 through May 10, 2016, our common stock traded on the OTC Marketplace, under the symbol “VSTA”. There was no established trading market for our common stock prior to June 21, 2011.</w:t>
      </w:r>
    </w:p>
    <w:p>
      <w:pPr>
        <w:spacing w:after="0" w:line="19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Shown below is the range of high and low sales prices for our common stock for the periods indicated as reported by the Nasdaq Capital Market. The market quotations reflect inter-dealer prices, without retail mark-up, mark-down or commissions and may not necessarily represent actual transactions.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Low</w:t>
            </w:r>
          </w:p>
        </w:tc>
      </w:tr>
      <w:tr>
        <w:trPr>
          <w:trHeight w:val="242"/>
        </w:trPr>
        <w:tc>
          <w:tcPr>
            <w:tcW w:w="5840" w:type="dxa"/>
            <w:vAlign w:val="bottom"/>
          </w:tcPr>
          <w:p>
            <w:pPr>
              <w:spacing w:after="0"/>
              <w:rPr>
                <w:sz w:val="20"/>
                <w:szCs w:val="20"/>
                <w:color w:val="auto"/>
              </w:rPr>
            </w:pPr>
            <w:r>
              <w:rPr>
                <w:rFonts w:ascii="Arial" w:cs="Arial" w:eastAsia="Arial" w:hAnsi="Arial"/>
                <w:sz w:val="18"/>
                <w:szCs w:val="18"/>
                <w:b w:val="1"/>
                <w:bCs w:val="1"/>
                <w:color w:val="auto"/>
              </w:rPr>
              <w:t>Year Ended March 31, 2020</w:t>
            </w:r>
          </w:p>
        </w:tc>
        <w:tc>
          <w:tcPr>
            <w:tcW w:w="28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ended June 30, 2019</w:t>
            </w: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Second quarter ended September 30, 2019</w:t>
            </w:r>
          </w:p>
        </w:tc>
        <w:tc>
          <w:tcPr>
            <w:tcW w:w="3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ended December 31, 2019</w:t>
            </w: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Fourth quarter ended March 31, 2020</w:t>
            </w:r>
          </w:p>
        </w:tc>
        <w:tc>
          <w:tcPr>
            <w:tcW w:w="3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r>
      <w:tr>
        <w:trPr>
          <w:trHeight w:val="216"/>
        </w:trPr>
        <w:tc>
          <w:tcPr>
            <w:tcW w:w="58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Year Ended March 31, 2019</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ended June 30, 2018</w:t>
            </w: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0.81</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Second quarter ended September 30, 2018</w:t>
            </w:r>
          </w:p>
        </w:tc>
        <w:tc>
          <w:tcPr>
            <w:tcW w:w="3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ended December 31, 2018</w:t>
            </w:r>
          </w:p>
        </w:tc>
        <w:tc>
          <w:tcPr>
            <w:tcW w:w="3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Fourth quarter ended March 31, 2019</w:t>
            </w:r>
          </w:p>
        </w:tc>
        <w:tc>
          <w:tcPr>
            <w:tcW w:w="3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On June 26, 2020 the closing price of our common stock on the Nasdaq Capital Market was $0.5191 per share.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26, 2020, we had 55,773,682 shares of common stock outstanding and approximately 7,000 stockholders of record. On the same date, two stockholders held all 500,000 outstanding restricted shares of our Series A Preferred Stock, which shares are convertible into 750,000 shares of common stock; two stockholders held 1,160,240 outstanding shares of our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which shares are convertible into 1,160,240 shares of common stock, excluding shares of our common stock which may be issued in payment of accrued dividends upon conversion of the Series B Preferred; and one stockholder held all 2,318,012 outstanding shares of our Series C Preferred stock, which shares are convertible into 2,318,012 shares of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Our Series B Preferred accrues dividends at a rate of 10% per annum, which dividends are payable solely in unregistered shares of our common stock at the time the Series B Preferred is converted into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issued the following securities in private placement transactions which were not registered under the Securities Act of 1933, as amended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 and that have not been previously reported in a Quarterly Report on Form 10-Q or a Current Report on Form 8-K:</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In April 2020, in a self-directed private placement, we sold to an accredited investor units to purchase an aggregate of 125,000 unregistered shares of our common stock and four-year warrants to purchase 125,000 shares of our common stock at an exercise price of $0.50 per share and we received cash proceeds of $50,000 (the </w:t>
      </w:r>
      <w:r>
        <w:rPr>
          <w:rFonts w:ascii="Arial" w:cs="Arial" w:eastAsia="Arial" w:hAnsi="Arial"/>
          <w:sz w:val="16"/>
          <w:szCs w:val="16"/>
          <w:i w:val="1"/>
          <w:iCs w:val="1"/>
          <w:color w:val="auto"/>
        </w:rPr>
        <w:t>Spring 2020 Private Placement</w:t>
      </w:r>
      <w:r>
        <w:rPr>
          <w:rFonts w:ascii="Arial" w:cs="Arial" w:eastAsia="Arial" w:hAnsi="Arial"/>
          <w:sz w:val="16"/>
          <w:szCs w:val="16"/>
          <w:color w:val="auto"/>
        </w:rPr>
        <w:t>). The shares of common stock and warrants offered and sold as a part of the Spring 2020 Private Placement were issued in private placement transactions exempt from registration under the Securities Act, in reliance on Section 4(2) thereof and Rule 506 of Regulation D promulgated thereunder. The Company expects to use the proceeds from the Spring 2020 Private Placement for general working capital.</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24, 2020, we issued 233,645 unregistered shares of our common stock having a fair value of $125,000 to an accredited investor as partial compenssation under the terms of a consulting contract in connection with the execution of the EverInsight Agreement. The shares of common stock were issued in a private placement transaction exempt from registration under the Securities Act, in reliance on Section 4(2) thereof and Rule 506 of Regulation D promulgated thereunder.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because we qualify as a smaller reporting company under federal securities laws.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0" w:name="page81"/>
    <w:bookmarkEnd w:id="8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Annual Report on Form 10-K (Annual Report) includes forward-looking statements. All statements contained in this Annual Report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Annual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Annual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a multi-asset, clinical-stage biopharmaceutical company committed to developing differentiated new generation medications for anxiety,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diseases and disorders with high unmet need.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PH94B Neuroactive Nasal Spray for Anxiety-related Disorders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PH94B neuroactive nasal spray is an odorless, first-in-class, fast-acting synthetic neurosteroid with therapeutic potential in a wide range of neuropsychiatric indications involving anxiety or phobia. Conveniently self-administered in microgram doses without systemic exposure, we are initially developing PH94B as a potential fast-acting, non-sedating, non-addictive new generation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SAD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or humiliate them. Some people with SAD have performance anxiety. They feel physical symptoms of fear and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chronic ADs have slow onset of therapeutic effect (often taking many weeks to months) and significant side effects (often beginning soon after administration). Slow onset of effect, chronic administration and significant side effects may make the FDA-approved ADs inadequate or inappropriate treatment alternatives for many individuals affected by SAD episodically. VistaGen’s PH94B is fundamentally differentiated from all current anxiolytics, including all ADs approved by the FDA for treatment of SAD. Intranasal self-administration of only approximately 3.2 micrograms of PH94B binds to nasal chemosensory receptors that, in turn, activate key neural circuits in the brain that lead to rapid suppression of fear and anxiety. In Phase 2 and pilot Phase 3 clinical studies to date, PH94B has not shown psychological side effects (such as dissociation or hallucinations), systemic exposure, sedation or other side effects and safety concerns that may be caused by the current ADs approved by the FDA for treatment of SAD, as well as by benzodiazepines and beta blockers, which are not approved by the FDA to treat SAD but which may be prescribed by psychiatrists and physicians for treatment of SAD on an off-label basis.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 peer-reviewed, published double-blind, placebo-controlled Phase 2 clinical trial, PH94B neuroactive nasal spray was significantly more effective than placebo in reducing both public-speaking (performance) anxiety (p=0.002) and social interaction anxiety (p=0.009) in laboratory challenges of individuals with SAD within 15 minutes of self-administration of a non-systemic 1.6 microgram dose of PH94B. Based on its novel mechanism of pharmacological action, rapid-onset of therapeutic effects and exceptional safety and tolerability profile in Phase 2 and pilot Phase 3 clinical trials to date, we are preparing for Phase 3 clinical development of PH94B for treatment of SAD in adults. Our goal is to develop and commercialize PH94B as the first FDA-approved, fast-acting, on-demand, at-home treatment for SAD. Additional potential anxiety-related neuropsychiatric indications for PH94B include general anxiety disorder, peripartum anxiety (pre- and post-partum anxiety), preoperative or pre-testing (e.g., pre-MRI) anxiety, panic disorder, post-traumatic stress disorder and specific social phobias. </w:t>
      </w:r>
      <w:r>
        <w:rPr>
          <w:rFonts w:ascii="Arial" w:cs="Arial" w:eastAsia="Arial" w:hAnsi="Arial"/>
          <w:sz w:val="16"/>
          <w:szCs w:val="16"/>
          <w:color w:val="333333"/>
        </w:rPr>
        <w:t>The FDA has granted Fast Track designation for development of our PH94B neuroactive nasal spray for on-demand treatment of SAD, the FDA’s first</w:t>
      </w:r>
      <w:r>
        <w:rPr>
          <w:rFonts w:ascii="Arial" w:cs="Arial" w:eastAsia="Arial" w:hAnsi="Arial"/>
          <w:sz w:val="16"/>
          <w:szCs w:val="16"/>
          <w:color w:val="auto"/>
        </w:rPr>
        <w:t xml:space="preserve"> </w:t>
      </w:r>
      <w:r>
        <w:rPr>
          <w:rFonts w:ascii="Arial" w:cs="Arial" w:eastAsia="Arial" w:hAnsi="Arial"/>
          <w:sz w:val="16"/>
          <w:szCs w:val="16"/>
          <w:color w:val="333333"/>
        </w:rPr>
        <w:t>such designation for a drug candidate for SAD.</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development of PH94B as a potential treatment for SAD, in April 2020, we announced plans to expand clinical development of PH94B to include treatment of adjustment disorder, an emotional or behavioral reaction considered excessive or out of proportion to a stressful event or major life change, occurring within three months of the stressor, and/or significantly impairing a person’s social, occupational and/or other important areas of functioning. We plan to submit our proposed protocol for an exploratory Phase 2a study of PH94B for treatment of adjustment disorder with anxiety due to stressors related to the COVID-19 pandemic to the FDA through the Coronavirus Treatment Acceleration Program (</w:t>
      </w:r>
      <w:r>
        <w:rPr>
          <w:rFonts w:ascii="Arial" w:cs="Arial" w:eastAsia="Arial" w:hAnsi="Arial"/>
          <w:sz w:val="18"/>
          <w:szCs w:val="18"/>
          <w:i w:val="1"/>
          <w:iCs w:val="1"/>
          <w:color w:val="auto"/>
        </w:rPr>
        <w:t>CTAP</w:t>
      </w:r>
      <w:r>
        <w:rPr>
          <w:rFonts w:ascii="Arial" w:cs="Arial" w:eastAsia="Arial" w:hAnsi="Arial"/>
          <w:sz w:val="18"/>
          <w:szCs w:val="18"/>
          <w:color w:val="auto"/>
        </w:rPr>
        <w:t>). The proposed Phase 2 study will be conducted in New York City on an open-label basis and involve approximately 30 subjects suffering from adjustment disorder with anxiety from stressors related to the pandemic.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PH10 Neuroactive Nasal Spray for Depression and Suicidal Ideation</w:t>
      </w:r>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PH10 neuroactive nasal spray is an odorless, fast-acting synthetic neurosteroid with therapeutic potential in a wide range of neuropsychiatric indications involving depression and suicidal ideation. Conveniently self-administered in microgram doses without systemic exposure, we are initially developing PH94B as a potential fast-acting, non-sedating, non-addictive new generation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ketamine-based therapy (KBT), including intravenous ketamine or esketamine nasal spray, or the significant side effects of current ADs.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(HAM-D), without side effects or safety concerns that may be caused by KBT. Based on positive results from this exploratory Phase 2a study, we are preparing for Phase 2b clinical development of PH10 in MDD. With its exceptional safety profile during clinical development to date, we believe PH10, as a convenient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ectPr>
          <w:pgSz w:w="11900" w:h="16838" w:orient="portrait"/>
          <w:cols w:equalWidth="0" w:num="1">
            <w:col w:w="11240"/>
          </w:cols>
          <w:pgMar w:left="320" w:top="13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2" w:name="page83"/>
    <w:bookmarkEnd w:id="8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 Oral NMDA Receptor Antagonist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and KBT. With its exceptionally few side effects and excellent safety profile, AV-101 has potential to be a differentiated oral, new generation treatment for multiple large-market CNS indications where current treatments are inadequate to meet high unmet patient needs. The FDA has granted Fast Track designation for development of AV-101 as both a potential adjunctive treatment for MDD and as a non-opioid treatment for neuropathic pain.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recently completed a double-blind, placebo-controlled, multi-center Phase 2 clinical trial of AV-101 as a potential adjunctive treatment, together with a standard FDA-approved oral AD (either a selective serotonin reuptake inhibitor (</w:t>
      </w:r>
      <w:r>
        <w:rPr>
          <w:rFonts w:ascii="Arial" w:cs="Arial" w:eastAsia="Arial" w:hAnsi="Arial"/>
          <w:sz w:val="16"/>
          <w:szCs w:val="16"/>
          <w:i w:val="1"/>
          <w:iCs w:val="1"/>
          <w:color w:val="auto"/>
        </w:rPr>
        <w:t>SSRI</w:t>
      </w:r>
      <w:r>
        <w:rPr>
          <w:rFonts w:ascii="Arial" w:cs="Arial" w:eastAsia="Arial" w:hAnsi="Arial"/>
          <w:sz w:val="16"/>
          <w:szCs w:val="16"/>
          <w:color w:val="auto"/>
        </w:rPr>
        <w:t>) or a serotonin norepinephrine reuptake inhibitor (</w:t>
      </w:r>
      <w:r>
        <w:rPr>
          <w:rFonts w:ascii="Arial" w:cs="Arial" w:eastAsia="Arial" w:hAnsi="Arial"/>
          <w:sz w:val="16"/>
          <w:szCs w:val="16"/>
          <w:i w:val="1"/>
          <w:iCs w:val="1"/>
          <w:color w:val="auto"/>
        </w:rPr>
        <w:t>SNRI</w:t>
      </w:r>
      <w:r>
        <w:rPr>
          <w:rFonts w:ascii="Arial" w:cs="Arial" w:eastAsia="Arial" w:hAnsi="Arial"/>
          <w:sz w:val="16"/>
          <w:szCs w:val="16"/>
          <w:color w:val="auto"/>
        </w:rPr>
        <w:t xml:space="preserve">)), in MDD patients who had an inadequate response to a stable dose of a standard AD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(1440 mg) did not differentiate from placebo on the primary endpoint (change in the Montgomery-Åsberg Depression Rating Scale (MADRS-10) total score compared to baseline), potentially due to sub-therapeutic levels of 7-Cl-KYNA in the brain. As in prior clinical studies, AV-101 was well tolerated, with no psychotomimetic side effects or drug-related serious adverse events.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a safe and well-known oral anion transport inhibitor used to treat gout. These surprising effects were first revealed in our recent preclinical studies, although they are consistent with well-documented clinical studies of probenecid increasing the therapeutic benefits of several unrelated classes of approved drugs, including certain antibacterial, anticancer and antiviral drugs. When probenecid was administered adjunctively with AV-101 in an animal model, substantially increased brain concentrations of both AV-101 (7-fold) and of 7-Cl-KYNA (35-fold)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 Study</w:t>
      </w:r>
      <w:r>
        <w:rPr>
          <w:rFonts w:ascii="Arial" w:cs="Arial" w:eastAsia="Arial" w:hAnsi="Arial"/>
          <w:sz w:val="16"/>
          <w:szCs w:val="16"/>
          <w:color w:val="auto"/>
        </w:rPr>
        <w:t>). The findings from the Baylor Study suggest that, in healthy Veterans, the higher dose of AV-101 (1440 mg) was associated with dose-related</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successful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conduct additional AV-101 preclinical studies with adjunctive probenecid to evaluate its potential applicability to MDD, suicidal ideation and other NMDAR-focused CNS indications for which we have existing preclinical data with AV-101 as a monotherapy, including epilepsy, levodopa-induced dyskinesia, and neuropathic pain, to determine the most appropriate path forward for potential future clinical development and commercialization of AV-101.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VistaStem Therapeutics – Stem Cell Technology for Drug Rescue and Regenerative Medicine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current CNS drug candidates, we have stem cell technology-based, pipeline-enabling programs through our wholly-owned subsidiary,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VistaStem is focused on applying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 technologies, including our customized cardiac bioassay system, </w:t>
      </w:r>
      <w:r>
        <w:rPr>
          <w:rFonts w:ascii="Arial" w:cs="Arial" w:eastAsia="Arial" w:hAnsi="Arial"/>
          <w:sz w:val="18"/>
          <w:szCs w:val="18"/>
          <w:i w:val="1"/>
          <w:iCs w:val="1"/>
          <w:color w:val="auto"/>
        </w:rPr>
        <w:t>CardioSafe 3D</w:t>
      </w:r>
      <w:r>
        <w:rPr>
          <w:rFonts w:ascii="Arial" w:cs="Arial" w:eastAsia="Arial" w:hAnsi="Arial"/>
          <w:sz w:val="18"/>
          <w:szCs w:val="18"/>
          <w:color w:val="auto"/>
        </w:rPr>
        <w:t>, to discover and develop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8"/>
          <w:szCs w:val="18"/>
          <w:i w:val="1"/>
          <w:iCs w:val="1"/>
          <w:color w:val="auto"/>
        </w:rPr>
        <w:t>CT</w:t>
      </w:r>
      <w:r>
        <w:rPr>
          <w:rFonts w:ascii="Arial" w:cs="Arial" w:eastAsia="Arial" w:hAnsi="Arial"/>
          <w:sz w:val="18"/>
          <w:szCs w:val="18"/>
          <w:color w:val="auto"/>
        </w:rPr>
        <w:t>) and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fields.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3" w:name="page84"/>
    <w:bookmarkEnd w:id="8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 xml:space="preserve">To advance potential CT and RM applications of VistaStem’s hPSC technologies related to heart cells, we licensed to BlueRock Therapeutics LP, a next generation CT/RM company formed jointly by Bayer AG and Versant Ventures, rights to develop and commercialize certain proprietary technologies relating to the production of cardiac stem cells for the treatment of heart disease. As a result of its acquisition of BlueRock Therapeutics in 2019, Bayer AG now holds rights to develop and commercialize VistaStem’s hPSC technologies relating to the production of heart cells for the treatment of heart disease (the </w:t>
      </w:r>
      <w:r>
        <w:rPr>
          <w:rFonts w:ascii="Arial" w:cs="Arial" w:eastAsia="Arial" w:hAnsi="Arial"/>
          <w:sz w:val="18"/>
          <w:szCs w:val="18"/>
          <w:i w:val="1"/>
          <w:iCs w:val="1"/>
          <w:color w:val="auto"/>
        </w:rPr>
        <w:t>Bayer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In a manner similar to the Bayer Agreement, we may pursue additional collaborations involving rights to develop and commercialize VistaStem’s</w:t>
      </w:r>
      <w:r>
        <w:rPr>
          <w:rFonts w:ascii="Arial" w:cs="Arial" w:eastAsia="Arial" w:hAnsi="Arial"/>
          <w:sz w:val="18"/>
          <w:szCs w:val="18"/>
          <w:i w:val="1"/>
          <w:iCs w:val="1"/>
          <w:color w:val="auto"/>
        </w:rPr>
        <w:t xml:space="preserve"> </w:t>
      </w:r>
      <w:r>
        <w:rPr>
          <w:rFonts w:ascii="Arial" w:cs="Arial" w:eastAsia="Arial" w:hAnsi="Arial"/>
          <w:sz w:val="18"/>
          <w:szCs w:val="18"/>
          <w:color w:val="auto"/>
        </w:rPr>
        <w:t>hPSC technologies for production of blood, cartilage, and/or liver cells for CT and RM applications, including, among other indications, treatment of arthritis, cancer and liver disease.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ind w:right="60"/>
        <w:spacing w:after="0" w:line="290" w:lineRule="auto"/>
        <w:rPr>
          <w:sz w:val="20"/>
          <w:szCs w:val="20"/>
          <w:color w:val="auto"/>
        </w:rPr>
      </w:pPr>
      <w:r>
        <w:rPr>
          <w:rFonts w:ascii="Arial" w:cs="Arial" w:eastAsia="Arial" w:hAnsi="Arial"/>
          <w:sz w:val="16"/>
          <w:szCs w:val="16"/>
          <w:color w:val="auto"/>
        </w:rPr>
        <w:t>We consider certain accounting policies related to revenue recognition, determination of right of use assets under lease transactions and related lease obligations,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6"/>
          <w:szCs w:val="16"/>
          <w:i w:val="1"/>
          <w:iCs w:val="1"/>
          <w:color w:val="auto"/>
        </w:rPr>
        <w:t>GAAP</w:t>
      </w:r>
      <w:r>
        <w:rPr>
          <w:rFonts w:ascii="Arial" w:cs="Arial" w:eastAsia="Arial" w:hAnsi="Arial"/>
          <w:sz w:val="16"/>
          <w:szCs w:val="16"/>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We have historically generated revenue principally from collaborative research and development arrangements, licensing and technology access fees and government grants.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its related amendments, collectively referred to as ASC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Topic 606, as of April 1, 2018, using the modified retrospective transition method. At adoption and through our fiscal year ended March 31, 2020, we have only the Bayer Agreement as a potential revenue generating arrangement. Upon adoption of ASC Topic 606, there was no change to the units of accounting previously identified with respect to the Bayer Agreement under legacy GAAP, which are now considered performance obligations under ASC Topic 606, and there was no change to the revenue recognition pattern for the performance obligation. Accordingly, there was no cumulative effect change to our opening accumulated deficit balance upon the adoption of ASC Topic 606. We did not recognize any revenue in our fiscal years ended March 31, 2020 or 2019. The EverInsight Agreement was executed subsequent to the completion of our fiscal year ended March 31, 2020 and we have not yet assessed the impact of Topic 606 on it.</w:t>
      </w:r>
    </w:p>
    <w:p>
      <w:pPr>
        <w:spacing w:after="0" w:line="173"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0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Once a contract is determined to be within the scope of Topic 606, we assesses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identifies a bundle of goods or services that is distinct.</w:t>
      </w:r>
    </w:p>
    <w:p>
      <w:pPr>
        <w:spacing w:after="0" w:line="1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transaction price is then determined and allocated to the identified performance obligations in proportion to their standalone selling prices (</w:t>
      </w:r>
      <w:r>
        <w:rPr>
          <w:rFonts w:ascii="Arial" w:cs="Arial" w:eastAsia="Arial" w:hAnsi="Arial"/>
          <w:sz w:val="16"/>
          <w:szCs w:val="16"/>
          <w:i w:val="1"/>
          <w:iCs w:val="1"/>
          <w:color w:val="auto"/>
        </w:rPr>
        <w:t>SSP</w:t>
      </w:r>
      <w:r>
        <w:rPr>
          <w:rFonts w:ascii="Arial" w:cs="Arial" w:eastAsia="Arial" w:hAnsi="Arial"/>
          <w:sz w:val="16"/>
          <w:szCs w:val="16"/>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ectPr>
          <w:pgSz w:w="11900" w:h="16838" w:orient="portrait"/>
          <w:cols w:equalWidth="0" w:num="1">
            <w:col w:w="11300"/>
          </w:cols>
          <w:pgMar w:left="320" w:top="131" w:right="279" w:bottom="1440" w:gutter="0" w:footer="0" w:header="0"/>
        </w:sect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31" w:right="279" w:bottom="1440" w:gutter="0" w:footer="0" w:header="0"/>
          <w:type w:val="continuous"/>
        </w:sectPr>
      </w:pPr>
    </w:p>
    <w:bookmarkStart w:id="84" w:name="page85"/>
    <w:bookmarkEnd w:id="8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174"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use assets and lease obligations</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We adopted Accounting Standards Update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ASU 2016-02</w:t>
      </w:r>
      <w:r>
        <w:rPr>
          <w:rFonts w:ascii="Arial" w:cs="Arial" w:eastAsia="Arial" w:hAnsi="Arial"/>
          <w:sz w:val="16"/>
          <w:szCs w:val="16"/>
          <w:color w:val="auto"/>
        </w:rPr>
        <w:t>) effective April 1, 2019</w:t>
      </w:r>
      <w:r>
        <w:rPr>
          <w:rFonts w:ascii="Arial" w:cs="Arial" w:eastAsia="Arial" w:hAnsi="Arial"/>
          <w:sz w:val="16"/>
          <w:szCs w:val="16"/>
          <w:i w:val="1"/>
          <w:iCs w:val="1"/>
          <w:color w:val="auto"/>
        </w:rPr>
        <w:t>.</w:t>
      </w:r>
      <w:r>
        <w:rPr>
          <w:rFonts w:ascii="Arial" w:cs="Arial" w:eastAsia="Arial" w:hAnsi="Arial"/>
          <w:sz w:val="16"/>
          <w:szCs w:val="16"/>
          <w:color w:val="auto"/>
        </w:rPr>
        <w:t xml:space="preserve">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Arial" w:cs="Arial" w:eastAsia="Arial" w:hAnsi="Arial"/>
          <w:sz w:val="16"/>
          <w:szCs w:val="16"/>
          <w:i w:val="1"/>
          <w:iCs w:val="1"/>
          <w:color w:val="auto"/>
        </w:rPr>
        <w:t>Right of use assets</w:t>
      </w:r>
      <w:r>
        <w:rPr>
          <w:rFonts w:ascii="Arial" w:cs="Arial" w:eastAsia="Arial" w:hAnsi="Arial"/>
          <w:sz w:val="16"/>
          <w:szCs w:val="16"/>
          <w:color w:val="auto"/>
        </w:rPr>
        <w:t>) and operating lease liabilities represent our obligation to make lease payments arising from the lease. Right of 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 of use assets. Our operating lease is reflected in the right-of-use asset – operating lease; operating lease obligation - current portion; and operating lease obligation - non-current portion in our consolidated balance sheets.</w:t>
      </w:r>
    </w:p>
    <w:p>
      <w:pPr>
        <w:spacing w:after="0" w:line="180"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As a result of our adoption of ASU 2016-02, we no longer recognize deferred rent on the consolidated balance sheet.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spacing w:after="0" w:line="201" w:lineRule="exact"/>
        <w:rPr>
          <w:sz w:val="20"/>
          <w:szCs w:val="20"/>
          <w:color w:val="auto"/>
        </w:rPr>
      </w:pPr>
    </w:p>
    <w:p>
      <w:pPr>
        <w:jc w:val="both"/>
        <w:ind w:right="80"/>
        <w:spacing w:after="0" w:line="331" w:lineRule="auto"/>
        <w:rPr>
          <w:sz w:val="20"/>
          <w:szCs w:val="20"/>
          <w:color w:val="auto"/>
        </w:rPr>
      </w:pPr>
      <w:r>
        <w:rPr>
          <w:rFonts w:ascii="Arial" w:cs="Arial" w:eastAsia="Arial" w:hAnsi="Arial"/>
          <w:sz w:val="16"/>
          <w:szCs w:val="16"/>
          <w:color w:val="auto"/>
        </w:rPr>
        <w:t>Financing leases, formerly referred to as capitalized leases, are treated similarly to operating leases except that the asset subject to the lease is included in the appropriate fixed asset category, rather than recorded as a Right of use asset, and depreciated over its estimated useful life, or lease term, if shorter.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In accordance with ASC 360-10</w:t>
      </w:r>
      <w:r>
        <w:rPr>
          <w:rFonts w:ascii="Arial" w:cs="Arial" w:eastAsia="Arial" w:hAnsi="Arial"/>
          <w:sz w:val="18"/>
          <w:szCs w:val="18"/>
          <w:i w:val="1"/>
          <w:iCs w:val="1"/>
          <w:color w:val="auto"/>
        </w:rPr>
        <w:t>, Property, Plant &amp; Equipment—Overall</w:t>
      </w:r>
      <w:r>
        <w:rPr>
          <w:rFonts w:ascii="Arial" w:cs="Arial" w:eastAsia="Arial" w:hAnsi="Arial"/>
          <w:sz w:val="18"/>
          <w:szCs w:val="18"/>
          <w:color w:val="auto"/>
        </w:rPr>
        <w:t>, we review long-lived assets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31" w:right="279" w:bottom="1440" w:gutter="0" w:footer="0" w:header="0"/>
        </w:sectPr>
      </w:pPr>
    </w:p>
    <w:bookmarkStart w:id="85" w:name="page86"/>
    <w:bookmarkEnd w:id="8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and AV-101, stem cell research and development costs, and costs related to the application and prosecution of patents related to AV-101, PH94B, PH10 and our stem cell technology platform. All such costs are charged to expense as incurred.</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record accruals for estimated ongoing clinical trial costs. Clinical trial costs represent costs incurred by contract research organizations (</w:t>
      </w:r>
      <w:r>
        <w:rPr>
          <w:rFonts w:ascii="Arial" w:cs="Arial" w:eastAsia="Arial" w:hAnsi="Arial"/>
          <w:sz w:val="18"/>
          <w:szCs w:val="18"/>
          <w:i w:val="1"/>
          <w:iCs w:val="1"/>
          <w:color w:val="auto"/>
        </w:rPr>
        <w:t>CRO</w:t>
      </w:r>
      <w:r>
        <w:rPr>
          <w:rFonts w:ascii="Arial" w:cs="Arial" w:eastAsia="Arial" w:hAnsi="Arial"/>
          <w:sz w:val="18"/>
          <w:szCs w:val="18"/>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In September 2018, we acquired an exclusive license to develop and commercialize PH94B and an option to acquire a license to develop and commercialize PH10 by issuing an aggregate of 1,630,435 unregistered shares of our common stock having a fair market value of $2,250,000. In October 2018, we exercised our option to acquire an exclusive license to develop and commercialize PH10 by issuing 925,926 shares of our unregistered common stock having a fair market value of $2,000,000. Since, at the date of each acquisition, neither product candidate had achieved regulatory approval and each requires significant additional development and expense, we recorded the costs related to acquiring the licenses and the option as research and development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We recognize compensation cost for all stock-based awards to employees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consultants nor do we have any awards with market or performance conditions. Prior to our April 1, 2019 adoption of ASU 2018-07, </w:t>
      </w:r>
      <w:r>
        <w:rPr>
          <w:rFonts w:ascii="Arial" w:cs="Arial" w:eastAsia="Arial" w:hAnsi="Arial"/>
          <w:sz w:val="15"/>
          <w:szCs w:val="15"/>
          <w:i w:val="1"/>
          <w:iCs w:val="1"/>
          <w:color w:val="auto"/>
        </w:rPr>
        <w:t>Compensation-Stock Compensation (Topic 718),</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Improvements to Nonemployee Share-Based Payment Accounting </w:t>
      </w:r>
      <w:r>
        <w:rPr>
          <w:rFonts w:ascii="Arial" w:cs="Arial" w:eastAsia="Arial" w:hAnsi="Arial"/>
          <w:sz w:val="15"/>
          <w:szCs w:val="15"/>
          <w:color w:val="auto"/>
        </w:rPr>
        <w:t>(</w:t>
      </w:r>
      <w:r>
        <w:rPr>
          <w:rFonts w:ascii="Arial" w:cs="Arial" w:eastAsia="Arial" w:hAnsi="Arial"/>
          <w:sz w:val="15"/>
          <w:szCs w:val="15"/>
          <w:i w:val="1"/>
          <w:iCs w:val="1"/>
          <w:color w:val="auto"/>
        </w:rPr>
        <w:t>ASU 2018-07</w:t>
      </w:r>
      <w:r>
        <w:rPr>
          <w:rFonts w:ascii="Arial" w:cs="Arial" w:eastAsia="Arial" w:hAnsi="Arial"/>
          <w:sz w:val="15"/>
          <w:szCs w:val="15"/>
          <w:color w:val="auto"/>
        </w:rPr>
        <w:t>), we historically re-measured the fair value of option grants to non-employees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as they vested and any resulting increase in value was recognized as an expense during the period over which the services were performed. Under ASU 2018-17, expense recognition for grants to non-employees follows the same methodology as for employees. Noncash expense attributable to compensatory grants of our common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in accordance with guidance provided by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to estimate the expected term as an input into the Black-Scholes option pricing model. We determine expected volatility using the historical method, which, because of the relatively limited period during which our stock has been publicly traded on a major exchange and its historically limited trading volume, is based on the historical daily trading data of the common stock of a peer group of public companies over the expected term of the option.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in Connection with Equity Financing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generally account for warrants issued in connection with equity financings as a component of equity, unless there is a deemed possibility that we may have to settle the warrants in cash or the warrants contain other features requiring them to be treated as liabilities. For warrants issued with the possibility of cash settlement or otherwise requiring liability treatment, we record the fair value of the issued warrants as a liability at each reporting period and record changes in the estimated fair value as noncash gain or loss in the Consolidated Statements of Operations and Comprehensive Loss.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6" w:name="page87"/>
    <w:bookmarkEnd w:id="8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3 to the Consolidated Financial Statements included in Item 8 in this Annual Report on Form 10-K for information on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Since inception, we have devoted substantial time and effort to developing AV-101 for multiple CNS indications, including manufacturing research, process development and production of AV-101 drug substance and finished drug product, preclinical efficacy and safety studies, and clinical efficacy and safety studies in CNS indications. In addition, beginning during our fiscal year ended March 31, 2019 (</w:t>
      </w:r>
      <w:r>
        <w:rPr>
          <w:rFonts w:ascii="Arial" w:cs="Arial" w:eastAsia="Arial" w:hAnsi="Arial"/>
          <w:sz w:val="16"/>
          <w:szCs w:val="16"/>
          <w:i w:val="1"/>
          <w:iCs w:val="1"/>
          <w:color w:val="auto"/>
        </w:rPr>
        <w:t>Fiscal 2019</w:t>
      </w:r>
      <w:r>
        <w:rPr>
          <w:rFonts w:ascii="Arial" w:cs="Arial" w:eastAsia="Arial" w:hAnsi="Arial"/>
          <w:sz w:val="16"/>
          <w:szCs w:val="16"/>
          <w:color w:val="auto"/>
        </w:rPr>
        <w:t>), we have devoted substantial resources focused on development and commercialization of PH94B and PH10, for which we are actively pursuing initiatives to advance manufacturing research, process development and production programs for drug substance and finished drug product, additional preclinical safety studies, and clinical efficacy and safety studies in multiple neuropsychiatry indications. Also, from-time-to-time, we have devoted resources to VistaStem’s stem cell technology research and development, bioassay development and small molecule drug rescue initiatives, as well as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stem cell technologies, with the corollary initiatives of recruiting and retaining personnel and raising working capital. As of March 31, 2020, we had an accumulated deficit of approximately $201.9 million. Our net loss for the fiscal year ended March 31, 2020 (</w:t>
      </w:r>
      <w:r>
        <w:rPr>
          <w:rFonts w:ascii="Arial" w:cs="Arial" w:eastAsia="Arial" w:hAnsi="Arial"/>
          <w:sz w:val="16"/>
          <w:szCs w:val="16"/>
          <w:i w:val="1"/>
          <w:iCs w:val="1"/>
          <w:color w:val="auto"/>
        </w:rPr>
        <w:t>Fiscal 2020</w:t>
      </w:r>
      <w:r>
        <w:rPr>
          <w:rFonts w:ascii="Arial" w:cs="Arial" w:eastAsia="Arial" w:hAnsi="Arial"/>
          <w:sz w:val="16"/>
          <w:szCs w:val="16"/>
          <w:color w:val="auto"/>
        </w:rPr>
        <w:t>) and Fiscal 2019 was approximately $20.8 million and $24.6 million, respectively. We expect losses to continue for the foreseeable future, primarily as we engage in further development of PH94B, PH10 and AV-101, execute our drug rescue programs and pursue potential drug development and regenerative medicine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Our Fiscal Year Ended March 31, 2020</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2020, we continued to advance our manufacturing, preclinical and clinical development, and regulatory initiatives necessary to develop and commercialize our CNS product Phase 3 clinical development of PH94B for SAD, PH10 for MDD and AV-101 for MDD and other NMDAR-focused indications. In addition, we continued to expand the regulatory and intellectual property foundation to support broad clinical development and, ultimately, commercialization of our product candidates in the U.S. and foreign markets, and on a limited basis, advance drug rescue applications of our stem cell technology to further expand our CNS pipeline.</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As discussed previously in </w:t>
      </w:r>
      <w:r>
        <w:rPr>
          <w:rFonts w:ascii="Arial" w:cs="Arial" w:eastAsia="Arial" w:hAnsi="Arial"/>
          <w:sz w:val="16"/>
          <w:szCs w:val="16"/>
          <w:i w:val="1"/>
          <w:iCs w:val="1"/>
          <w:color w:val="auto"/>
        </w:rPr>
        <w:t>Business Overview</w:t>
      </w:r>
      <w:r>
        <w:rPr>
          <w:rFonts w:ascii="Arial" w:cs="Arial" w:eastAsia="Arial" w:hAnsi="Arial"/>
          <w:sz w:val="16"/>
          <w:szCs w:val="16"/>
          <w:color w:val="auto"/>
        </w:rPr>
        <w:t>, during Fiscal 2020, we completed the Elevate Study of AV-101 in MDD. In December 2019, pursuant to our Material Transfer Cooperative Research and Development Agreement with the VA and our arrangements with Baylor, Baylor completed a successful Phase 1b target engagement study of AV-101 which involved dosing of healthy volunteer U.S. Military Veterans to define a dose-response relationship between AV-101 and relevant biomarkers related to NMDAR function and other biomarkers possibly related to suicidal ideation in U.S. Military Veterans.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33333"/>
        </w:rPr>
        <w:t xml:space="preserve">We continue to pursue </w:t>
      </w:r>
      <w:r>
        <w:rPr>
          <w:rFonts w:ascii="Arial" w:cs="Arial" w:eastAsia="Arial" w:hAnsi="Arial"/>
          <w:sz w:val="16"/>
          <w:szCs w:val="16"/>
          <w:color w:val="0E0E0E"/>
        </w:rPr>
        <w:t>initiatives to secure a broad portfolio of patent protection for our CNS product candidates that covers the treatment of multiple CNS</w:t>
      </w:r>
      <w:r>
        <w:rPr>
          <w:rFonts w:ascii="Arial" w:cs="Arial" w:eastAsia="Arial" w:hAnsi="Arial"/>
          <w:sz w:val="16"/>
          <w:szCs w:val="16"/>
          <w:color w:val="333333"/>
        </w:rPr>
        <w:t xml:space="preserve"> </w:t>
      </w:r>
      <w:r>
        <w:rPr>
          <w:rFonts w:ascii="Arial" w:cs="Arial" w:eastAsia="Arial" w:hAnsi="Arial"/>
          <w:sz w:val="16"/>
          <w:szCs w:val="16"/>
          <w:color w:val="0E0E0E"/>
        </w:rPr>
        <w:t>indications, chemical synthesis methods, and, for AV-101, unit dose formulations effective to treat depression and other CNS indications. With respect to CNS treatments, we obtained patents in several countries for the treatment of depression and we have recently received a Notice of Allowance from the U.S. Patent and Trademark Office for our patent application related to treatment of dyskinesia in Parkinson’s disease patients receiving levodopa therapy. For AV-101, we are also pursuing additional patent applications related to treatment of, among other NMDAR-focused indications, depression, epilepsy, neuropathic pain, obsessive-compulsive disorder, suicidal ideation and tinnitus. Additional patent applications for other aspects of prognostic testing and treatment using AV-101 are under consideration.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respect to financing activities in Fiscal 2020, subsequent to the completion of our underwritten public offering of common stock in February 2019, which generated $11.5 million in gross proceeds to us, we have completed or initiated the following:</w:t>
      </w:r>
    </w:p>
    <w:p>
      <w:pPr>
        <w:spacing w:after="0" w:line="186" w:lineRule="exact"/>
        <w:rPr>
          <w:sz w:val="20"/>
          <w:szCs w:val="20"/>
          <w:color w:val="auto"/>
        </w:rPr>
      </w:pPr>
    </w:p>
    <w:p>
      <w:pPr>
        <w:jc w:val="both"/>
        <w:ind w:left="980" w:hanging="324"/>
        <w:spacing w:after="0" w:line="294"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During the quarter ended December 31, 2019, we completed a self-directed private placement of units consisting of unregistered shares of our common stock and warrants to purchase unregistered shares of our common stock pursuant to which we received cash proceeds of $650,000, and a self-directed private placement of warrants to purchase unregistered shares of our common stock pursuant to which we received cash proceeds of $300,000. Additionally, we modified certain outstanding warrants issued in earlier completed private placement transactions to reduce their exercise price and certain holders exercised their modified warrants pursuant to which we received $410,000 in cash proceeds.</w:t>
      </w:r>
    </w:p>
    <w:p>
      <w:pPr>
        <w:sectPr>
          <w:pgSz w:w="11900" w:h="16838" w:orient="portrait"/>
          <w:cols w:equalWidth="0" w:num="1">
            <w:col w:w="11240"/>
          </w:cols>
          <w:pgMar w:left="320" w:top="131" w:right="3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7" w:name="page88"/>
    <w:bookmarkEnd w:id="8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980" w:hanging="324"/>
        <w:spacing w:after="0" w:line="259"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January 2020, we completed a self-placed registered direct public offering under our effective registration statement on Form S-3 and concurrent private placement of warrants to purchase shares of our common stock, pursuant to which we received approximately $2.7 million in cash proceeds</w:t>
      </w:r>
    </w:p>
    <w:p>
      <w:pPr>
        <w:spacing w:after="0" w:line="193" w:lineRule="exact"/>
        <w:rPr>
          <w:rFonts w:ascii="Arial" w:cs="Arial" w:eastAsia="Arial" w:hAnsi="Arial"/>
          <w:sz w:val="18"/>
          <w:szCs w:val="18"/>
          <w:color w:val="auto"/>
        </w:rPr>
      </w:pPr>
    </w:p>
    <w:p>
      <w:pPr>
        <w:jc w:val="both"/>
        <w:ind w:left="980" w:hanging="324"/>
        <w:spacing w:after="0" w:line="29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March 2020, we entered into a purchase agreement and a registration rights agreement with Lincoln Park Capital Fund (</w:t>
      </w:r>
      <w:r>
        <w:rPr>
          <w:rFonts w:ascii="Arial" w:cs="Arial" w:eastAsia="Arial" w:hAnsi="Arial"/>
          <w:sz w:val="16"/>
          <w:szCs w:val="16"/>
          <w:i w:val="1"/>
          <w:iCs w:val="1"/>
          <w:color w:val="auto"/>
        </w:rPr>
        <w:t>LPC</w:t>
      </w:r>
      <w:r>
        <w:rPr>
          <w:rFonts w:ascii="Arial" w:cs="Arial" w:eastAsia="Arial" w:hAnsi="Arial"/>
          <w:sz w:val="16"/>
          <w:szCs w:val="16"/>
          <w:color w:val="auto"/>
        </w:rPr>
        <w:t xml:space="preserve">) pursuant to which LPC committed to purchase up to $10,250,000 of our common stock at market-based prices over a period of 24 months (the </w:t>
      </w:r>
      <w:r>
        <w:rPr>
          <w:rFonts w:ascii="Arial" w:cs="Arial" w:eastAsia="Arial" w:hAnsi="Arial"/>
          <w:sz w:val="16"/>
          <w:szCs w:val="16"/>
          <w:i w:val="1"/>
          <w:iCs w:val="1"/>
          <w:color w:val="auto"/>
        </w:rPr>
        <w:t>LPC</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During March 2020, we sold 500,000 unregistered shares of our common stock to LPC under the purchase agreement at a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$0.50 per share for gross cash proceeds of $250,000. Subsequent to filing the registration statement required under the LPC Agreement and its effectiveness on April 14, 2020, through June 26, 2020, we have sold an additional 6,201,995 shares of our common stock to LPC pursuant to the LPC Agreement, resulting in the receipt of aggregate cash proceeds of $2,840,200..</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PH94B, PH10,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March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fiscal years ended March 31, 2020 and 2019 (amounts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Fiscal Year Ended March 31,</w:t>
            </w:r>
          </w:p>
        </w:tc>
      </w:tr>
      <w:tr>
        <w:trPr>
          <w:trHeight w:val="250"/>
        </w:trPr>
        <w:tc>
          <w:tcPr>
            <w:tcW w:w="60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485"/>
        </w:trPr>
        <w:tc>
          <w:tcPr>
            <w:tcW w:w="6020" w:type="dxa"/>
            <w:vAlign w:val="bottom"/>
          </w:tcPr>
          <w:p>
            <w:pPr>
              <w:spacing w:after="0"/>
              <w:rPr>
                <w:sz w:val="20"/>
                <w:szCs w:val="20"/>
                <w:color w:val="auto"/>
              </w:rPr>
            </w:pPr>
            <w:r>
              <w:rPr>
                <w:rFonts w:ascii="Arial" w:cs="Arial" w:eastAsia="Arial" w:hAnsi="Arial"/>
                <w:sz w:val="18"/>
                <w:szCs w:val="18"/>
                <w:color w:val="auto"/>
              </w:rPr>
              <w:t>Operating expenses:</w:t>
            </w: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17,098</w:t>
            </w:r>
          </w:p>
        </w:tc>
      </w:tr>
      <w:tr>
        <w:trPr>
          <w:trHeight w:val="216"/>
        </w:trPr>
        <w:tc>
          <w:tcPr>
            <w:tcW w:w="60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7,458</w:t>
            </w:r>
          </w:p>
        </w:tc>
      </w:tr>
      <w:tr>
        <w:trPr>
          <w:trHeight w:val="27"/>
        </w:trPr>
        <w:tc>
          <w:tcPr>
            <w:tcW w:w="60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24,556</w:t>
            </w:r>
          </w:p>
        </w:tc>
      </w:tr>
      <w:tr>
        <w:trPr>
          <w:trHeight w:val="216"/>
        </w:trPr>
        <w:tc>
          <w:tcPr>
            <w:tcW w:w="60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(24,556)</w:t>
            </w:r>
          </w:p>
        </w:tc>
      </w:tr>
      <w:tr>
        <w:trPr>
          <w:trHeight w:val="216"/>
        </w:trPr>
        <w:tc>
          <w:tcPr>
            <w:tcW w:w="6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Loss on extinguishment of accounts payable</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60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(20,771)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(24,587)</w:t>
            </w:r>
          </w:p>
        </w:tc>
      </w:tr>
      <w:tr>
        <w:trPr>
          <w:trHeight w:val="223"/>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602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(24,589)</w:t>
            </w:r>
          </w:p>
        </w:tc>
      </w:tr>
      <w:tr>
        <w:trPr>
          <w:trHeight w:val="216"/>
        </w:trPr>
        <w:tc>
          <w:tcPr>
            <w:tcW w:w="6020" w:type="dxa"/>
            <w:vAlign w:val="bottom"/>
          </w:tcPr>
          <w:p>
            <w:pPr>
              <w:ind w:left="80"/>
              <w:spacing w:after="0"/>
              <w:rPr>
                <w:sz w:val="20"/>
                <w:szCs w:val="20"/>
                <w:color w:val="auto"/>
              </w:rPr>
            </w:pPr>
            <w:r>
              <w:rPr>
                <w:rFonts w:ascii="Arial" w:cs="Arial" w:eastAsia="Arial" w:hAnsi="Arial"/>
                <w:sz w:val="18"/>
                <w:szCs w:val="18"/>
                <w:color w:val="auto"/>
              </w:rPr>
              <w:t>Accrued dividend on Series B Preferred Stock</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(1,140)</w:t>
            </w:r>
          </w:p>
        </w:tc>
      </w:tr>
      <w:tr>
        <w:trPr>
          <w:trHeight w:val="27"/>
        </w:trPr>
        <w:tc>
          <w:tcPr>
            <w:tcW w:w="60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6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(22,038)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(25,729)</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reported no revenue for either Fiscal 2020 or Fiscal 2019 and, through March 31, 2020, we have no recurring revenue generating arrangements, including arrangements with respect to PH94B, PH10, AV-101 or other potential product candidates. While we may potentially receive payments or royalties in the future under our December 2016 Bayer Agreement or our June 2020 EverInsight Agreement with respect to PH94B, in the event certain performance-based milestones and commercial sales are achieved, there can be no assurance that either agreement will provide revenue to us in the near term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expense decreased to approximately $13.4 million for Fiscal 2020 compared to approximately $17.1 million in Fiscal 2019. The Fiscal 2019 acquisition of the PH94B license and the PH10 option and license through the issuance of our common stock, which resulted in an aggregate of $4.25 million of noncash expense, primarily accounts for the decrease. The absence of the license acquisition expense in FY 2020 was partially offset by cash expenses attributable to nonclinical activities, including manufacturing, and regulatory activities supporting the continuing development of PH94B for SAD and PH10 for MDD, as well as the completion of the Elevate Study and various AV-101 nonclinical activities, including manufacturing additional quantities of AV-101 and other developmental studies. Other noncash expenses included in research and development expense (excluding the noncash PH94B and PH10 license and option acquisition in Fiscal 2019), primarily stock compensation and lab equipment depreciation, accounted for approximately $1.4 million in both Fiscal 2020 and Fiscal 2019.</w:t>
      </w:r>
    </w:p>
    <w:p>
      <w:pPr>
        <w:sectPr>
          <w:pgSz w:w="11900" w:h="16838" w:orient="portrait"/>
          <w:cols w:equalWidth="0" w:num="1">
            <w:col w:w="11240"/>
          </w:cols>
          <w:pgMar w:left="320" w:top="13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8" w:name="page89"/>
    <w:bookmarkEnd w:id="8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primary components of research and development expense for each of the periods (amounts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7"/>
              </w:rPr>
              <w:t>Fiscal Years Ended March 31,</w:t>
            </w:r>
          </w:p>
        </w:tc>
      </w:tr>
      <w:tr>
        <w:trPr>
          <w:trHeight w:val="250"/>
        </w:trPr>
        <w:tc>
          <w:tcPr>
            <w:tcW w:w="59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59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1,259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licenses and supplies: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Elevate study and other AV-101 expenses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8,126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PH94B and PH10 project expenses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PH94B and PH10 licenses and option</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4,250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Stem cell and all other</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r>
      <w:tr>
        <w:trPr>
          <w:trHeight w:val="27"/>
        </w:trPr>
        <w:tc>
          <w:tcPr>
            <w:tcW w:w="598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12,727</w:t>
            </w:r>
          </w:p>
        </w:tc>
      </w:tr>
      <w:tr>
        <w:trPr>
          <w:trHeight w:val="27"/>
        </w:trPr>
        <w:tc>
          <w:tcPr>
            <w:tcW w:w="59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r>
      <w:tr>
        <w:trPr>
          <w:trHeight w:val="216"/>
        </w:trPr>
        <w:tc>
          <w:tcPr>
            <w:tcW w:w="5980" w:type="dxa"/>
            <w:vAlign w:val="bottom"/>
            <w:tcBorders>
              <w:top w:val="single" w:sz="8" w:color="CCEEFF"/>
            </w:tcBorders>
          </w:tcPr>
          <w:p>
            <w:pPr>
              <w:spacing w:after="0"/>
              <w:rPr>
                <w:sz w:val="18"/>
                <w:szCs w:val="18"/>
                <w:color w:val="auto"/>
              </w:rPr>
            </w:pPr>
          </w:p>
        </w:tc>
        <w:tc>
          <w:tcPr>
            <w:tcW w:w="27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7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Salaries and benefits expense reported for Fiscal 2019 includes a total of approximately $319,000 for bonus payments made to our Chief Medical Officer (</w:t>
      </w:r>
      <w:r>
        <w:rPr>
          <w:rFonts w:ascii="Arial" w:cs="Arial" w:eastAsia="Arial" w:hAnsi="Arial"/>
          <w:sz w:val="16"/>
          <w:szCs w:val="16"/>
          <w:i w:val="1"/>
          <w:iCs w:val="1"/>
          <w:color w:val="auto"/>
        </w:rPr>
        <w:t>CMO</w:t>
      </w:r>
      <w:r>
        <w:rPr>
          <w:rFonts w:ascii="Arial" w:cs="Arial" w:eastAsia="Arial" w:hAnsi="Arial"/>
          <w:sz w:val="16"/>
          <w:szCs w:val="16"/>
          <w:color w:val="auto"/>
        </w:rPr>
        <w:t>),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and members of our scientific staff during the second quarter of Fiscal 2019 based on achievement of goals and objectives for our fiscal year ended March 31, 2018, which bonus payments had not been accrued at March 31, 2018, plus the Fiscal 2019 accrual of approximately $192,000 for bonuses attributable to Fiscal 2019 goals and objectives that were accrued during Fiscal 2019. No accrual has been made for officer or staff bonus payments attributable to Fiscal 2020. Partially offsetting the absence of bonus expense in Fiscal 2020 is the impact of modest salary increases granted to our CMO, CSO and members of our scientific staff effective in April 2019.</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Noncash stock-based compensation expense varied only slightly between Fiscal 2020 and Fiscal 2019. Stock-based compensation expense reflects the amortization of option grants made to our CSO, CMO, scientific staff and certain consultants since June 2016, all earlier outstanding grants having become fully vested and amortized. Grants awarded after March 31, 2019 account for approximately $331,000 of expense in Fiscal 2020, partially offset by the impact of certain November 2016, September 2017 and February 2018 grants that became fully vested and amortized during Fiscal 2020. Additionally, grants made during Fiscal 2019 reflect a full year of expense amortization in Fiscal 2020 versus a partial year of expense recorded in Fiscal 2019. Stock-based compensation expense for Fiscal 2019 reflected the modification in August 2018 of outstanding options held by our CMO, CSO and members of our scientific staff having exercise prices over $1.56 per share to reduce the exercise price to $1.50 per share, resulting in the immediate recognition of $104,000 attributable to the modification. Expense attributable to recent option grants is generally being amortized over two-year to three-year vesting periods, with one-quarter of the grants made in August 2018, May 2019, during the quarter ended December 31, 2019 and in January 2020 being immediately vested and expensed upon grant, in accordance with the terms of the respective grants.</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Consulting services reflects fees incurred for project-based scientific, nonclinical and clinical development and regulatory advisory services rendered to us by third parties, generally, in Fiscal 2019, by members of our Scientific Advisory Board and CNS Clinical and Regulatory Advisory Board. The increase in Fiscal 2020 expense primarily reflects consulting and analytical services in support of our PH94B and PH10 initiatives.</w:t>
      </w:r>
    </w:p>
    <w:p>
      <w:pPr>
        <w:spacing w:after="0" w:line="16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Technology license expense reflects both recurring annual license fees, as well as legal counsel and other costs related to patent prosecution and protection pursuant to our stem cell technology license agreements, our AV-101 patents, or that we have elected to pursue for commercial purposes.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 project expense for each of the periods presented primarily reflects the costs of conducting the Elevate Study in MDD, including various CRO, investigator and clinical site costs, as well as expense incurred to manufacture additional quantities of AV-101 for potential future clinical development of AV-101 in a number of potential CNS indications.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Expenses for Fiscal 2020 related to PH94B and PH10 primarily reflect manufacturing and regulatory initiatives necessary to facilitate pivotal Phase 3 clinical development of PH94B for SAD and to facilitate Phase 2 development of PH10 for MDD. As disclosed earlier, noncash expense of $4.25 million in 2018 related to the acquisition of the PH94B license and the PH10 option and license and represents the fair value of an aggregate of 2,556,361 unregistered shares of our common stock issued to Pherin in September and October 2018 under the terms of the license and option agreements.</w:t>
      </w:r>
    </w:p>
    <w:p>
      <w:pPr>
        <w:sectPr>
          <w:pgSz w:w="11900" w:h="16838" w:orient="portrait"/>
          <w:cols w:equalWidth="0" w:num="1">
            <w:col w:w="11240"/>
          </w:cols>
          <w:pgMar w:left="320" w:top="131"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89" w:name="page90"/>
    <w:bookmarkEnd w:id="8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Stem cell and other project related expenses reflects costs associated with drug rescue applications of our stem cell technology in both years.</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15, </w:t>
      </w:r>
      <w:r>
        <w:rPr>
          <w:rFonts w:ascii="Arial" w:cs="Arial" w:eastAsia="Arial" w:hAnsi="Arial"/>
          <w:sz w:val="16"/>
          <w:szCs w:val="16"/>
          <w:i w:val="1"/>
          <w:iCs w:val="1"/>
          <w:color w:val="auto"/>
        </w:rPr>
        <w:t>Commitments, Contingencies,</w:t>
      </w:r>
      <w:r>
        <w:rPr>
          <w:rFonts w:ascii="Arial" w:cs="Arial" w:eastAsia="Arial" w:hAnsi="Arial"/>
          <w:sz w:val="16"/>
          <w:szCs w:val="16"/>
          <w:color w:val="auto"/>
        </w:rPr>
        <w:t xml:space="preserve"> </w:t>
      </w:r>
      <w:r>
        <w:rPr>
          <w:rFonts w:ascii="Arial" w:cs="Arial" w:eastAsia="Arial" w:hAnsi="Arial"/>
          <w:sz w:val="16"/>
          <w:szCs w:val="16"/>
          <w:i w:val="1"/>
          <w:iCs w:val="1"/>
          <w:color w:val="auto"/>
        </w:rPr>
        <w:t>Guarantees and Indemnifications</w:t>
      </w:r>
      <w:r>
        <w:rPr>
          <w:rFonts w:ascii="Arial" w:cs="Arial" w:eastAsia="Arial" w:hAnsi="Arial"/>
          <w:sz w:val="16"/>
          <w:szCs w:val="16"/>
          <w:color w:val="auto"/>
        </w:rPr>
        <w:t>, in the accompanying Consolidated Financial Statements in Item 8, Part II of this Annual Report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w:t>
      </w:r>
      <w:r>
        <w:rPr>
          <w:rFonts w:ascii="Arial" w:cs="Arial" w:eastAsia="Arial" w:hAnsi="Arial"/>
          <w:sz w:val="18"/>
          <w:szCs w:val="18"/>
          <w:i w:val="1"/>
          <w:iCs w:val="1"/>
          <w:color w:val="auto"/>
        </w:rPr>
        <w:t>G&amp;A</w:t>
      </w:r>
      <w:r>
        <w:rPr>
          <w:rFonts w:ascii="Arial" w:cs="Arial" w:eastAsia="Arial" w:hAnsi="Arial"/>
          <w:sz w:val="18"/>
          <w:szCs w:val="18"/>
          <w:color w:val="auto"/>
        </w:rPr>
        <w:t>) expense was essentially flat at $7.4 million in Fiscal 2020, compared to $7.5 million in Fiscal 2019. Increased noncash stock compensation and warrant modification expenses were generally offset by decreases in cash based salaries and benefits and investor and public relations expenses. Noncash G&amp;A expense accounted for approximately $3,543,000 and $2,622,000 in Fiscal 2020 and Fiscal 2019, respectively. Such noncash expenses included, in both periods, stock compensation expense, a portion of investor and public relations expense, a portion of rent expense, and warrant modification expense. The following table indicates the primary components of general and administrative expense for each of the periods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7"/>
              </w:rPr>
              <w:t>Fiscal Years Ended March 31,</w:t>
            </w:r>
          </w:p>
        </w:tc>
      </w:tr>
      <w:tr>
        <w:trPr>
          <w:trHeight w:val="250"/>
        </w:trPr>
        <w:tc>
          <w:tcPr>
            <w:tcW w:w="8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2,184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 and utilities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All other expenses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7,427</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7,458</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Salaries and benefits expense reported for Fiscal 2019 includes a total of approximately $435,000 for bonus payments made to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Vice President-Corporate Development (</w:t>
      </w:r>
      <w:r>
        <w:rPr>
          <w:rFonts w:ascii="Arial" w:cs="Arial" w:eastAsia="Arial" w:hAnsi="Arial"/>
          <w:sz w:val="16"/>
          <w:szCs w:val="16"/>
          <w:i w:val="1"/>
          <w:iCs w:val="1"/>
          <w:color w:val="auto"/>
        </w:rPr>
        <w:t>VP-Corporate Development</w:t>
      </w:r>
      <w:r>
        <w:rPr>
          <w:rFonts w:ascii="Arial" w:cs="Arial" w:eastAsia="Arial" w:hAnsi="Arial"/>
          <w:sz w:val="16"/>
          <w:szCs w:val="16"/>
          <w:color w:val="auto"/>
        </w:rPr>
        <w:t>) and a non-officer member of our administrative staff during the second quarter of Fiscal 2019 based on achievement of goals and objectives for our fiscal year ended March 31, 2018, which bonus payments had not been accrued at March 31, 2018, plus the Fiscal 2019 accrual of approximately $247,000 for bonuses attributable to Fiscal 2019 goals and objectives that were accrued during Fiscal 2019. No accrual has been made for officer or staff bonus payments attributable to Fiscal 2020. Partially offsetting the absence of bonus expense in Fiscal 2020 is the impact of modest salary increases granted to our CEO, CFO, and VP-Corporate Development effective in April 2019.</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Fiscal 2020 noncash stock-based compensation expense reflects the amortization of option grants made to our CEO, CFO, VP-Corporate Development, administrative personnel, independent members of our Board and certain consultants since June 2016, all earlier outstanding grants having become fully vested and amortized. Grants awarded after March 31, 2019 account for approximately $872,000 of expense in Fiscal 2020, partially offset by the impact of certain November 2016, September 2017 and February 2018 grants that became fully vested and amortized during Fiscal 2020, reducing expense by approximately $292,000 compared to Fiscal 2019. Additionally, grants made during Fiscal 2019 reflect a full year of expense amortization in Fiscal 2020 versus a partial year of expense recorded in Fiscal 2019. Stock-based compensation expense for Fiscal 2019 reflected the modification in August 2018 of outstanding options held by our CEO, CFO, VP-Corporate Development and administrative staff having exercise prices over $1.56 per share to reduce the exercise price to $1.50 per share, resulting in the immediate recognition of $154,000 attributable to the modification. Expense attributable to recent option grants is generally being amortized over two-year to three-year vesting periods, with one-quarter of the grants made in August 2018, May 2019, during the quarter ended December 31, 2019 and in January 2020 being immediately vested and expensed upon grant, in accordance with the terms of the respective grants.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fees represents fees paid as consideration for Board and Board Committee services to the independent members of our Board. The Fiscal 2020 increase reflects the impact of the addition of a new independent member to our Board in January 2019.</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Legal, accounting and other professional fees for Fiscal 2020 and Fiscal 2019 includes expense related to routine legal fees as well as the accounting expense related to the annual audit of the prior year’s financial statements and the reviews of the quarterly financial statements for the then-current fiscal year. In Fiscal 2020 and Fiscal 2019, we also incurred $101,000 and $95,000, respectively, attributable to services provided by international business development consultants.</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and public relations services, and well as market awareness and strategic advisory and support functions and initiatives that included numerous meetings in multiple U.S. and foreign markets and other communication activities focused on expanding global market awareness of the Company, its CNS product candidate pipeline and technologies and its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 During Fiscal 2020, in addition to cash fees and expenses we incurred for such activities, we recognized approximately $106,000 of noncash expense attributable to the amortization of the fair value of stock and warrants granted in the prior fiscal year to various corporate development, investor relations, and market awareness service providers. During Fiscal 2019, in addition to cash fees and expenses, we granted: (i) in the first quarter, an aggregate of 100,000 unregistered shares of our common stock to certain financial advisory service providers as full or partial compensation for their services and recognized noncash expense of approximately $123,000 representing the fair value of the stock at the time of issuance; (ii) in the second quarter, an aggregate of 50,000 unregistered shares of our common stock and four-year warrants to purchase an aggregate of 288,000 unregistered shares of our common stock having an aggregate fair value of approximately $336,000 to various corporate development, investor relations, and market awareness service providers, pursuant to which we recognized aggregate noncash expense of approximately $257,000; and (iii) in the fourth quarter, 25,000 registered shares of our common stock pursuant to our 2016 Amended and Restated Stock Incentive Plan having a fair value of $41,500 as partial compensation for investor relations services, pursuant to which we recognized noncash expense of approximately $14,000. The balance of the fair value of the securities granted in the second and fourth quarters of Fiscal 2019 was recorded as a prepaid expense at March 31, 2019 and was amortized over the remaining service period of the respective contracts during Fiscal 2020.</w:t>
      </w:r>
    </w:p>
    <w:p>
      <w:pPr>
        <w:spacing w:after="0" w:line="18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both periods, travel expense reflects costs associated with management presentations and meetings held in multiple U.S. and international markets with both existing and potential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15, </w:t>
      </w:r>
      <w:r>
        <w:rPr>
          <w:rFonts w:ascii="Arial" w:cs="Arial" w:eastAsia="Arial" w:hAnsi="Arial"/>
          <w:sz w:val="16"/>
          <w:szCs w:val="16"/>
          <w:i w:val="1"/>
          <w:iCs w:val="1"/>
          <w:color w:val="auto"/>
        </w:rPr>
        <w:t>Commitments, Contingencies,</w:t>
      </w:r>
      <w:r>
        <w:rPr>
          <w:rFonts w:ascii="Arial" w:cs="Arial" w:eastAsia="Arial" w:hAnsi="Arial"/>
          <w:sz w:val="16"/>
          <w:szCs w:val="16"/>
          <w:color w:val="auto"/>
        </w:rPr>
        <w:t xml:space="preserve"> </w:t>
      </w:r>
      <w:r>
        <w:rPr>
          <w:rFonts w:ascii="Arial" w:cs="Arial" w:eastAsia="Arial" w:hAnsi="Arial"/>
          <w:sz w:val="16"/>
          <w:szCs w:val="16"/>
          <w:i w:val="1"/>
          <w:iCs w:val="1"/>
          <w:color w:val="auto"/>
        </w:rPr>
        <w:t>Guarantees and Indemnifications</w:t>
      </w:r>
      <w:r>
        <w:rPr>
          <w:rFonts w:ascii="Arial" w:cs="Arial" w:eastAsia="Arial" w:hAnsi="Arial"/>
          <w:sz w:val="16"/>
          <w:szCs w:val="16"/>
          <w:color w:val="auto"/>
        </w:rPr>
        <w:t>, in the accompanying Consolidated Financial Statements in Item 8, Part II of this Annual Report for additional information.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third quarter of Fiscal 2020, we completed the Winter 2019 Warrant Modification during which we modified outstanding warrants issued in connection with earlier completed private placements, including warrants issued in the Fall 2019 Private Placement, to purchase an aggregate of approximately 6.6 million unregistered shares of our common stock to temporarily reduce, for a period of two years or until the expiration of the warrant, if sooner, the exercise price of such warrants to $0.50 per share, in order to more closely align the exercise price of the warrants with the trading price of our common stock at such time. Following the two-year period during which the exercise price is reduced, the exercise price will revert to its pre-modification price. We determined that the Winter 2019 Warrant Modification increased the fair value of the warrants by $702,500, which we recognized as noncash warrant modification expense.</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Additionally, during the third quarter of Fiscal 2020, we issued Additional Warrants to purchase an aggregate of 325,000 additional shares of our common stock to the participants in the Fall 2019 Private Placement to increase the number of unregistered shares of common stock issuable upon exercise of the warrants from 50% to 100%. The Additional Warrants are immediately exercisable through March 31, 2024 at an exercise price of $0.50 per share. We determined that the fair value of the Additional Warrants was $88,800, which we also recognized as noncash warrant modification expense.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Further, during the third quarter of Fiscal 2020, we completed the December 19, 2019 Warrant Modification, during which we modified outstanding warrants previously issued as a part of a completed private placement to purchase a total of 80,431 shares of our unregistered common stock to permanently reduce the exercise price of such warrants to $0.805 per share and to extend the term of such warrants through December 31, 2022, in order to more closely align the exercise price of the warrants with the current trading price of our common stock and to provide additional time for the holders to exercise the warrants. We determined that the December 19, 2019 Warrant Modification increased the fair value of the warrants by $35,600, which we recognized as noncash warrant modification expense. Total noncash warrant modification expense for Fiscal 2020 was $826,900. Refer to Note 9, </w:t>
      </w:r>
      <w:r>
        <w:rPr>
          <w:rFonts w:ascii="Arial" w:cs="Arial" w:eastAsia="Arial" w:hAnsi="Arial"/>
          <w:sz w:val="16"/>
          <w:szCs w:val="16"/>
          <w:i w:val="1"/>
          <w:iCs w:val="1"/>
          <w:color w:val="auto"/>
        </w:rPr>
        <w:t>Capital Stock</w:t>
      </w:r>
      <w:r>
        <w:rPr>
          <w:rFonts w:ascii="Arial" w:cs="Arial" w:eastAsia="Arial" w:hAnsi="Arial"/>
          <w:sz w:val="16"/>
          <w:szCs w:val="16"/>
          <w:color w:val="auto"/>
        </w:rPr>
        <w:t>, in the accompanying Consolidated Financial Statements in Item 8, Part II of this Annual Report for additional information.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2020, we modified certain warrants issued in the Summer 2018 Private Placement to comply with certain provisions of The Nasdaq Stock Market Rules applicable to the private placement by increasing the exercise price of such warrants to purchase an aggregate of 304,000 shares of our common stock from $1.50 per share to $1.59 per share or $1.69 per share, depending on the effective date of the related subscription agreement. As additional consideration for the modification, we granted the investors additional warrants to purchase an aggregate of 23,800 unregistered shares of our common stock at an exercise price of $1.75 per share through February 28, 2022. We determined that the modification decreased the fair value of the modified warrants, which decrease is not recognized; however, the fair value of the new warrants was determined to be $25,800, which we recognized as noncash warrant modification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Interest income, net of interest expense, totaled $30,100 for Fiscal 2020, compared to interest expense of $8,000 for Fiscal 2019. The following table indicates the primary components of interest income and expense for each of the periods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56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1"/>
              </w:rPr>
              <w:t>Fiscal Years Ended March 31,</w:t>
            </w:r>
          </w:p>
        </w:tc>
      </w:tr>
      <w:tr>
        <w:trPr>
          <w:trHeight w:val="250"/>
        </w:trPr>
        <w:tc>
          <w:tcPr>
            <w:tcW w:w="868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8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45</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Interest expense on financing leases and insurance premium financing</w:t>
            </w:r>
          </w:p>
        </w:tc>
        <w:tc>
          <w:tcPr>
            <w:tcW w:w="780" w:type="dxa"/>
            <w:vAlign w:val="bottom"/>
          </w:tcPr>
          <w:p>
            <w:pPr>
              <w:spacing w:after="0"/>
              <w:rPr>
                <w:sz w:val="19"/>
                <w:szCs w:val="19"/>
                <w:color w:val="auto"/>
              </w:rPr>
            </w:pPr>
          </w:p>
        </w:tc>
        <w:tc>
          <w:tcPr>
            <w:tcW w:w="48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16"/>
        </w:trPr>
        <w:tc>
          <w:tcPr>
            <w:tcW w:w="86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300" w:type="dxa"/>
            <w:vAlign w:val="bottom"/>
          </w:tcPr>
          <w:p>
            <w:pPr>
              <w:jc w:val="center"/>
              <w:ind w:left="52"/>
              <w:spacing w:after="0"/>
              <w:rPr>
                <w:sz w:val="20"/>
                <w:szCs w:val="20"/>
                <w:color w:val="auto"/>
              </w:rPr>
            </w:pPr>
            <w:r>
              <w:rPr>
                <w:rFonts w:ascii="Arial" w:cs="Arial" w:eastAsia="Arial" w:hAnsi="Arial"/>
                <w:sz w:val="18"/>
                <w:szCs w:val="18"/>
                <w:color w:val="auto"/>
                <w:w w:val="79"/>
              </w:rPr>
              <w:t>30</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1"/>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completion of our underwritten public offering in February 2019, which generated $11.5 million in gross proceeds to us, during the quarter ended June 30, 2019, we deposited a portion of the proceeds in an interest-bearing cash equivalent account and earned interest income. Interest expense in both periods relates primarily to interest paid on insurance premium financing notes and on a lease of office equipment treated as a capitalized lease in Fiscal 2019 and as a financing lease subject to ASC 842 in Fiscal 2020.</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Fiscal 2019, in connection with a private placement, we settled an outstanding professional service payable by accepting a subscription agreement in the amount of $40,000 and issuing the corresponding number of shares of common stock and warrants. The fair value of the common stock and warrant issued in settlement of the payable was determined to be $62,700 on the effective date of the agreement. Accordingly, we recognized a loss on extinguishment of accounts payable in the amount of $22,700 in Fiscal 2019.</w:t>
      </w:r>
    </w:p>
    <w:p>
      <w:pPr>
        <w:spacing w:after="0" w:line="197"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We recognized $1,263,600 and $1,139,900 in Fiscal 2020 and Fiscal 2019, respectively, representing the 10% cumulative noncash dividend payable on our Series B Preferred as an additional deduction in arriving at net loss attributable to common stockholders in the Consolidated Statement of Operations and Comprehensive Loss included in Item 8, Part II of this Annual Report. The dividends are payable in unregistered shares of our common stock upon the conversion of Series B Preferred shares. There have been no conversions of outstanding shares of Series B Preferred into common shares since August 2016.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March 31, 2020, we have financed our operations and technology acquisitions primarily through the issuance and sale of our equity and debt securities for cash proceeds of approximately $83.3 million, as well as from an aggregate of approximately $17.7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At March 31, 2020, we had cash and cash equivalents of approximately $1.4 million. As more completely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in the accompanying Consolidated Financial Statements included in Part II, Item 8 of this Annual Report, on March 24, 2020, we entered into the LPC Agreement and a registration rights agreement with Lincoln Park pursuant to which Lincoln Park committed to purchase up to $10,250,000 of our common stock at market-based prices over a period of 24 months. On March 24, 2020, we sold 500,000 shares of our common stock to Lincoln Park under at a price of $0.50 per share for cash proceeds of $250,000 (the </w:t>
      </w:r>
      <w:r>
        <w:rPr>
          <w:rFonts w:ascii="Arial" w:cs="Arial" w:eastAsia="Arial" w:hAnsi="Arial"/>
          <w:sz w:val="16"/>
          <w:szCs w:val="16"/>
          <w:i w:val="1"/>
          <w:iCs w:val="1"/>
          <w:color w:val="auto"/>
        </w:rPr>
        <w:t>Initial Purchase</w:t>
      </w:r>
      <w:r>
        <w:rPr>
          <w:rFonts w:ascii="Arial" w:cs="Arial" w:eastAsia="Arial" w:hAnsi="Arial"/>
          <w:sz w:val="16"/>
          <w:szCs w:val="16"/>
          <w:color w:val="auto"/>
        </w:rPr>
        <w:t xml:space="preserve">). To satisfy our obligations under the registration rights agreement, we filed a Registration Statement on Form S-1 (the </w:t>
      </w:r>
      <w:r>
        <w:rPr>
          <w:rFonts w:ascii="Arial" w:cs="Arial" w:eastAsia="Arial" w:hAnsi="Arial"/>
          <w:sz w:val="16"/>
          <w:szCs w:val="16"/>
          <w:i w:val="1"/>
          <w:iCs w:val="1"/>
          <w:color w:val="auto"/>
        </w:rPr>
        <w:t>LPC Registration Statement</w:t>
      </w:r>
      <w:r>
        <w:rPr>
          <w:rFonts w:ascii="Arial" w:cs="Arial" w:eastAsia="Arial" w:hAnsi="Arial"/>
          <w:sz w:val="16"/>
          <w:szCs w:val="16"/>
          <w:color w:val="auto"/>
        </w:rPr>
        <w:t xml:space="preserve">) with the SEC on March 31, 2020, which the SEC declared effective on April 14, 2020 (Registration No. 333-237514). Subsequent to the effectiveness of the LPC Registration Statement, which included the shares issued in the Initial Purchase, through June 26, 2020, we have sold an additional 6,201,995 registered shares of our common stock and have received aggregate cash proceeds of $2,840,200. Additionally, in April 2020, in a self-directed private placement, we sold to an accredited investor units to purchase an aggregate of 125,000 unregistered shares of our common stock and four-year warrants to purchase 125,000 shares of our common stock at an exercise price of $0.50 per share and we received cash proceeds of $50,000 (the </w:t>
      </w:r>
      <w:r>
        <w:rPr>
          <w:rFonts w:ascii="Arial" w:cs="Arial" w:eastAsia="Arial" w:hAnsi="Arial"/>
          <w:sz w:val="16"/>
          <w:szCs w:val="16"/>
          <w:i w:val="1"/>
          <w:iCs w:val="1"/>
          <w:color w:val="auto"/>
        </w:rPr>
        <w:t>Spring 2020 Private Placement</w:t>
      </w:r>
      <w:r>
        <w:rPr>
          <w:rFonts w:ascii="Arial" w:cs="Arial" w:eastAsia="Arial" w:hAnsi="Arial"/>
          <w:sz w:val="16"/>
          <w:szCs w:val="16"/>
          <w:color w:val="auto"/>
        </w:rPr>
        <w:t>).</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Nevertheless, in the absence of additional financing from the sale of our securities, government research grant awards, strategic collaboration payments, intellectual property licensing or other sources, we believe that our cash position at March 31, 2020, together with the proceeds from the LPC Agreement received to date, the Spring 2020 Private Placement and the net cash receipt of approximately $4.475 million from the upfront payment we expect to receive pursuant to the EverInsight Agreeement, will not be sufficient to fund our planned operations for the twelve months following the issuance of these financial statements and raises substantial doubt that we can continue as a going concern. During the next twelve months, subject to securing appropriate and adequate financing, we plan to prepare for and launch a Phase 2a study of PH94B for treatment of adjustment disorder with anxiety due to stressors related to the COVID-19 pandemic, a Phase 3 clinical trial of PH94B for SAD, prepare for a Phase 2b clinical study and certain nonclinical studies involving PH10, PH94B and AV-101 and prepare for and potentially launch a Phase 2b clinical trial of PH10 for MDD. When necessary and advantageous, we plan to raise additional capital, through the sale of our equity securities in one or more (i) private placements to accredited investors, (i) public offerings and/or (ii) in strategic licensing and development collaborations involving one or more of our drug candidates in markets outside the United States. Subject to certain restrictions, our Registration Statement on Form S-3 (Registration No. 333-234025)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which became effective on October 7, 2019, is available for future sales of our equity securities in one or more public offerings from time to time. While we may make additional sales of our equity securities under the S-3 Registration Statement, we do not have an obligation to do so.</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and institutions. In addition to the potential sale of our equity securities, we may also seek to enter research, development and/or commercialization collaborations that could generate revenue or provide funding, including non-dilutive funding, for development of one or more of our CNS product candidates. We may also seek additional government grant awards or agreements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39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during 2020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Consolidated Financial Statements do not include any adjustments that might result from the negative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2"/>
        </w:trPr>
        <w:tc>
          <w:tcPr>
            <w:tcW w:w="868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797"/>
        </w:trPr>
        <w:tc>
          <w:tcPr>
            <w:tcW w:w="8680" w:type="dxa"/>
            <w:vAlign w:val="bottom"/>
          </w:tcPr>
          <w:p>
            <w:pPr>
              <w:spacing w:after="0"/>
              <w:rPr>
                <w:sz w:val="20"/>
                <w:szCs w:val="20"/>
                <w:color w:val="auto"/>
              </w:rPr>
            </w:pPr>
            <w:r>
              <w:rPr>
                <w:rFonts w:ascii="Arial" w:cs="Arial" w:eastAsia="Arial" w:hAnsi="Arial"/>
                <w:sz w:val="18"/>
                <w:szCs w:val="18"/>
                <w:i w:val="1"/>
                <w:iCs w:val="1"/>
                <w:color w:val="auto"/>
              </w:rPr>
              <w:t>Cash and Cash Equivalents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8"/>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7"/>
              </w:rPr>
              <w:t>Fiscal Years Ended March 31,</w:t>
            </w:r>
          </w:p>
        </w:tc>
      </w:tr>
      <w:tr>
        <w:trPr>
          <w:trHeight w:val="250"/>
        </w:trPr>
        <w:tc>
          <w:tcPr>
            <w:tcW w:w="86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(15,757)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(14,528)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17,424</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2,722</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10,378</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13,100</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increase in cash used in operations results primarily from the conduct of our Elevate Study, which commenced at the end of the fourth quarter of our fiscal year ended March 31, 2018 and continued through the third quarter of Fiscal 2020, and nonclinical manufacturing advancements related to PH94B and PH10 during Fiscal 2020. Cash used in investing activities in Fiscal 2019 reflects the cost of tenant improvements at our office and laboratory facilities in South San Francisco, California, substantially all of which were reimbursed by our landlord under the terms of our November 2016 lease extension, which reimbursement is reflected in operating activities. Cash provided by financing activities in Fiscal 2020 reflects the cash proceeds from our Fall 2019 Private Placement, our Fall 2019 Warrant Offering, the exercise of certain warrants following the modification of their exercise prices, proceeds from our January 2020 Registered Direct Offering and initial transactions under the LPC Agreement, net of routine payments on our insurance premium financing notes and lease. Cash provided by financing activities in Fiscal 2019 primarily reflects the cash proceeds from our Spring 2019 Public Offering, our Summer 2018 and Fall 2018 Private Placements, and warrant and option exercises, net of routine payments on our insurance premium financing notes and 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VistaStem has two inactive, wholly owned subsidiaries, Artemis Neuroscience, Inc., a Maryland corporation, and VistaStem Canada, Inc., an Ontario corporation.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because we qualify as a smaller reporting company under federal securities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5020" w:type="dxa"/>
            <w:vAlign w:val="bottom"/>
            <w:shd w:val="clear" w:color="auto" w:fill="CCEEFF"/>
          </w:tcPr>
          <w:p>
            <w:pPr>
              <w:spacing w:after="0"/>
              <w:rPr>
                <w:rFonts w:ascii="Arial" w:cs="Arial" w:eastAsia="Arial" w:hAnsi="Arial"/>
                <w:sz w:val="18"/>
                <w:szCs w:val="18"/>
                <w:u w:val="single" w:color="auto"/>
                <w:color w:val="0000FF"/>
              </w:rPr>
            </w:pPr>
            <w:hyperlink w:anchor="page96">
              <w:r>
                <w:rPr>
                  <w:rFonts w:ascii="Arial" w:cs="Arial" w:eastAsia="Arial" w:hAnsi="Arial"/>
                  <w:sz w:val="18"/>
                  <w:szCs w:val="18"/>
                  <w:u w:val="single" w:color="auto"/>
                  <w:color w:val="0000FF"/>
                </w:rPr>
                <w:t>Report of Independent Registered Public Accounting Firm</w:t>
              </w:r>
            </w:hyperlink>
          </w:p>
        </w:tc>
        <w:tc>
          <w:tcPr>
            <w:tcW w:w="6220" w:type="dxa"/>
            <w:vAlign w:val="bottom"/>
            <w:gridSpan w:val="2"/>
            <w:shd w:val="clear" w:color="auto" w:fill="CCEEFF"/>
          </w:tcPr>
          <w:p>
            <w:pPr>
              <w:jc w:val="center"/>
              <w:ind w:left="3792"/>
              <w:spacing w:after="0"/>
              <w:rPr>
                <w:sz w:val="20"/>
                <w:szCs w:val="20"/>
                <w:color w:val="auto"/>
              </w:rPr>
            </w:pPr>
            <w:r>
              <w:rPr>
                <w:rFonts w:ascii="Arial" w:cs="Arial" w:eastAsia="Arial" w:hAnsi="Arial"/>
                <w:sz w:val="18"/>
                <w:szCs w:val="18"/>
                <w:color w:val="auto"/>
                <w:w w:val="89"/>
              </w:rPr>
              <w:t>91</w:t>
            </w:r>
          </w:p>
        </w:tc>
      </w:tr>
      <w:tr>
        <w:trPr>
          <w:trHeight w:val="216"/>
        </w:trPr>
        <w:tc>
          <w:tcPr>
            <w:tcW w:w="5020" w:type="dxa"/>
            <w:vAlign w:val="bottom"/>
          </w:tcPr>
          <w:p>
            <w:pPr>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Consolidated Balance Sheets</w:t>
              </w:r>
            </w:hyperlink>
          </w:p>
        </w:tc>
        <w:tc>
          <w:tcPr>
            <w:tcW w:w="6220" w:type="dxa"/>
            <w:vAlign w:val="bottom"/>
            <w:gridSpan w:val="2"/>
          </w:tcPr>
          <w:p>
            <w:pPr>
              <w:jc w:val="center"/>
              <w:ind w:left="3792"/>
              <w:spacing w:after="0"/>
              <w:rPr>
                <w:sz w:val="20"/>
                <w:szCs w:val="20"/>
                <w:color w:val="auto"/>
              </w:rPr>
            </w:pPr>
            <w:r>
              <w:rPr>
                <w:rFonts w:ascii="Arial" w:cs="Arial" w:eastAsia="Arial" w:hAnsi="Arial"/>
                <w:sz w:val="18"/>
                <w:szCs w:val="18"/>
                <w:color w:val="auto"/>
                <w:w w:val="89"/>
              </w:rPr>
              <w:t>92</w:t>
            </w:r>
          </w:p>
        </w:tc>
      </w:tr>
      <w:tr>
        <w:trPr>
          <w:trHeight w:val="216"/>
        </w:trPr>
        <w:tc>
          <w:tcPr>
            <w:tcW w:w="5020" w:type="dxa"/>
            <w:vAlign w:val="bottom"/>
            <w:shd w:val="clear" w:color="auto" w:fill="CCEEFF"/>
          </w:tcPr>
          <w:p>
            <w:pPr>
              <w:spacing w:after="0"/>
              <w:rPr>
                <w:rFonts w:ascii="Arial" w:cs="Arial" w:eastAsia="Arial" w:hAnsi="Arial"/>
                <w:sz w:val="18"/>
                <w:szCs w:val="18"/>
                <w:u w:val="single" w:color="auto"/>
                <w:color w:val="0000FF"/>
                <w:w w:val="95"/>
              </w:rPr>
            </w:pPr>
            <w:hyperlink w:anchor="page98">
              <w:r>
                <w:rPr>
                  <w:rFonts w:ascii="Arial" w:cs="Arial" w:eastAsia="Arial" w:hAnsi="Arial"/>
                  <w:sz w:val="18"/>
                  <w:szCs w:val="18"/>
                  <w:u w:val="single" w:color="auto"/>
                  <w:color w:val="0000FF"/>
                  <w:w w:val="95"/>
                </w:rPr>
                <w:t>Consolidated Statements of Operations and Comprehensive Loss</w:t>
              </w:r>
            </w:hyperlink>
          </w:p>
        </w:tc>
        <w:tc>
          <w:tcPr>
            <w:tcW w:w="6220" w:type="dxa"/>
            <w:vAlign w:val="bottom"/>
            <w:gridSpan w:val="2"/>
            <w:shd w:val="clear" w:color="auto" w:fill="CCEEFF"/>
          </w:tcPr>
          <w:p>
            <w:pPr>
              <w:jc w:val="center"/>
              <w:ind w:left="3792"/>
              <w:spacing w:after="0"/>
              <w:rPr>
                <w:sz w:val="20"/>
                <w:szCs w:val="20"/>
                <w:color w:val="auto"/>
              </w:rPr>
            </w:pPr>
            <w:r>
              <w:rPr>
                <w:rFonts w:ascii="Arial" w:cs="Arial" w:eastAsia="Arial" w:hAnsi="Arial"/>
                <w:sz w:val="18"/>
                <w:szCs w:val="18"/>
                <w:color w:val="auto"/>
                <w:w w:val="89"/>
              </w:rPr>
              <w:t>93</w:t>
            </w:r>
          </w:p>
        </w:tc>
      </w:tr>
      <w:tr>
        <w:trPr>
          <w:trHeight w:val="216"/>
        </w:trPr>
        <w:tc>
          <w:tcPr>
            <w:tcW w:w="5020" w:type="dxa"/>
            <w:vAlign w:val="bottom"/>
          </w:tcPr>
          <w:p>
            <w:pPr>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Consolidated Statements of Cash Flows</w:t>
              </w:r>
            </w:hyperlink>
          </w:p>
        </w:tc>
        <w:tc>
          <w:tcPr>
            <w:tcW w:w="6220" w:type="dxa"/>
            <w:vAlign w:val="bottom"/>
            <w:gridSpan w:val="2"/>
          </w:tcPr>
          <w:p>
            <w:pPr>
              <w:jc w:val="center"/>
              <w:ind w:left="3792"/>
              <w:spacing w:after="0"/>
              <w:rPr>
                <w:sz w:val="20"/>
                <w:szCs w:val="20"/>
                <w:color w:val="auto"/>
              </w:rPr>
            </w:pPr>
            <w:r>
              <w:rPr>
                <w:rFonts w:ascii="Arial" w:cs="Arial" w:eastAsia="Arial" w:hAnsi="Arial"/>
                <w:sz w:val="18"/>
                <w:szCs w:val="18"/>
                <w:color w:val="auto"/>
                <w:w w:val="89"/>
              </w:rPr>
              <w:t>94</w:t>
            </w:r>
          </w:p>
        </w:tc>
      </w:tr>
      <w:tr>
        <w:trPr>
          <w:trHeight w:val="216"/>
        </w:trPr>
        <w:tc>
          <w:tcPr>
            <w:tcW w:w="5020" w:type="dxa"/>
            <w:vAlign w:val="bottom"/>
            <w:shd w:val="clear" w:color="auto" w:fill="CCEEFF"/>
          </w:tcPr>
          <w:p>
            <w:pPr>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Consolidated Statements of Stockholders' Equity (Deficit)</w:t>
              </w:r>
            </w:hyperlink>
          </w:p>
        </w:tc>
        <w:tc>
          <w:tcPr>
            <w:tcW w:w="6220" w:type="dxa"/>
            <w:vAlign w:val="bottom"/>
            <w:gridSpan w:val="2"/>
            <w:shd w:val="clear" w:color="auto" w:fill="CCEEFF"/>
          </w:tcPr>
          <w:p>
            <w:pPr>
              <w:jc w:val="center"/>
              <w:ind w:left="3792"/>
              <w:spacing w:after="0"/>
              <w:rPr>
                <w:sz w:val="20"/>
                <w:szCs w:val="20"/>
                <w:color w:val="auto"/>
              </w:rPr>
            </w:pPr>
            <w:r>
              <w:rPr>
                <w:rFonts w:ascii="Arial" w:cs="Arial" w:eastAsia="Arial" w:hAnsi="Arial"/>
                <w:sz w:val="18"/>
                <w:szCs w:val="18"/>
                <w:color w:val="auto"/>
                <w:w w:val="89"/>
              </w:rPr>
              <w:t>95</w:t>
            </w:r>
          </w:p>
        </w:tc>
      </w:tr>
      <w:tr>
        <w:trPr>
          <w:trHeight w:val="222"/>
        </w:trPr>
        <w:tc>
          <w:tcPr>
            <w:tcW w:w="5020" w:type="dxa"/>
            <w:vAlign w:val="bottom"/>
          </w:tcPr>
          <w:p>
            <w:pPr>
              <w:spacing w:after="0"/>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Notes to Consolidated Financial Statements</w:t>
              </w:r>
            </w:hyperlink>
          </w:p>
        </w:tc>
        <w:tc>
          <w:tcPr>
            <w:tcW w:w="6220" w:type="dxa"/>
            <w:vAlign w:val="bottom"/>
            <w:gridSpan w:val="2"/>
          </w:tcPr>
          <w:p>
            <w:pPr>
              <w:jc w:val="center"/>
              <w:ind w:left="3792"/>
              <w:spacing w:after="0"/>
              <w:rPr>
                <w:sz w:val="20"/>
                <w:szCs w:val="20"/>
                <w:color w:val="auto"/>
              </w:rPr>
            </w:pPr>
            <w:r>
              <w:rPr>
                <w:rFonts w:ascii="Arial" w:cs="Arial" w:eastAsia="Arial" w:hAnsi="Arial"/>
                <w:sz w:val="18"/>
                <w:szCs w:val="18"/>
                <w:color w:val="auto"/>
                <w:w w:val="89"/>
              </w:rPr>
              <w:t>96</w:t>
            </w:r>
          </w:p>
        </w:tc>
      </w:tr>
      <w:tr>
        <w:trPr>
          <w:trHeight w:val="649"/>
        </w:trPr>
        <w:tc>
          <w:tcPr>
            <w:tcW w:w="50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3032"/>
              <w:spacing w:after="0"/>
              <w:rPr>
                <w:sz w:val="20"/>
                <w:szCs w:val="20"/>
                <w:color w:val="auto"/>
              </w:rPr>
            </w:pPr>
            <w:r>
              <w:rPr>
                <w:rFonts w:ascii="Arial" w:cs="Arial" w:eastAsia="Arial" w:hAnsi="Arial"/>
                <w:sz w:val="18"/>
                <w:szCs w:val="18"/>
                <w:color w:val="auto"/>
              </w:rPr>
              <w:t>-90-</w:t>
            </w:r>
          </w:p>
        </w:tc>
        <w:tc>
          <w:tcPr>
            <w:tcW w:w="2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95" w:name="page96"/>
    <w:bookmarkEnd w:id="9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sheets of VistaGen Therapeutics, Inc. as of March 31, 2020 and 2019, the related consolidated statements of operations and comprehensive loss, cash flows, and stockholders’ equity (deficit) for each of the two fiscal years in the period ended March 31, 2020, and the related notes (collectively referred to as the “financial statements”). In our opinion, the financial statements present fairly, in all material respects, the financial position of the Company at March 31, 2020 and 2019, and the results of its operations and its cash flows for each of the two years in the period ended March 31, 2020</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a stockholders’ deficit, all of which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29,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2"/>
        </w:trPr>
        <w:tc>
          <w:tcPr>
            <w:tcW w:w="856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648"/>
        </w:trPr>
        <w:tc>
          <w:tcPr>
            <w:tcW w:w="8560" w:type="dxa"/>
            <w:vAlign w:val="bottom"/>
          </w:tcPr>
          <w:p>
            <w:pPr>
              <w:jc w:val="center"/>
              <w:ind w:left="261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8560" w:type="dxa"/>
            <w:vAlign w:val="bottom"/>
          </w:tcPr>
          <w:p>
            <w:pPr>
              <w:jc w:val="center"/>
              <w:ind w:left="259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8560" w:type="dxa"/>
            <w:vAlign w:val="bottom"/>
          </w:tcPr>
          <w:p>
            <w:pPr>
              <w:jc w:val="center"/>
              <w:ind w:left="261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9"/>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1"/>
        </w:trPr>
        <w:tc>
          <w:tcPr>
            <w:tcW w:w="8560" w:type="dxa"/>
            <w:vAlign w:val="bottom"/>
          </w:tcPr>
          <w:p>
            <w:pPr>
              <w:jc w:val="center"/>
              <w:ind w:left="2632"/>
              <w:spacing w:after="0"/>
              <w:rPr>
                <w:sz w:val="20"/>
                <w:szCs w:val="20"/>
                <w:color w:val="auto"/>
              </w:rPr>
            </w:pPr>
            <w:r>
              <w:rPr>
                <w:rFonts w:ascii="Arial" w:cs="Arial" w:eastAsia="Arial" w:hAnsi="Arial"/>
                <w:sz w:val="18"/>
                <w:szCs w:val="18"/>
                <w:b w:val="1"/>
                <w:bCs w:val="1"/>
                <w:color w:val="auto"/>
                <w:w w:val="88"/>
              </w:rPr>
              <w:t>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856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13,100,300</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Receivable from supplier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300,000</w:t>
            </w: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228,600</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56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1,580,200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13,628,900</w:t>
            </w:r>
          </w:p>
        </w:tc>
      </w:tr>
      <w:tr>
        <w:trPr>
          <w:trHeight w:val="216"/>
        </w:trPr>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312,700</w:t>
            </w:r>
          </w:p>
        </w:tc>
      </w:tr>
      <w:tr>
        <w:trPr>
          <w:trHeight w:val="216"/>
        </w:trPr>
        <w:tc>
          <w:tcPr>
            <w:tcW w:w="8560" w:type="dxa"/>
            <w:vAlign w:val="bottom"/>
          </w:tcPr>
          <w:p>
            <w:pPr>
              <w:ind w:left="60"/>
              <w:spacing w:after="0"/>
              <w:rPr>
                <w:sz w:val="20"/>
                <w:szCs w:val="20"/>
                <w:color w:val="auto"/>
              </w:rPr>
            </w:pPr>
            <w:r>
              <w:rPr>
                <w:rFonts w:ascii="Arial" w:cs="Arial" w:eastAsia="Arial" w:hAnsi="Arial"/>
                <w:sz w:val="18"/>
                <w:szCs w:val="18"/>
                <w:color w:val="auto"/>
              </w:rPr>
              <w:t>Right of use asset - operating lease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3,579,600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Deferred offering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22,300</w:t>
            </w:r>
          </w:p>
        </w:tc>
      </w:tr>
      <w:tr>
        <w:trPr>
          <w:trHeight w:val="216"/>
        </w:trPr>
        <w:tc>
          <w:tcPr>
            <w:tcW w:w="8560" w:type="dxa"/>
            <w:vAlign w:val="bottom"/>
          </w:tcPr>
          <w:p>
            <w:pPr>
              <w:ind w:left="6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47,800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5,772,300</w:t>
            </w:r>
          </w:p>
        </w:tc>
        <w:tc>
          <w:tcPr>
            <w:tcW w:w="1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14,011,700</w:t>
            </w:r>
          </w:p>
        </w:tc>
      </w:tr>
      <w:tr>
        <w:trPr>
          <w:trHeight w:val="235"/>
        </w:trPr>
        <w:tc>
          <w:tcPr>
            <w:tcW w:w="8560" w:type="dxa"/>
            <w:vAlign w:val="bottom"/>
            <w:tcBorders>
              <w:top w:val="single" w:sz="8" w:color="CCEEFF"/>
            </w:tcBorders>
          </w:tcPr>
          <w:p>
            <w:pPr>
              <w:jc w:val="center"/>
              <w:ind w:left="2632"/>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217"/>
        </w:trPr>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1,836,600</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1,055,000</w:t>
            </w: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1,685,600</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Current note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57,300</w:t>
            </w: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lease obligation - 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Financing lease obligation -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2,771,300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2,800,900</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5,011,800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3,748,200</w:t>
            </w: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rent liability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381,100</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Operating lease obligation - non-current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3,715,600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Financing lease obligation - non-current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6,300</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560" w:type="dxa"/>
            <w:vAlign w:val="bottom"/>
          </w:tcPr>
          <w:p>
            <w:pPr>
              <w:ind w:left="54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8,730,400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4,135,600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11,501,700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6,936,500</w:t>
            </w:r>
          </w:p>
        </w:tc>
      </w:tr>
      <w:tr>
        <w:trPr>
          <w:trHeight w:val="223"/>
        </w:trPr>
        <w:tc>
          <w:tcPr>
            <w:tcW w:w="85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r>
      <w:tr>
        <w:trPr>
          <w:trHeight w:val="216"/>
        </w:trPr>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 (Note 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tcPr>
          <w:p>
            <w:pPr>
              <w:ind w:left="280"/>
              <w:spacing w:after="0"/>
              <w:rPr>
                <w:sz w:val="20"/>
                <w:szCs w:val="20"/>
                <w:color w:val="auto"/>
              </w:rPr>
            </w:pPr>
            <w:r>
              <w:rPr>
                <w:rFonts w:ascii="Arial" w:cs="Arial" w:eastAsia="Arial" w:hAnsi="Arial"/>
                <w:sz w:val="18"/>
                <w:szCs w:val="18"/>
                <w:color w:val="auto"/>
              </w:rPr>
              <w:t>Preferred stock, $0.001 par value; 10,000,000 shares authorized at March 31, 2020 and 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 Preferred, 500,000 shares authorized, issued and outstanding at March 31, 2020 and 2019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r>
      <w:tr>
        <w:trPr>
          <w:trHeight w:val="208"/>
        </w:trPr>
        <w:tc>
          <w:tcPr>
            <w:tcW w:w="8560" w:type="dxa"/>
            <w:vAlign w:val="bottom"/>
          </w:tcPr>
          <w:p>
            <w:pPr>
              <w:ind w:left="440"/>
              <w:spacing w:after="0"/>
              <w:rPr>
                <w:sz w:val="20"/>
                <w:szCs w:val="20"/>
                <w:color w:val="auto"/>
              </w:rPr>
            </w:pPr>
            <w:r>
              <w:rPr>
                <w:rFonts w:ascii="Arial" w:cs="Arial" w:eastAsia="Arial" w:hAnsi="Arial"/>
                <w:sz w:val="18"/>
                <w:szCs w:val="18"/>
                <w:color w:val="auto"/>
              </w:rPr>
              <w:t>Series B Preferred; 4,000,000 shares authorized at March 31, 2020 and 2019; 1,160,240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560" w:type="dxa"/>
            <w:vAlign w:val="bottom"/>
          </w:tcPr>
          <w:p>
            <w:pPr>
              <w:ind w:left="620"/>
              <w:spacing w:after="0"/>
              <w:rPr>
                <w:sz w:val="20"/>
                <w:szCs w:val="20"/>
                <w:color w:val="auto"/>
              </w:rPr>
            </w:pPr>
            <w:r>
              <w:rPr>
                <w:rFonts w:ascii="Arial" w:cs="Arial" w:eastAsia="Arial" w:hAnsi="Arial"/>
                <w:sz w:val="18"/>
                <w:szCs w:val="18"/>
                <w:color w:val="auto"/>
              </w:rPr>
              <w:t>issued and outstanding at March 31, 2020 and 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r>
      <w:tr>
        <w:trPr>
          <w:trHeight w:val="217"/>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C Preferred; 3,000,000 shares authorized at March 31, 2020 and 2019; 2,318,012 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issued and outstanding at March 31, 2020 and 2019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w:t>
            </w:r>
          </w:p>
        </w:tc>
      </w:tr>
      <w:tr>
        <w:trPr>
          <w:trHeight w:val="208"/>
        </w:trPr>
        <w:tc>
          <w:tcPr>
            <w:tcW w:w="8560" w:type="dxa"/>
            <w:vAlign w:val="bottom"/>
          </w:tcPr>
          <w:p>
            <w:pPr>
              <w:ind w:left="380"/>
              <w:spacing w:after="0"/>
              <w:rPr>
                <w:sz w:val="20"/>
                <w:szCs w:val="20"/>
                <w:color w:val="auto"/>
              </w:rPr>
            </w:pPr>
            <w:r>
              <w:rPr>
                <w:rFonts w:ascii="Arial" w:cs="Arial" w:eastAsia="Arial" w:hAnsi="Arial"/>
                <w:sz w:val="18"/>
                <w:szCs w:val="18"/>
                <w:color w:val="auto"/>
              </w:rPr>
              <w:t>Common stock, $0.001 par value; 175,000,000 and 100,000,000 shares authorized at March 31,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60" w:type="dxa"/>
            <w:vAlign w:val="bottom"/>
          </w:tcPr>
          <w:p>
            <w:pPr>
              <w:ind w:left="500"/>
              <w:spacing w:after="0"/>
              <w:rPr>
                <w:sz w:val="20"/>
                <w:szCs w:val="20"/>
                <w:color w:val="auto"/>
              </w:rPr>
            </w:pPr>
            <w:r>
              <w:rPr>
                <w:rFonts w:ascii="Arial" w:cs="Arial" w:eastAsia="Arial" w:hAnsi="Arial"/>
                <w:sz w:val="18"/>
                <w:szCs w:val="18"/>
                <w:color w:val="auto"/>
                <w:w w:val="99"/>
              </w:rPr>
              <w:t>and 2019, respectively; 49,348,707 and 42,758,630 shares issued and outstanding at March 31,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560" w:type="dxa"/>
            <w:vAlign w:val="bottom"/>
          </w:tcPr>
          <w:p>
            <w:pPr>
              <w:ind w:left="640"/>
              <w:spacing w:after="0"/>
              <w:rPr>
                <w:sz w:val="20"/>
                <w:szCs w:val="20"/>
                <w:color w:val="auto"/>
              </w:rPr>
            </w:pPr>
            <w:r>
              <w:rPr>
                <w:rFonts w:ascii="Arial" w:cs="Arial" w:eastAsia="Arial" w:hAnsi="Arial"/>
                <w:sz w:val="18"/>
                <w:szCs w:val="18"/>
                <w:color w:val="auto"/>
              </w:rPr>
              <w:t>and 2019, respectively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49,300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42,800</w:t>
            </w:r>
          </w:p>
        </w:tc>
      </w:tr>
      <w:tr>
        <w:trPr>
          <w:trHeight w:val="217"/>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200,092,800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192,129,900</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Treasury stock, at cost, 135,665 shares of common stock held at March 31, 2020 and 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(3,968,100)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(201,907,400)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(181,133,400)</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560" w:type="dxa"/>
            <w:vAlign w:val="bottom"/>
          </w:tcPr>
          <w:p>
            <w:pPr>
              <w:ind w:left="70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(5,729,400)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7,075,200</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 (deficit)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5,772,300</w:t>
            </w: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14,011,700</w:t>
            </w:r>
          </w:p>
        </w:tc>
      </w:tr>
      <w:tr>
        <w:trPr>
          <w:trHeight w:val="20"/>
        </w:trPr>
        <w:tc>
          <w:tcPr>
            <w:tcW w:w="8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97" w:name="page98"/>
    <w:bookmarkEnd w:id="9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62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2"/>
        </w:trPr>
        <w:tc>
          <w:tcPr>
            <w:tcW w:w="6260" w:type="dxa"/>
            <w:vAlign w:val="bottom"/>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13,374,200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17,098,500</w:t>
            </w:r>
          </w:p>
        </w:tc>
      </w:tr>
      <w:tr>
        <w:trPr>
          <w:trHeight w:val="216"/>
        </w:trPr>
        <w:tc>
          <w:tcPr>
            <w:tcW w:w="6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7,427,300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7,457,800</w:t>
            </w:r>
          </w:p>
        </w:tc>
      </w:tr>
      <w:tr>
        <w:trPr>
          <w:trHeight w:val="27"/>
        </w:trPr>
        <w:tc>
          <w:tcPr>
            <w:tcW w:w="62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2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operating 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20,801,500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24,556,300</w:t>
            </w:r>
          </w:p>
        </w:tc>
      </w:tr>
      <w:tr>
        <w:trPr>
          <w:trHeight w:val="27"/>
        </w:trPr>
        <w:tc>
          <w:tcPr>
            <w:tcW w:w="6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Loss from operations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(20,801,500)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(24,556,300)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380"/>
              <w:spacing w:after="0"/>
              <w:rPr>
                <w:sz w:val="20"/>
                <w:szCs w:val="20"/>
                <w:color w:val="auto"/>
              </w:rPr>
            </w:pPr>
            <w:r>
              <w:rPr>
                <w:rFonts w:ascii="Arial" w:cs="Arial" w:eastAsia="Arial" w:hAnsi="Arial"/>
                <w:sz w:val="18"/>
                <w:szCs w:val="18"/>
                <w:color w:val="auto"/>
              </w:rPr>
              <w:t>Interest income (expense), net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(8,000)</w:t>
            </w:r>
          </w:p>
        </w:tc>
      </w:tr>
      <w:tr>
        <w:trPr>
          <w:trHeight w:val="216"/>
        </w:trPr>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(22,700)</w:t>
            </w:r>
          </w:p>
        </w:tc>
      </w:tr>
      <w:tr>
        <w:trPr>
          <w:trHeight w:val="27"/>
        </w:trPr>
        <w:tc>
          <w:tcPr>
            <w:tcW w:w="6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(20,771,400)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(24,587,000)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(2,600)</w:t>
            </w:r>
          </w:p>
        </w:tc>
      </w:tr>
      <w:tr>
        <w:trPr>
          <w:trHeight w:val="27"/>
        </w:trPr>
        <w:tc>
          <w:tcPr>
            <w:tcW w:w="62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(20,774,000)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(24,589,600)</w:t>
            </w:r>
          </w:p>
        </w:tc>
      </w:tr>
      <w:tr>
        <w:trPr>
          <w:trHeight w:val="216"/>
        </w:trPr>
        <w:tc>
          <w:tcPr>
            <w:tcW w:w="6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6260" w:type="dxa"/>
            <w:vAlign w:val="bottom"/>
          </w:tcPr>
          <w:p>
            <w:pPr>
              <w:ind w:left="140"/>
              <w:spacing w:after="0"/>
              <w:rPr>
                <w:sz w:val="20"/>
                <w:szCs w:val="20"/>
                <w:color w:val="auto"/>
              </w:rPr>
            </w:pPr>
            <w:r>
              <w:rPr>
                <w:rFonts w:ascii="Arial" w:cs="Arial" w:eastAsia="Arial" w:hAnsi="Arial"/>
                <w:sz w:val="18"/>
                <w:szCs w:val="18"/>
                <w:color w:val="auto"/>
              </w:rPr>
              <w:t>Accrued dividend on Series B Preferred stock</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(1,263,600)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(1,139,900)</w:t>
            </w:r>
          </w:p>
        </w:tc>
      </w:tr>
      <w:tr>
        <w:trPr>
          <w:trHeight w:val="216"/>
        </w:trPr>
        <w:tc>
          <w:tcPr>
            <w:tcW w:w="6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(22,037,600)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(25,729,500)</w:t>
            </w:r>
          </w:p>
        </w:tc>
      </w:tr>
      <w:tr>
        <w:trPr>
          <w:trHeight w:val="20"/>
        </w:trPr>
        <w:tc>
          <w:tcPr>
            <w:tcW w:w="6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per common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(0.90)</w:t>
            </w:r>
          </w:p>
        </w:tc>
      </w:tr>
      <w:tr>
        <w:trPr>
          <w:trHeight w:val="210"/>
        </w:trPr>
        <w:tc>
          <w:tcPr>
            <w:tcW w:w="626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60" w:type="dxa"/>
            <w:vAlign w:val="bottom"/>
          </w:tcPr>
          <w:p>
            <w:pPr>
              <w:ind w:left="380"/>
              <w:spacing w:after="0"/>
              <w:rPr>
                <w:sz w:val="20"/>
                <w:szCs w:val="20"/>
                <w:color w:val="auto"/>
              </w:rPr>
            </w:pPr>
            <w:r>
              <w:rPr>
                <w:rFonts w:ascii="Arial" w:cs="Arial" w:eastAsia="Arial" w:hAnsi="Arial"/>
                <w:sz w:val="18"/>
                <w:szCs w:val="18"/>
                <w:color w:val="auto"/>
              </w:rPr>
              <w:t>basic and diluted net loss attributable to common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6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stockholders per common share</w:t>
            </w:r>
          </w:p>
        </w:tc>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43,869,523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28,562,490</w:t>
            </w:r>
          </w:p>
        </w:tc>
      </w:tr>
      <w:tr>
        <w:trPr>
          <w:trHeight w:val="20"/>
        </w:trPr>
        <w:tc>
          <w:tcPr>
            <w:tcW w:w="626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2"/>
        </w:trPr>
        <w:tc>
          <w:tcPr>
            <w:tcW w:w="8180" w:type="dxa"/>
            <w:vAlign w:val="bottom"/>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648"/>
        </w:trPr>
        <w:tc>
          <w:tcPr>
            <w:tcW w:w="8180" w:type="dxa"/>
            <w:vAlign w:val="bottom"/>
          </w:tcPr>
          <w:p>
            <w:pPr>
              <w:jc w:val="center"/>
              <w:ind w:left="2992"/>
              <w:spacing w:after="0"/>
              <w:rPr>
                <w:sz w:val="20"/>
                <w:szCs w:val="20"/>
                <w:color w:val="auto"/>
              </w:rPr>
            </w:pPr>
            <w:r>
              <w:rPr>
                <w:rFonts w:ascii="Arial" w:cs="Arial" w:eastAsia="Arial" w:hAnsi="Arial"/>
                <w:sz w:val="18"/>
                <w:szCs w:val="18"/>
                <w:b w:val="1"/>
                <w:bCs w:val="1"/>
                <w:color w:val="auto"/>
                <w:w w:val="98"/>
              </w:rPr>
              <w:t>VISTAGEN THERAPEUTICS, INC.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8180" w:type="dxa"/>
            <w:vAlign w:val="bottom"/>
          </w:tcPr>
          <w:p>
            <w:pPr>
              <w:jc w:val="center"/>
              <w:ind w:left="297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8180" w:type="dxa"/>
            <w:vAlign w:val="bottom"/>
          </w:tcPr>
          <w:p>
            <w:pPr>
              <w:jc w:val="center"/>
              <w:ind w:left="2972"/>
              <w:spacing w:after="0"/>
              <w:rPr>
                <w:sz w:val="20"/>
                <w:szCs w:val="20"/>
                <w:color w:val="auto"/>
              </w:rPr>
            </w:pPr>
            <w:r>
              <w:rPr>
                <w:rFonts w:ascii="Arial" w:cs="Arial" w:eastAsia="Arial" w:hAnsi="Arial"/>
                <w:sz w:val="18"/>
                <w:szCs w:val="18"/>
                <w:b w:val="1"/>
                <w:bCs w:val="1"/>
                <w:color w:val="auto"/>
                <w:w w:val="89"/>
              </w:rPr>
              <w:t>(Amounts in dollars)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68"/>
        </w:trPr>
        <w:tc>
          <w:tcPr>
            <w:tcW w:w="8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8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2"/>
        </w:trPr>
        <w:tc>
          <w:tcPr>
            <w:tcW w:w="8180" w:type="dxa"/>
            <w:vAlign w:val="bottom"/>
          </w:tcPr>
          <w:p>
            <w:pPr>
              <w:ind w:left="60"/>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(20,774,000)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(24,589,600)</w:t>
            </w: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91,200</w:t>
            </w:r>
          </w:p>
        </w:tc>
      </w:tr>
      <w:tr>
        <w:trPr>
          <w:trHeight w:val="216"/>
        </w:trPr>
        <w:tc>
          <w:tcPr>
            <w:tcW w:w="8180" w:type="dxa"/>
            <w:vAlign w:val="bottom"/>
          </w:tcPr>
          <w:p>
            <w:pPr>
              <w:ind w:left="620"/>
              <w:spacing w:after="0"/>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3,820,800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3,443,400</w:t>
            </w:r>
          </w:p>
        </w:tc>
      </w:tr>
      <w:tr>
        <w:trPr>
          <w:trHeight w:val="216"/>
        </w:trPr>
        <w:tc>
          <w:tcPr>
            <w:tcW w:w="8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Expense related to modification of warrants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25,800</w:t>
            </w:r>
          </w:p>
        </w:tc>
      </w:tr>
      <w:tr>
        <w:trPr>
          <w:trHeight w:val="216"/>
        </w:trPr>
        <w:tc>
          <w:tcPr>
            <w:tcW w:w="8180" w:type="dxa"/>
            <w:vAlign w:val="bottom"/>
          </w:tcPr>
          <w:p>
            <w:pPr>
              <w:ind w:left="620"/>
              <w:spacing w:after="0"/>
              <w:rPr>
                <w:sz w:val="20"/>
                <w:szCs w:val="20"/>
                <w:color w:val="auto"/>
              </w:rPr>
            </w:pPr>
            <w:r>
              <w:rPr>
                <w:rFonts w:ascii="Arial" w:cs="Arial" w:eastAsia="Arial" w:hAnsi="Arial"/>
                <w:sz w:val="18"/>
                <w:szCs w:val="18"/>
                <w:color w:val="auto"/>
              </w:rPr>
              <w:t>Amortization of fair value of common stock issued for services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391,100</w:t>
            </w:r>
          </w:p>
        </w:tc>
      </w:tr>
      <w:tr>
        <w:trPr>
          <w:trHeight w:val="216"/>
        </w:trPr>
        <w:tc>
          <w:tcPr>
            <w:tcW w:w="8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Fair value of common stock issued for product licenses and option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4,250,000</w:t>
            </w:r>
          </w:p>
        </w:tc>
      </w:tr>
      <w:tr>
        <w:trPr>
          <w:trHeight w:val="216"/>
        </w:trPr>
        <w:tc>
          <w:tcPr>
            <w:tcW w:w="8180" w:type="dxa"/>
            <w:vAlign w:val="bottom"/>
          </w:tcPr>
          <w:p>
            <w:pPr>
              <w:ind w:left="620"/>
              <w:spacing w:after="0"/>
              <w:rPr>
                <w:sz w:val="20"/>
                <w:szCs w:val="20"/>
                <w:color w:val="auto"/>
              </w:rPr>
            </w:pPr>
            <w:r>
              <w:rPr>
                <w:rFonts w:ascii="Arial" w:cs="Arial" w:eastAsia="Arial" w:hAnsi="Arial"/>
                <w:sz w:val="18"/>
                <w:szCs w:val="18"/>
                <w:color w:val="auto"/>
              </w:rPr>
              <w:t>Amortization of fair value of warrants issued for services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119,700</w:t>
            </w:r>
          </w:p>
        </w:tc>
      </w:tr>
      <w:tr>
        <w:trPr>
          <w:trHeight w:val="216"/>
        </w:trPr>
        <w:tc>
          <w:tcPr>
            <w:tcW w:w="81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Loss on settlement of accounts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22,700</w:t>
            </w:r>
          </w:p>
        </w:tc>
      </w:tr>
      <w:tr>
        <w:trPr>
          <w:trHeight w:val="216"/>
        </w:trPr>
        <w:tc>
          <w:tcPr>
            <w:tcW w:w="8180" w:type="dxa"/>
            <w:vAlign w:val="bottom"/>
          </w:tcPr>
          <w:p>
            <w:pPr>
              <w:ind w:left="62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Receivable from supplier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8180" w:type="dxa"/>
            <w:vAlign w:val="bottom"/>
          </w:tcPr>
          <w:p>
            <w:pPr>
              <w:ind w:left="84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589,000</w:t>
            </w:r>
          </w:p>
        </w:tc>
      </w:tr>
      <w:tr>
        <w:trPr>
          <w:trHeight w:val="216"/>
        </w:trPr>
        <w:tc>
          <w:tcPr>
            <w:tcW w:w="8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Right of use asset - operating lease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Pr>
          <w:p>
            <w:pPr>
              <w:ind w:left="840"/>
              <w:spacing w:after="0"/>
              <w:rPr>
                <w:sz w:val="20"/>
                <w:szCs w:val="20"/>
                <w:color w:val="auto"/>
              </w:rPr>
            </w:pPr>
            <w:r>
              <w:rPr>
                <w:rFonts w:ascii="Arial" w:cs="Arial" w:eastAsia="Arial" w:hAnsi="Arial"/>
                <w:sz w:val="18"/>
                <w:szCs w:val="18"/>
                <w:color w:val="auto"/>
              </w:rPr>
              <w:t>Operating lease liability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(267,000)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 and accrued expenses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1,338,700</w:t>
            </w:r>
          </w:p>
        </w:tc>
      </w:tr>
      <w:tr>
        <w:trPr>
          <w:trHeight w:val="216"/>
        </w:trPr>
        <w:tc>
          <w:tcPr>
            <w:tcW w:w="8180" w:type="dxa"/>
            <w:vAlign w:val="bottom"/>
          </w:tcPr>
          <w:p>
            <w:pPr>
              <w:ind w:left="840"/>
              <w:spacing w:after="0"/>
              <w:rPr>
                <w:sz w:val="20"/>
                <w:szCs w:val="20"/>
                <w:color w:val="auto"/>
              </w:rPr>
            </w:pPr>
            <w:r>
              <w:rPr>
                <w:rFonts w:ascii="Arial" w:cs="Arial" w:eastAsia="Arial" w:hAnsi="Arial"/>
                <w:sz w:val="18"/>
                <w:szCs w:val="18"/>
                <w:color w:val="auto"/>
              </w:rPr>
              <w:t>Deferred rent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90,500</w:t>
            </w:r>
          </w:p>
        </w:tc>
      </w:tr>
      <w:tr>
        <w:trPr>
          <w:trHeight w:val="27"/>
        </w:trPr>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(15,757,000)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(14,527,500)</w:t>
            </w:r>
          </w:p>
        </w:tc>
      </w:tr>
      <w:tr>
        <w:trPr>
          <w:trHeight w:val="216"/>
        </w:trPr>
        <w:tc>
          <w:tcPr>
            <w:tcW w:w="8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property and investing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Purchases of equipment and acquisition of tenant improvements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(174,000)</w:t>
            </w:r>
          </w:p>
        </w:tc>
      </w:tr>
      <w:tr>
        <w:trPr>
          <w:trHeight w:val="27"/>
        </w:trPr>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(174,000)</w:t>
            </w:r>
          </w:p>
        </w:tc>
      </w:tr>
      <w:tr>
        <w:trPr>
          <w:trHeight w:val="216"/>
        </w:trPr>
        <w:tc>
          <w:tcPr>
            <w:tcW w:w="8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3,349,000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17,041,000</w:t>
            </w:r>
          </w:p>
        </w:tc>
      </w:tr>
      <w:tr>
        <w:trPr>
          <w:trHeight w:val="216"/>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warrants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605,700</w:t>
            </w: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Proceeds from sale of warrants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sale of common stock under equity line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(2,700)</w:t>
            </w:r>
          </w:p>
        </w:tc>
      </w:tr>
      <w:tr>
        <w:trPr>
          <w:trHeight w:val="216"/>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notes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(220,500)</w:t>
            </w:r>
          </w:p>
        </w:tc>
      </w:tr>
      <w:tr>
        <w:trPr>
          <w:trHeight w:val="27"/>
        </w:trPr>
        <w:tc>
          <w:tcPr>
            <w:tcW w:w="8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4,011,800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17,423,500</w:t>
            </w:r>
          </w:p>
        </w:tc>
      </w:tr>
      <w:tr>
        <w:trPr>
          <w:trHeight w:val="27"/>
        </w:trPr>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(decrease) increase in cash and cash equivalents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(11,745,200)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2,722,000</w:t>
            </w:r>
          </w:p>
        </w:tc>
      </w:tr>
      <w:tr>
        <w:trPr>
          <w:trHeight w:val="216"/>
        </w:trPr>
        <w:tc>
          <w:tcPr>
            <w:tcW w:w="8180" w:type="dxa"/>
            <w:vAlign w:val="bottom"/>
          </w:tcPr>
          <w:p>
            <w:pPr>
              <w:ind w:left="60"/>
              <w:spacing w:after="0"/>
              <w:rPr>
                <w:sz w:val="20"/>
                <w:szCs w:val="20"/>
                <w:color w:val="auto"/>
              </w:rPr>
            </w:pPr>
            <w:r>
              <w:rPr>
                <w:rFonts w:ascii="Arial" w:cs="Arial" w:eastAsia="Arial" w:hAnsi="Arial"/>
                <w:sz w:val="18"/>
                <w:szCs w:val="18"/>
                <w:color w:val="auto"/>
              </w:rPr>
              <w:t>Cash and cash equivalents at beginning of fiscal year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13,100,300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10,378,300</w:t>
            </w:r>
          </w:p>
        </w:tc>
      </w:tr>
      <w:tr>
        <w:trPr>
          <w:trHeight w:val="27"/>
        </w:trPr>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fiscal year</w:t>
            </w: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1,355,100</w:t>
            </w:r>
          </w:p>
        </w:tc>
        <w:tc>
          <w:tcPr>
            <w:tcW w:w="1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13,100,300</w:t>
            </w:r>
          </w:p>
        </w:tc>
      </w:tr>
      <w:tr>
        <w:trPr>
          <w:trHeight w:val="210"/>
        </w:trPr>
        <w:tc>
          <w:tcPr>
            <w:tcW w:w="8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Supplemental disclosure of cash flow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14,800</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8,000</w:t>
            </w:r>
          </w:p>
        </w:tc>
      </w:tr>
      <w:tr>
        <w:trPr>
          <w:trHeight w:val="21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2,600</w:t>
            </w:r>
          </w:p>
        </w:tc>
      </w:tr>
      <w:tr>
        <w:trPr>
          <w:trHeight w:val="216"/>
        </w:trPr>
        <w:tc>
          <w:tcPr>
            <w:tcW w:w="8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292,800</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224,000</w:t>
            </w:r>
          </w:p>
        </w:tc>
      </w:tr>
      <w:tr>
        <w:trPr>
          <w:trHeight w:val="21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1,263,600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1,139,900</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Fair value of common stock issued reported as deferred offering costs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284,400</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settled by issuing common stock</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9" w:name="page100"/>
    <w:bookmarkEnd w:id="99"/>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40" w:type="dxa"/>
            <w:vAlign w:val="bottom"/>
            <w:gridSpan w:val="4"/>
          </w:tcPr>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8"/>
              </w:rPr>
              <w:t>VISTAGEN THERAPEUTICS,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80" w:type="dxa"/>
            <w:vAlign w:val="bottom"/>
            <w:gridSpan w:val="20"/>
          </w:tcPr>
          <w:p>
            <w:pPr>
              <w:jc w:val="center"/>
              <w:ind w:right="580"/>
              <w:spacing w:after="0"/>
              <w:rPr>
                <w:sz w:val="20"/>
                <w:szCs w:val="20"/>
                <w:color w:val="auto"/>
              </w:rPr>
            </w:pPr>
            <w:r>
              <w:rPr>
                <w:rFonts w:ascii="Arial" w:cs="Arial" w:eastAsia="Arial" w:hAnsi="Arial"/>
                <w:sz w:val="18"/>
                <w:szCs w:val="18"/>
                <w:b w:val="1"/>
                <w:bCs w:val="1"/>
                <w:color w:val="auto"/>
                <w:w w:val="98"/>
              </w:rPr>
              <w:t>CONSOLIDATED STATEMENTS OF STOCKHOLDERS’ EQUITY (DEFICIT)</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gridSpan w:val="11"/>
          </w:tcPr>
          <w:p>
            <w:pPr>
              <w:jc w:val="center"/>
              <w:ind w:left="252"/>
              <w:spacing w:after="0"/>
              <w:rPr>
                <w:sz w:val="20"/>
                <w:szCs w:val="20"/>
                <w:color w:val="auto"/>
              </w:rPr>
            </w:pPr>
            <w:r>
              <w:rPr>
                <w:rFonts w:ascii="Arial" w:cs="Arial" w:eastAsia="Arial" w:hAnsi="Arial"/>
                <w:sz w:val="18"/>
                <w:szCs w:val="18"/>
                <w:b w:val="1"/>
                <w:bCs w:val="1"/>
                <w:color w:val="auto"/>
                <w:w w:val="88"/>
              </w:rPr>
              <w:t>Fiscal Years Ended March 31, 2019 and 2020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20" w:type="dxa"/>
            <w:vAlign w:val="bottom"/>
            <w:gridSpan w:val="11"/>
          </w:tcPr>
          <w:p>
            <w:pPr>
              <w:jc w:val="center"/>
              <w:ind w:left="27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1000" w:type="dxa"/>
            <w:vAlign w:val="bottom"/>
          </w:tcPr>
          <w:p>
            <w:pPr>
              <w:spacing w:after="0"/>
              <w:rPr>
                <w:sz w:val="24"/>
                <w:szCs w:val="24"/>
                <w:color w:val="auto"/>
              </w:rPr>
            </w:pPr>
          </w:p>
        </w:tc>
        <w:tc>
          <w:tcPr>
            <w:tcW w:w="15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Series A Preferred</w:t>
            </w:r>
          </w:p>
        </w:tc>
        <w:tc>
          <w:tcPr>
            <w:tcW w:w="100" w:type="dxa"/>
            <w:vAlign w:val="bottom"/>
          </w:tcPr>
          <w:p>
            <w:pPr>
              <w:spacing w:after="0"/>
              <w:rPr>
                <w:sz w:val="24"/>
                <w:szCs w:val="24"/>
                <w:color w:val="auto"/>
              </w:rPr>
            </w:pPr>
          </w:p>
        </w:tc>
        <w:tc>
          <w:tcPr>
            <w:tcW w:w="154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Series B Preferred</w:t>
            </w:r>
          </w:p>
        </w:tc>
        <w:tc>
          <w:tcPr>
            <w:tcW w:w="80" w:type="dxa"/>
            <w:vAlign w:val="bottom"/>
          </w:tcPr>
          <w:p>
            <w:pPr>
              <w:spacing w:after="0"/>
              <w:rPr>
                <w:sz w:val="24"/>
                <w:szCs w:val="24"/>
                <w:color w:val="auto"/>
              </w:rPr>
            </w:pPr>
          </w:p>
        </w:tc>
        <w:tc>
          <w:tcPr>
            <w:tcW w:w="162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Series C Preferred</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0"/>
              </w:rPr>
              <w:t>Additional</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Total</w:t>
            </w:r>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1540" w:type="dxa"/>
            <w:vAlign w:val="bottom"/>
            <w:gridSpan w:val="5"/>
          </w:tcPr>
          <w:p>
            <w:pPr>
              <w:ind w:left="52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6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Stock</w:t>
            </w:r>
          </w:p>
        </w:tc>
        <w:tc>
          <w:tcPr>
            <w:tcW w:w="1600" w:type="dxa"/>
            <w:vAlign w:val="bottom"/>
            <w:gridSpan w:val="4"/>
          </w:tcPr>
          <w:p>
            <w:pPr>
              <w:ind w:left="20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Paid-in</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Treasury</w:t>
            </w:r>
          </w:p>
        </w:tc>
        <w:tc>
          <w:tcPr>
            <w:tcW w:w="2040" w:type="dxa"/>
            <w:vAlign w:val="bottom"/>
            <w:gridSpan w:val="6"/>
          </w:tcPr>
          <w:p>
            <w:pPr>
              <w:spacing w:after="0"/>
              <w:rPr>
                <w:sz w:val="20"/>
                <w:szCs w:val="20"/>
                <w:color w:val="auto"/>
              </w:rPr>
            </w:pPr>
            <w:r>
              <w:rPr>
                <w:rFonts w:ascii="Arial" w:cs="Arial" w:eastAsia="Arial" w:hAnsi="Arial"/>
                <w:sz w:val="18"/>
                <w:szCs w:val="18"/>
                <w:b w:val="1"/>
                <w:bCs w:val="1"/>
                <w:color w:val="auto"/>
                <w:w w:val="87"/>
              </w:rPr>
              <w:t>AccumulatedStockholders’</w:t>
            </w:r>
          </w:p>
        </w:tc>
      </w:tr>
      <w:tr>
        <w:trPr>
          <w:trHeight w:val="202"/>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3"/>
          </w:tcPr>
          <w:p>
            <w:pPr>
              <w:jc w:val="center"/>
              <w:ind w:right="200"/>
              <w:spacing w:after="0" w:line="201" w:lineRule="exact"/>
              <w:rPr>
                <w:sz w:val="20"/>
                <w:szCs w:val="20"/>
                <w:color w:val="auto"/>
              </w:rPr>
            </w:pPr>
            <w:r>
              <w:rPr>
                <w:rFonts w:ascii="Arial" w:cs="Arial" w:eastAsia="Arial" w:hAnsi="Arial"/>
                <w:sz w:val="18"/>
                <w:szCs w:val="18"/>
                <w:b w:val="1"/>
                <w:bCs w:val="1"/>
                <w:color w:val="auto"/>
                <w:w w:val="94"/>
              </w:rPr>
              <w:t>Equity</w:t>
            </w:r>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Shares</w:t>
            </w:r>
          </w:p>
        </w:tc>
        <w:tc>
          <w:tcPr>
            <w:tcW w:w="8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Amount</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7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Capital</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Stock</w:t>
            </w: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(Deficit)</w:t>
            </w:r>
          </w:p>
        </w:tc>
      </w:tr>
      <w:tr>
        <w:trPr>
          <w:trHeight w:val="486"/>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Balances at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500,000</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500</w:t>
            </w:r>
          </w:p>
        </w:tc>
        <w:tc>
          <w:tcPr>
            <w:tcW w:w="88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w w:val="89"/>
              </w:rPr>
              <w:t>1,160,240</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1,200</w:t>
            </w:r>
          </w:p>
        </w:tc>
        <w:tc>
          <w:tcPr>
            <w:tcW w:w="90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w w:val="94"/>
              </w:rPr>
              <w:t>2,318,012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  2,300</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88"/>
              </w:rPr>
              <w:t>23,068,280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$ 23,100</w:t>
            </w:r>
          </w:p>
        </w:tc>
        <w:tc>
          <w:tcPr>
            <w:tcW w:w="1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0"/>
              </w:rPr>
              <w:t>$167,401,400$(3,968,100)</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5"/>
              </w:rPr>
              <w:t>$(156,543,800)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$ 6,916,600</w:t>
            </w:r>
          </w:p>
        </w:tc>
        <w:tc>
          <w:tcPr>
            <w:tcW w:w="100" w:type="dxa"/>
            <w:vAlign w:val="bottom"/>
          </w:tcPr>
          <w:p>
            <w:pPr>
              <w:spacing w:after="0"/>
              <w:rPr>
                <w:sz w:val="20"/>
                <w:szCs w:val="20"/>
                <w:color w:val="auto"/>
              </w:rPr>
            </w:pPr>
          </w:p>
        </w:tc>
      </w:tr>
      <w:tr>
        <w:trPr>
          <w:trHeight w:val="216"/>
        </w:trPr>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rPr>
              <w:t>Proceeds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from sale of</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stock for cash</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in February</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2019 Public</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8"/>
              </w:rPr>
              <w:t>Offering, net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of</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9"/>
              </w:rPr>
              <w:t>underwriting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5"/>
              </w:rPr>
              <w:t>discount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expenses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88"/>
              </w:rPr>
              <w:t>11,500,000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11,500</w:t>
            </w:r>
          </w:p>
        </w:tc>
        <w:tc>
          <w:tcPr>
            <w:tcW w:w="980" w:type="dxa"/>
            <w:vAlign w:val="bottom"/>
            <w:gridSpan w:val="3"/>
          </w:tcPr>
          <w:p>
            <w:pPr>
              <w:ind w:left="140"/>
              <w:spacing w:after="0"/>
              <w:rPr>
                <w:sz w:val="20"/>
                <w:szCs w:val="20"/>
                <w:color w:val="auto"/>
              </w:rPr>
            </w:pPr>
            <w:r>
              <w:rPr>
                <w:rFonts w:ascii="Arial" w:cs="Arial" w:eastAsia="Arial" w:hAnsi="Arial"/>
                <w:sz w:val="18"/>
                <w:szCs w:val="18"/>
                <w:color w:val="auto"/>
                <w:w w:val="90"/>
              </w:rPr>
              <w:t>10,376,900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w w:val="86"/>
              </w:rPr>
              <w:t>10,388,400</w:t>
            </w:r>
          </w:p>
        </w:tc>
        <w:tc>
          <w:tcPr>
            <w:tcW w:w="100" w:type="dxa"/>
            <w:vAlign w:val="bottom"/>
          </w:tcPr>
          <w:p>
            <w:pPr>
              <w:spacing w:after="0"/>
              <w:rPr>
                <w:sz w:val="19"/>
                <w:szCs w:val="19"/>
                <w:color w:val="auto"/>
              </w:rPr>
            </w:pPr>
          </w:p>
        </w:tc>
      </w:tr>
      <w:tr>
        <w:trPr>
          <w:trHeight w:val="20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from sale of</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stock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warrants for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cash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settlement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of</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payable in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private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offerings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5,025,939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6,626,400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6,631,400</w:t>
            </w:r>
          </w:p>
        </w:tc>
        <w:tc>
          <w:tcPr>
            <w:tcW w:w="100" w:type="dxa"/>
            <w:vAlign w:val="bottom"/>
          </w:tcPr>
          <w:p>
            <w:pPr>
              <w:spacing w:after="0"/>
              <w:rPr>
                <w:sz w:val="19"/>
                <w:szCs w:val="19"/>
                <w:color w:val="auto"/>
              </w:rPr>
            </w:pP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rPr>
              <w:t>Proceeds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0"/>
              </w:rPr>
              <w:t>from exercise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of warrants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403,800</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605,300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605,700</w:t>
            </w:r>
          </w:p>
        </w:tc>
        <w:tc>
          <w:tcPr>
            <w:tcW w:w="100" w:type="dxa"/>
            <w:vAlign w:val="bottom"/>
          </w:tcPr>
          <w:p>
            <w:pPr>
              <w:spacing w:after="0"/>
              <w:rPr>
                <w:sz w:val="19"/>
                <w:szCs w:val="19"/>
                <w:color w:val="auto"/>
              </w:rPr>
            </w:pPr>
          </w:p>
        </w:tc>
      </w:tr>
      <w:tr>
        <w:trPr>
          <w:trHeight w:val="20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0"/>
              </w:rPr>
              <w:t>from exercise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of stock</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43,900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43,900</w:t>
            </w:r>
          </w:p>
        </w:tc>
        <w:tc>
          <w:tcPr>
            <w:tcW w:w="100" w:type="dxa"/>
            <w:vAlign w:val="bottom"/>
          </w:tcPr>
          <w:p>
            <w:pPr>
              <w:spacing w:after="0"/>
              <w:rPr>
                <w:sz w:val="19"/>
                <w:szCs w:val="19"/>
                <w:color w:val="auto"/>
              </w:rPr>
            </w:pP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rPr>
              <w:t>Accrued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6"/>
              </w:rPr>
              <w:t>dividends 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Series B</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Preferred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stock</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140"/>
              <w:spacing w:after="0"/>
              <w:rPr>
                <w:sz w:val="20"/>
                <w:szCs w:val="20"/>
                <w:color w:val="auto"/>
              </w:rPr>
            </w:pPr>
            <w:r>
              <w:rPr>
                <w:rFonts w:ascii="Arial" w:cs="Arial" w:eastAsia="Arial" w:hAnsi="Arial"/>
                <w:sz w:val="18"/>
                <w:szCs w:val="18"/>
                <w:color w:val="auto"/>
                <w:w w:val="89"/>
              </w:rPr>
              <w:t>(1,139,900)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(1,139,900)</w:t>
            </w:r>
          </w:p>
        </w:tc>
        <w:tc>
          <w:tcPr>
            <w:tcW w:w="100" w:type="dxa"/>
            <w:vAlign w:val="bottom"/>
          </w:tcPr>
          <w:p>
            <w:pPr>
              <w:spacing w:after="0"/>
              <w:rPr>
                <w:sz w:val="19"/>
                <w:szCs w:val="19"/>
                <w:color w:val="auto"/>
              </w:rPr>
            </w:pPr>
          </w:p>
        </w:tc>
      </w:tr>
      <w:tr>
        <w:trPr>
          <w:trHeight w:val="20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Stock-based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7"/>
              </w:rPr>
              <w:t>compensation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3,443,400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3,443,400</w:t>
            </w:r>
          </w:p>
        </w:tc>
        <w:tc>
          <w:tcPr>
            <w:tcW w:w="100" w:type="dxa"/>
            <w:vAlign w:val="bottom"/>
          </w:tcPr>
          <w:p>
            <w:pPr>
              <w:spacing w:after="0"/>
              <w:rPr>
                <w:sz w:val="19"/>
                <w:szCs w:val="19"/>
                <w:color w:val="auto"/>
              </w:rPr>
            </w:pP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w w:val="98"/>
              </w:rPr>
              <w:t>Fair value of</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8"/>
              </w:rPr>
              <w:t>stock issued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for PH94B</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license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8"/>
              </w:rPr>
              <w:t>PH10 option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and license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9"/>
              </w:rPr>
              <w:t>2,556,361</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c>
          <w:tcPr>
            <w:tcW w:w="980" w:type="dxa"/>
            <w:vAlign w:val="bottom"/>
            <w:gridSpan w:val="3"/>
          </w:tcPr>
          <w:p>
            <w:pPr>
              <w:ind w:left="140"/>
              <w:spacing w:after="0"/>
              <w:rPr>
                <w:sz w:val="20"/>
                <w:szCs w:val="20"/>
                <w:color w:val="auto"/>
              </w:rPr>
            </w:pPr>
            <w:r>
              <w:rPr>
                <w:rFonts w:ascii="Arial" w:cs="Arial" w:eastAsia="Arial" w:hAnsi="Arial"/>
                <w:sz w:val="18"/>
                <w:szCs w:val="18"/>
                <w:color w:val="auto"/>
              </w:rPr>
              <w:t>4,247,400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4,250,000</w:t>
            </w:r>
          </w:p>
        </w:tc>
        <w:tc>
          <w:tcPr>
            <w:tcW w:w="100" w:type="dxa"/>
            <w:vAlign w:val="bottom"/>
          </w:tcPr>
          <w:p>
            <w:pPr>
              <w:spacing w:after="0"/>
              <w:rPr>
                <w:sz w:val="19"/>
                <w:szCs w:val="19"/>
                <w:color w:val="auto"/>
              </w:rPr>
            </w:pPr>
          </w:p>
        </w:tc>
      </w:tr>
      <w:tr>
        <w:trPr>
          <w:trHeight w:val="20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8"/>
              </w:rPr>
              <w:t>Fair value of</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stock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issued for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499,300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499,500</w:t>
            </w:r>
          </w:p>
        </w:tc>
        <w:tc>
          <w:tcPr>
            <w:tcW w:w="100" w:type="dxa"/>
            <w:vAlign w:val="bottom"/>
          </w:tcPr>
          <w:p>
            <w:pPr>
              <w:spacing w:after="0"/>
              <w:rPr>
                <w:sz w:val="19"/>
                <w:szCs w:val="19"/>
                <w:color w:val="auto"/>
              </w:rPr>
            </w:pP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rPr>
              <w:t>Increase in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25,800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25,800</w:t>
            </w: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000" w:type="dxa"/>
            <w:vAlign w:val="bottom"/>
          </w:tcPr>
          <w:p>
            <w:pPr>
              <w:spacing w:after="0"/>
              <w:rPr>
                <w:sz w:val="20"/>
                <w:szCs w:val="20"/>
                <w:color w:val="auto"/>
              </w:rPr>
            </w:pPr>
            <w:r>
              <w:rPr>
                <w:rFonts w:ascii="Arial" w:cs="Arial" w:eastAsia="Arial" w:hAnsi="Arial"/>
                <w:sz w:val="18"/>
                <w:szCs w:val="18"/>
                <w:color w:val="auto"/>
                <w:w w:val="89"/>
              </w:rPr>
              <w:t>attributable to</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ectPr>
          <w:pgSz w:w="11900" w:h="16862" w:orient="portrait"/>
          <w:cols w:equalWidth="0" w:num="1">
            <w:col w:w="11340"/>
          </w:cols>
          <w:pgMar w:left="320" w:top="131" w:right="239" w:bottom="0" w:gutter="0" w:footer="0" w:header="0"/>
        </w:sectPr>
      </w:pPr>
    </w:p>
    <w:bookmarkStart w:id="100" w:name="page101"/>
    <w:bookmarkEnd w:id="100"/>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modifications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rPr>
              <w:t>Net loss for</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the fiscal year</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3"/>
              </w:rPr>
              <w:t>ended March</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31, 2019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(24,589,600)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(24,589,600)</w:t>
            </w:r>
          </w:p>
        </w:tc>
      </w:tr>
      <w:tr>
        <w:trPr>
          <w:trHeight w:val="224"/>
        </w:trPr>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Balances at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500,000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9"/>
              </w:rPr>
              <w:t>1,160,240</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2,318,012</w:t>
            </w: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2,300</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42,758,630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8"/>
              </w:rPr>
              <w:t>$ 42,800</w:t>
            </w:r>
          </w:p>
        </w:tc>
        <w:tc>
          <w:tcPr>
            <w:tcW w:w="1840" w:type="dxa"/>
            <w:vAlign w:val="bottom"/>
            <w:gridSpan w:val="5"/>
          </w:tcPr>
          <w:p>
            <w:pPr>
              <w:jc w:val="right"/>
              <w:ind w:right="6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192,129,900</w:t>
            </w: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(3,968,100)</w:t>
            </w:r>
          </w:p>
        </w:tc>
        <w:tc>
          <w:tcPr>
            <w:tcW w:w="1940" w:type="dxa"/>
            <w:vAlign w:val="bottom"/>
            <w:gridSpan w:val="4"/>
          </w:tcPr>
          <w:p>
            <w:pPr>
              <w:jc w:val="right"/>
              <w:ind w:right="10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(181,133,400)$ 7,075,200</w:t>
            </w:r>
          </w:p>
        </w:tc>
      </w:tr>
      <w:tr>
        <w:trPr>
          <w:trHeight w:val="216"/>
        </w:trPr>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from sale of</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units of</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stock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for cash in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private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placements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649,400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w:t>
            </w: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rPr>
              <w:t>Proceeds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from sale of</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warrants in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private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placement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300,000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Proceeds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from sale of</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units of</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stock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for cash in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public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offering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concurrent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private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3,870,077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3,900</w:t>
            </w: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2,695,100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2,699,000</w:t>
            </w: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rPr>
              <w:t>Issuance of</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9"/>
              </w:rPr>
              <w:t>commitment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shares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4"/>
              </w:rPr>
              <w:t>net proceeds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of initial</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sale of</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stock under</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equity line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99"/>
              </w:rPr>
              <w:t>1,250,000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1,200</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525,100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526,300</w:t>
            </w:r>
          </w:p>
        </w:tc>
      </w:tr>
      <w:tr>
        <w:trPr>
          <w:trHeight w:val="20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0"/>
              </w:rPr>
              <w:t>from exercise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of warrants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820,000</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409,200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410,000</w:t>
            </w: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rPr>
              <w:t>Accrued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6"/>
              </w:rPr>
              <w:t>dividends on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Series B</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Preferred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stock</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ind w:left="140"/>
              <w:spacing w:after="0"/>
              <w:rPr>
                <w:sz w:val="20"/>
                <w:szCs w:val="20"/>
                <w:color w:val="auto"/>
              </w:rPr>
            </w:pPr>
            <w:r>
              <w:rPr>
                <w:rFonts w:ascii="Arial" w:cs="Arial" w:eastAsia="Arial" w:hAnsi="Arial"/>
                <w:sz w:val="18"/>
                <w:szCs w:val="18"/>
                <w:color w:val="auto"/>
                <w:w w:val="89"/>
              </w:rPr>
              <w:t>(1,263,600)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(1,263,600)</w:t>
            </w:r>
          </w:p>
        </w:tc>
      </w:tr>
      <w:tr>
        <w:trPr>
          <w:trHeight w:val="209"/>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Stock-based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7"/>
              </w:rPr>
              <w:t>compensation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3,820,800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3,820,800</w:t>
            </w: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rPr>
              <w:t>Increase in</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attributed to</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warrant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3"/>
              </w:rPr>
              <w:t>modifications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warrants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issued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826,900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826,900</w:t>
            </w:r>
          </w:p>
        </w:tc>
      </w:tr>
      <w:tr>
        <w:trPr>
          <w:trHeight w:val="217"/>
        </w:trPr>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1000" w:type="dxa"/>
            <w:vAlign w:val="bottom"/>
          </w:tcPr>
          <w:p>
            <w:pPr>
              <w:spacing w:after="0"/>
              <w:rPr>
                <w:sz w:val="20"/>
                <w:szCs w:val="20"/>
                <w:color w:val="auto"/>
              </w:rPr>
            </w:pPr>
            <w:r>
              <w:rPr>
                <w:rFonts w:ascii="Arial" w:cs="Arial" w:eastAsia="Arial" w:hAnsi="Arial"/>
                <w:sz w:val="18"/>
                <w:szCs w:val="18"/>
                <w:color w:val="auto"/>
              </w:rPr>
              <w:t>Net loss for</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88"/>
              </w:rPr>
              <w:t>the fiscal year</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3"/>
              </w:rPr>
              <w:t>ended March</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0" w:type="dxa"/>
            <w:vAlign w:val="bottom"/>
          </w:tcPr>
          <w:p>
            <w:pPr>
              <w:spacing w:after="0"/>
              <w:rPr>
                <w:sz w:val="20"/>
                <w:szCs w:val="20"/>
                <w:color w:val="auto"/>
              </w:rPr>
            </w:pPr>
            <w:r>
              <w:rPr>
                <w:rFonts w:ascii="Arial" w:cs="Arial" w:eastAsia="Arial" w:hAnsi="Arial"/>
                <w:sz w:val="18"/>
                <w:szCs w:val="18"/>
                <w:color w:val="auto"/>
              </w:rPr>
              <w:t>31, 2020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82"/>
              </w:rPr>
              <w:t>(20,774,000)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(20,774,000)</w:t>
            </w:r>
          </w:p>
        </w:tc>
      </w:tr>
      <w:tr>
        <w:trPr>
          <w:trHeight w:val="224"/>
        </w:trPr>
        <w:tc>
          <w:tcPr>
            <w:tcW w:w="10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2"/>
        </w:trPr>
        <w:tc>
          <w:tcPr>
            <w:tcW w:w="100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Balances at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00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500,000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9"/>
              </w:rPr>
              <w:t>1,160,240</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2,318,012</w:t>
            </w: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2,300</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49,348,707</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8"/>
              </w:rPr>
              <w:t>$ 49,300</w:t>
            </w:r>
          </w:p>
        </w:tc>
        <w:tc>
          <w:tcPr>
            <w:tcW w:w="1840" w:type="dxa"/>
            <w:vAlign w:val="bottom"/>
            <w:gridSpan w:val="5"/>
          </w:tcPr>
          <w:p>
            <w:pPr>
              <w:jc w:val="right"/>
              <w:ind w:right="6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200,092,800</w:t>
            </w: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(3,968,100)</w:t>
            </w:r>
          </w:p>
        </w:tc>
        <w:tc>
          <w:tcPr>
            <w:tcW w:w="1940" w:type="dxa"/>
            <w:vAlign w:val="bottom"/>
            <w:gridSpan w:val="4"/>
          </w:tcPr>
          <w:p>
            <w:pPr>
              <w:jc w:val="right"/>
              <w:ind w:right="4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(201,907,400)</w:t>
            </w: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(5,729,400)</w:t>
            </w:r>
          </w:p>
        </w:tc>
      </w:tr>
      <w:tr>
        <w:trPr>
          <w:trHeight w:val="21"/>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91" w:orient="portrait"/>
          <w:cols w:equalWidth="0" w:num="1">
            <w:col w:w="11240"/>
          </w:cols>
          <w:pgMar w:left="320" w:top="131" w:right="339" w:bottom="0" w:gutter="0" w:footer="0" w:header="0"/>
        </w:sectPr>
      </w:pPr>
    </w:p>
    <w:bookmarkStart w:id="101" w:name="page102"/>
    <w:bookmarkEnd w:id="101"/>
    <w:p>
      <w:pPr>
        <w:jc w:val="center"/>
        <w:spacing w:after="0"/>
        <w:rPr>
          <w:sz w:val="20"/>
          <w:szCs w:val="20"/>
          <w:color w:val="auto"/>
        </w:rPr>
      </w:pPr>
      <w:r>
        <w:rPr>
          <w:rFonts w:ascii="Arial" w:cs="Arial" w:eastAsia="Arial" w:hAnsi="Arial"/>
          <w:sz w:val="15"/>
          <w:szCs w:val="15"/>
          <w:color w:val="auto"/>
        </w:rPr>
        <w:t>See accompanying notes to consolidated financial statements.</w:t>
      </w:r>
    </w:p>
    <w:p>
      <w:pPr>
        <w:sectPr>
          <w:pgSz w:w="11900" w:h="16838" w:orient="portrait"/>
          <w:cols w:equalWidth="0" w:num="1">
            <w:col w:w="9019"/>
          </w:cols>
          <w:pgMar w:left="1440" w:top="347"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type w:val="continuous"/>
        </w:sectPr>
      </w:pPr>
    </w:p>
    <w:bookmarkStart w:id="102" w:name="page103"/>
    <w:bookmarkEnd w:id="10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ind w:right="9260" w:firstLine="8"/>
        <w:spacing w:after="0" w:line="504" w:lineRule="auto"/>
        <w:tabs>
          <w:tab w:leader="none" w:pos="219"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Overview</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333333"/>
        </w:rPr>
        <w:t xml:space="preserve">VistaGen Therapeutics, Inc., a Nevada corporation </w:t>
      </w:r>
      <w:r>
        <w:rPr>
          <w:rFonts w:ascii="Arial" w:cs="Arial" w:eastAsia="Arial" w:hAnsi="Arial"/>
          <w:sz w:val="16"/>
          <w:szCs w:val="16"/>
          <w:color w:val="000000"/>
        </w:rPr>
        <w:t>(which may be referred to as</w:t>
      </w:r>
      <w:r>
        <w:rPr>
          <w:rFonts w:ascii="Arial" w:cs="Arial" w:eastAsia="Arial" w:hAnsi="Arial"/>
          <w:sz w:val="16"/>
          <w:szCs w:val="16"/>
          <w:color w:val="333333"/>
        </w:rPr>
        <w:t xml:space="preserve"> </w:t>
      </w:r>
      <w:r>
        <w:rPr>
          <w:rFonts w:ascii="Arial" w:cs="Arial" w:eastAsia="Arial" w:hAnsi="Arial"/>
          <w:sz w:val="16"/>
          <w:szCs w:val="16"/>
          <w:i w:val="1"/>
          <w:iCs w:val="1"/>
          <w:color w:val="000000"/>
        </w:rPr>
        <w:t>VistaGen</w:t>
      </w:r>
      <w:r>
        <w:rPr>
          <w:rFonts w:ascii="Arial" w:cs="Arial" w:eastAsia="Arial" w:hAnsi="Arial"/>
          <w:sz w:val="16"/>
          <w:szCs w:val="16"/>
          <w:color w:val="000000"/>
        </w:rPr>
        <w:t>, the</w:t>
      </w:r>
      <w:r>
        <w:rPr>
          <w:rFonts w:ascii="Arial" w:cs="Arial" w:eastAsia="Arial" w:hAnsi="Arial"/>
          <w:sz w:val="16"/>
          <w:szCs w:val="16"/>
          <w:color w:val="333333"/>
        </w:rPr>
        <w:t xml:space="preserve"> </w:t>
      </w:r>
      <w:r>
        <w:rPr>
          <w:rFonts w:ascii="Arial" w:cs="Arial" w:eastAsia="Arial" w:hAnsi="Arial"/>
          <w:sz w:val="16"/>
          <w:szCs w:val="16"/>
          <w:i w:val="1"/>
          <w:iCs w:val="1"/>
          <w:color w:val="000000"/>
        </w:rPr>
        <w:t>Company</w:t>
      </w:r>
      <w:r>
        <w:rPr>
          <w:rFonts w:ascii="Arial" w:cs="Arial" w:eastAsia="Arial" w:hAnsi="Arial"/>
          <w:sz w:val="16"/>
          <w:szCs w:val="16"/>
          <w:color w:val="000000"/>
        </w:rPr>
        <w:t>,</w:t>
      </w:r>
      <w:r>
        <w:rPr>
          <w:rFonts w:ascii="Arial" w:cs="Arial" w:eastAsia="Arial" w:hAnsi="Arial"/>
          <w:sz w:val="16"/>
          <w:szCs w:val="16"/>
          <w:color w:val="333333"/>
        </w:rPr>
        <w:t xml:space="preserve"> </w:t>
      </w:r>
      <w:r>
        <w:rPr>
          <w:rFonts w:ascii="Arial" w:cs="Arial" w:eastAsia="Arial" w:hAnsi="Arial"/>
          <w:sz w:val="16"/>
          <w:szCs w:val="16"/>
          <w:i w:val="1"/>
          <w:iCs w:val="1"/>
          <w:color w:val="000000"/>
        </w:rPr>
        <w:t>we</w:t>
      </w:r>
      <w:r>
        <w:rPr>
          <w:rFonts w:ascii="Arial" w:cs="Arial" w:eastAsia="Arial" w:hAnsi="Arial"/>
          <w:sz w:val="16"/>
          <w:szCs w:val="16"/>
          <w:color w:val="000000"/>
        </w:rPr>
        <w:t>,</w:t>
      </w:r>
      <w:r>
        <w:rPr>
          <w:rFonts w:ascii="Arial" w:cs="Arial" w:eastAsia="Arial" w:hAnsi="Arial"/>
          <w:sz w:val="16"/>
          <w:szCs w:val="16"/>
          <w:color w:val="333333"/>
        </w:rPr>
        <w:t xml:space="preserve"> </w:t>
      </w:r>
      <w:r>
        <w:rPr>
          <w:rFonts w:ascii="Arial" w:cs="Arial" w:eastAsia="Arial" w:hAnsi="Arial"/>
          <w:sz w:val="16"/>
          <w:szCs w:val="16"/>
          <w:i w:val="1"/>
          <w:iCs w:val="1"/>
          <w:color w:val="000000"/>
        </w:rPr>
        <w:t>our</w:t>
      </w:r>
      <w:r>
        <w:rPr>
          <w:rFonts w:ascii="Arial" w:cs="Arial" w:eastAsia="Arial" w:hAnsi="Arial"/>
          <w:sz w:val="16"/>
          <w:szCs w:val="16"/>
          <w:color w:val="000000"/>
        </w:rPr>
        <w:t>, or</w:t>
      </w:r>
      <w:r>
        <w:rPr>
          <w:rFonts w:ascii="Arial" w:cs="Arial" w:eastAsia="Arial" w:hAnsi="Arial"/>
          <w:sz w:val="16"/>
          <w:szCs w:val="16"/>
          <w:color w:val="333333"/>
        </w:rPr>
        <w:t xml:space="preserve"> </w:t>
      </w:r>
      <w:r>
        <w:rPr>
          <w:rFonts w:ascii="Arial" w:cs="Arial" w:eastAsia="Arial" w:hAnsi="Arial"/>
          <w:sz w:val="16"/>
          <w:szCs w:val="16"/>
          <w:i w:val="1"/>
          <w:iCs w:val="1"/>
          <w:color w:val="000000"/>
        </w:rPr>
        <w:t>us</w:t>
      </w:r>
      <w:r>
        <w:rPr>
          <w:rFonts w:ascii="Arial" w:cs="Arial" w:eastAsia="Arial" w:hAnsi="Arial"/>
          <w:sz w:val="16"/>
          <w:szCs w:val="16"/>
          <w:color w:val="000000"/>
        </w:rPr>
        <w:t>),</w:t>
      </w:r>
      <w:r>
        <w:rPr>
          <w:rFonts w:ascii="Arial" w:cs="Arial" w:eastAsia="Arial" w:hAnsi="Arial"/>
          <w:sz w:val="16"/>
          <w:szCs w:val="16"/>
          <w:color w:val="333333"/>
        </w:rPr>
        <w:t xml:space="preserve"> is </w:t>
      </w:r>
      <w:r>
        <w:rPr>
          <w:rFonts w:ascii="Arial" w:cs="Arial" w:eastAsia="Arial" w:hAnsi="Arial"/>
          <w:sz w:val="16"/>
          <w:szCs w:val="16"/>
          <w:color w:val="000000"/>
        </w:rPr>
        <w:t>a multi-asset, clinical-stage</w:t>
      </w:r>
      <w:r>
        <w:rPr>
          <w:rFonts w:ascii="Arial" w:cs="Arial" w:eastAsia="Arial" w:hAnsi="Arial"/>
          <w:sz w:val="16"/>
          <w:szCs w:val="16"/>
          <w:color w:val="333333"/>
        </w:rPr>
        <w:t xml:space="preserve"> </w:t>
      </w:r>
      <w:r>
        <w:rPr>
          <w:rFonts w:ascii="Arial" w:cs="Arial" w:eastAsia="Arial" w:hAnsi="Arial"/>
          <w:sz w:val="16"/>
          <w:szCs w:val="16"/>
          <w:color w:val="000000"/>
        </w:rPr>
        <w:t>biopharmaceutical company committed to developing differentiated new generation medications for anxiety, depression and other central nervous system (</w:t>
      </w:r>
      <w:r>
        <w:rPr>
          <w:rFonts w:ascii="Arial" w:cs="Arial" w:eastAsia="Arial" w:hAnsi="Arial"/>
          <w:sz w:val="16"/>
          <w:szCs w:val="16"/>
          <w:i w:val="1"/>
          <w:iCs w:val="1"/>
          <w:color w:val="000000"/>
        </w:rPr>
        <w:t>CNS</w:t>
      </w:r>
      <w:r>
        <w:rPr>
          <w:rFonts w:ascii="Arial" w:cs="Arial" w:eastAsia="Arial" w:hAnsi="Arial"/>
          <w:sz w:val="16"/>
          <w:szCs w:val="16"/>
          <w:color w:val="000000"/>
        </w:rPr>
        <w:t>) diseases and disorders with high unmet need.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PH94B Neuroactive Nasal Spray for Anxiety-related Disorders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PH94B neuroactive nasal spray is an odorless, first-in-class, fast-acting synthetic neurosteroid with therapeutic potential in a wide range of neuropsychiatric indications involving anxiety or phobia. Conveniently self-administered in microgram doses without systemic exposure, we are initially developing PH94B as a potential fast-acting, non-sedating, non-addictive new generation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SAD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or humiliate them. Some people with SAD have performance anxiety. They feel physical symptoms of fear and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chronic ADs have slow onset of therapeutic effect (often taking many weeks to months) and significant side effects (often beginning soon after administration). Slow onset of effect, chronic administration and significant side effects may make the FDA-approved ADs inadequate or inappropriate treatment alternatives for many individuals affected by SAD episodically. VistaGen’s PH94B is fundamentally differentiated from all current anxiolytics, including all ADs approved by the FDA for treatment of SAD. Intranasal self-administration of only approximately 3.2 micrograms of PH94B binds to nasal chemosensory receptors that, in turn, activate key neural circuits in the brain that lead to rapid suppression of fear and anxiety. In Phase 2 and pilot Phase 3 clinical studies to date, PH94B has not shown psychological side effects (such as dissociation or hallucinations), systemic exposure, sedation or other side effects and safety concerns that may be caused by the current ADs approved by the FDA for treatment of SAD, as well as by benzodiazepines and beta blockers, which are not approved by the FDA to treat SAD but which may be prescribed by psychiatrists and physicians for treatment of SAD on an off-label basis.</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 peer-reviewed, published double-blind, placebo-controlled Phase 2 clinical trial, PH94B neuroactive nasal spray was significantly more effective than placebo in reducing both public-speaking (performance) anxiety (p=0.002) and social interaction anxiety (p=0.009) in laboratory challenges of individuals with SAD within 15 minutes of self-administration of a non-systemic 1.6 microgram dose of PH94B. Based on its novel mechanism of pharmacological action, rapid-onset of therapeutic effects and exceptional safety and tolerability profile in Phase 2 and pilot Phase 3 clinical trials to date, we are preparing for Phase 3 clinical development of PH94B for treatment of SAD in adults. Our goal is to develop and commercialize PH94B as the first FDA-approved, fast-acting, on-demand, at-home treatment for SAD. Additional potential anxiety-related neuropsychiatric indications for PH94B include general anxiety disorder, peripartum anxiety (pre- and post-partum anxiety), preoperative or pre-testing (e.g., pre-MRI) anxiety, panic disorder, post-traumatic stress disorder and specific social phobias. </w:t>
      </w:r>
      <w:r>
        <w:rPr>
          <w:rFonts w:ascii="Arial" w:cs="Arial" w:eastAsia="Arial" w:hAnsi="Arial"/>
          <w:sz w:val="16"/>
          <w:szCs w:val="16"/>
          <w:color w:val="333333"/>
        </w:rPr>
        <w:t>The FDA has granted Fast Track designation for development of our PH94B neuroactive nasal spray for on-demand treatment of SAD, the FDA’s first</w:t>
      </w:r>
      <w:r>
        <w:rPr>
          <w:rFonts w:ascii="Arial" w:cs="Arial" w:eastAsia="Arial" w:hAnsi="Arial"/>
          <w:sz w:val="16"/>
          <w:szCs w:val="16"/>
          <w:color w:val="auto"/>
        </w:rPr>
        <w:t xml:space="preserve"> </w:t>
      </w:r>
      <w:r>
        <w:rPr>
          <w:rFonts w:ascii="Arial" w:cs="Arial" w:eastAsia="Arial" w:hAnsi="Arial"/>
          <w:sz w:val="16"/>
          <w:szCs w:val="16"/>
          <w:color w:val="333333"/>
        </w:rPr>
        <w:t>such designation for a drug candidate for SAD.</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development of PH94B as a potential treatment for SAD, in April 2020, we announced plans to expand clinical development of PH94B to include treatment of adjustment disorder, an emotional or behavioral reaction considered excessive or out of proportion to a stressful event or major life change, occurring within three months of the stressor, and/or significantly impairing a person’s social, occupational and/or other important areas of functioning. We plan to submit our proposed protocol for an exploratory Phase 2a study of PH94B for treatment of adjustment disorder with anxiety due to stressors related to the COVID-19 pandemic to the FDA through the Coronavirus Treatment Acceleration Program (</w:t>
      </w:r>
      <w:r>
        <w:rPr>
          <w:rFonts w:ascii="Arial" w:cs="Arial" w:eastAsia="Arial" w:hAnsi="Arial"/>
          <w:sz w:val="18"/>
          <w:szCs w:val="18"/>
          <w:i w:val="1"/>
          <w:iCs w:val="1"/>
          <w:color w:val="auto"/>
        </w:rPr>
        <w:t>CTAP</w:t>
      </w:r>
      <w:r>
        <w:rPr>
          <w:rFonts w:ascii="Arial" w:cs="Arial" w:eastAsia="Arial" w:hAnsi="Arial"/>
          <w:sz w:val="18"/>
          <w:szCs w:val="18"/>
          <w:color w:val="auto"/>
        </w:rPr>
        <w:t>). The proposed Phase 2 study will be conducted in New York City on an open-label basis and involve approximately 30 subjects suffering from adjustment disorder with anxiety from stressors related to the pandemic.</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03" w:name="page104"/>
    <w:bookmarkEnd w:id="10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PH10 Neuroactive Nasal Spray for Depression and Suicidal Ideation</w:t>
      </w:r>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PH10 neuroactive nasal spray is an odorless, fast-acting synthetic neurosteroid with therapeutic potential in a wide range of neuropsychiatric indications involving depression and suicidal ideation. Conveniently self-administered in microgram doses without systemic exposure, we are initially developing PH94B as a potential fast-acting, non-sedating, non-addictive new generation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ketamine-based therapy (KBT), including intravenous ketamine or esketamine nasal spray, or the significant side effects of current ADs.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(HAM-D), without side effects or safety concerns that may be caused by KBT. Based on positive results from this exploratory Phase 2a study, we are preparing for Phase 2b clinical development of PH10 in MDD. With its exceptional safety profile during clinical development to date, we believe PH10, as a convenient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 Oral NMDA Receptor Antagonist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and KBT. With its exceptionally few side effects and excellent safety profile, AV-101 has potential to be a differentiated oral, new generation treatment for multiple large-market CNS indications where current treatments are inadequate to meet high unmet patient needs. The FDA has granted Fast Track designation for development of AV-101 as both a potential adjunctive treatment for MDD and as a non-opioid treatment for neuropathic pain.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recently completed a double-blind, placebo-controlled, multi-center Phase 2 clinical trial of AV-101 as a potential adjunctive treatment, together with a standard FDA-approved oral AD (either a selective serotonin reuptake inhibitor (</w:t>
      </w:r>
      <w:r>
        <w:rPr>
          <w:rFonts w:ascii="Arial" w:cs="Arial" w:eastAsia="Arial" w:hAnsi="Arial"/>
          <w:sz w:val="16"/>
          <w:szCs w:val="16"/>
          <w:i w:val="1"/>
          <w:iCs w:val="1"/>
          <w:color w:val="auto"/>
        </w:rPr>
        <w:t>SSRI</w:t>
      </w:r>
      <w:r>
        <w:rPr>
          <w:rFonts w:ascii="Arial" w:cs="Arial" w:eastAsia="Arial" w:hAnsi="Arial"/>
          <w:sz w:val="16"/>
          <w:szCs w:val="16"/>
          <w:color w:val="auto"/>
        </w:rPr>
        <w:t>) or a serotonin norepinephrine reuptake inhibitor (</w:t>
      </w:r>
      <w:r>
        <w:rPr>
          <w:rFonts w:ascii="Arial" w:cs="Arial" w:eastAsia="Arial" w:hAnsi="Arial"/>
          <w:sz w:val="16"/>
          <w:szCs w:val="16"/>
          <w:i w:val="1"/>
          <w:iCs w:val="1"/>
          <w:color w:val="auto"/>
        </w:rPr>
        <w:t>SNRI</w:t>
      </w:r>
      <w:r>
        <w:rPr>
          <w:rFonts w:ascii="Arial" w:cs="Arial" w:eastAsia="Arial" w:hAnsi="Arial"/>
          <w:sz w:val="16"/>
          <w:szCs w:val="16"/>
          <w:color w:val="auto"/>
        </w:rPr>
        <w:t xml:space="preserve">)), in MDD patients who had an inadequate response to a stable dose of a standard AD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(1440 mg) did not differentiate from placebo on the primary endpoint (change in the Montgomery-Åsberg Depression Rating Scale (MADRS-10) total score compared to baseline), potentially due to sub-therapeutic levels of 7-Cl-KYNA in the brain. As in prior clinical studies, AV-101 was well tolerated, with no psychotomimetic side effects or drug-related serious adverse events.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4" w:name="page105"/>
    <w:bookmarkEnd w:id="10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a safe and well-known oral anion transport inhibitor used to treat gout. These surprising effects were first revealed in our recent preclinical studies, although they are consistent with well-documented clinical studies of probenecid increasing the therapeutic benefits of several unrelated classes of approved drugs, including certain antibacterial, anticancer and antiviral drugs. When probenecid was administered adjunctively with AV-101 in an animal model, substantially increased brain concentrations of both AV-101 (7-fold) and of 7-Cl-KYNA (35-fold)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 Study</w:t>
      </w:r>
      <w:r>
        <w:rPr>
          <w:rFonts w:ascii="Arial" w:cs="Arial" w:eastAsia="Arial" w:hAnsi="Arial"/>
          <w:sz w:val="16"/>
          <w:szCs w:val="16"/>
          <w:color w:val="auto"/>
        </w:rPr>
        <w:t>). The findings from the Baylor Study suggest that, in healthy Veterans, the higher dose of AV-101 (1440 mg) was associated with dose-related</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successful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conduct additional AV-101 preclinical studies with adjunctive probenecid to evaluate its potential applicability to MDD, suicidal ideation and other NMDAR-focused CNS indications for which we have existing preclinical data with AV-101 as a monotherapy, including epilepsy, levodopa-induced dyskinesia, and neuropathic pain, to determine the most appropriate path forward for potential future clinical development and commercialization of AV-101.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VistaStem Therapeutics – Stem Cell Technology for Drug Rescue and Regenerative Medicine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current CNS drug candidates, we have stem cell technology-based, pipeline-enabling programs through our wholly-owned subsidiary,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VistaStem is focused on applying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 technologies, including our customized cardiac bioassay system, </w:t>
      </w:r>
      <w:r>
        <w:rPr>
          <w:rFonts w:ascii="Arial" w:cs="Arial" w:eastAsia="Arial" w:hAnsi="Arial"/>
          <w:sz w:val="18"/>
          <w:szCs w:val="18"/>
          <w:i w:val="1"/>
          <w:iCs w:val="1"/>
          <w:color w:val="auto"/>
        </w:rPr>
        <w:t>CardioSafe 3D</w:t>
      </w:r>
      <w:r>
        <w:rPr>
          <w:rFonts w:ascii="Arial" w:cs="Arial" w:eastAsia="Arial" w:hAnsi="Arial"/>
          <w:sz w:val="18"/>
          <w:szCs w:val="18"/>
          <w:color w:val="auto"/>
        </w:rPr>
        <w:t>, to discover and develop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8"/>
          <w:szCs w:val="18"/>
          <w:i w:val="1"/>
          <w:iCs w:val="1"/>
          <w:color w:val="auto"/>
        </w:rPr>
        <w:t>CT</w:t>
      </w:r>
      <w:r>
        <w:rPr>
          <w:rFonts w:ascii="Arial" w:cs="Arial" w:eastAsia="Arial" w:hAnsi="Arial"/>
          <w:sz w:val="18"/>
          <w:szCs w:val="18"/>
          <w:color w:val="auto"/>
        </w:rPr>
        <w:t>) and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fields.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To advance potential CT and RM applications of VistaStem’s hPSC technologies related to heart cells, we licensed to BlueRock Therapeutics LP, a next generation CT/RM company formed jointly by Bayer AG and Versant Ventures, rights to develop and commercialize certain proprietary technologies relating to the production of cardiac stem cells for the treatment of heart disease. As a result of its acquisition of BlueRock Therapeutics in 2019, Bayer AG now holds rights to develop and commercialize VistaStem’s hPSC technologies relating to the production of heart cells for the treatment of heart disease (the </w:t>
      </w:r>
      <w:r>
        <w:rPr>
          <w:rFonts w:ascii="Arial" w:cs="Arial" w:eastAsia="Arial" w:hAnsi="Arial"/>
          <w:sz w:val="18"/>
          <w:szCs w:val="18"/>
          <w:i w:val="1"/>
          <w:iCs w:val="1"/>
          <w:color w:val="auto"/>
        </w:rPr>
        <w:t>Bayer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In a manner similar to the Bayer Agreement, we may pursue additional collaborations involving rights to develop and commercialize VistaStem’s</w:t>
      </w:r>
      <w:r>
        <w:rPr>
          <w:rFonts w:ascii="Arial" w:cs="Arial" w:eastAsia="Arial" w:hAnsi="Arial"/>
          <w:sz w:val="18"/>
          <w:szCs w:val="18"/>
          <w:i w:val="1"/>
          <w:iCs w:val="1"/>
          <w:color w:val="auto"/>
        </w:rPr>
        <w:t xml:space="preserve"> </w:t>
      </w:r>
      <w:r>
        <w:rPr>
          <w:rFonts w:ascii="Arial" w:cs="Arial" w:eastAsia="Arial" w:hAnsi="Arial"/>
          <w:sz w:val="18"/>
          <w:szCs w:val="18"/>
          <w:color w:val="auto"/>
        </w:rPr>
        <w:t>hPSC technologies for production of blood, cartilage, and/or liver cells for CT and RM applications, including, among other indications, treatment of arthritis, cancer and liver disease.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is our wholly-owned subsidiary. Our Consolidated Financial Statements in this Annual Report on Form 10-K (</w:t>
      </w:r>
      <w:r>
        <w:rPr>
          <w:rFonts w:ascii="Arial" w:cs="Arial" w:eastAsia="Arial" w:hAnsi="Arial"/>
          <w:sz w:val="18"/>
          <w:szCs w:val="18"/>
          <w:i w:val="1"/>
          <w:iCs w:val="1"/>
          <w:color w:val="auto"/>
        </w:rPr>
        <w:t>Annual Report</w:t>
      </w:r>
      <w:r>
        <w:rPr>
          <w:rFonts w:ascii="Arial" w:cs="Arial" w:eastAsia="Arial" w:hAnsi="Arial"/>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Going Concern</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accompanying Consolidated Financial Statements have been prepared assuming that we will continue as a going concern. As a clinical-stage biopharmaceutical company having not yet developed commercial products or achieved sustainable revenues, we have experienced negative cash flows from operations and recurring losses resulting in a deficit of $201.9 million accumulated from inception (May 1998) through March 31, 2020. We expect losses and negative cash flows from operations to continue for the foreseeable future as we engage in further development of PH94B, PH10 and AV-101, execute our drug rescue programs and pursue potential drug development and regenerative medicine opportunities.</w:t>
      </w:r>
    </w:p>
    <w:p>
      <w:pPr>
        <w:sectPr>
          <w:pgSz w:w="11900" w:h="16838" w:orient="portrait"/>
          <w:cols w:equalWidth="0" w:num="1">
            <w:col w:w="11240"/>
          </w:cols>
          <w:pgMar w:left="320" w:top="131" w:right="3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05" w:name="page106"/>
    <w:bookmarkEnd w:id="10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March 31, 2020, we have financed our operations and technology acquisitions primarily through the issuance and sale of our equity and debt securities for cash proceeds of approximately $83.3 million, as well as from an aggregate of approximately $17.7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At March 31, 2020, we had cash and cash equivalents of approximately $1.4 million. As more completely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on March 24, 2020, we entered into a purchase agreement and a registration rights agreement with Lincoln Park Capital Fund (</w:t>
      </w:r>
      <w:r>
        <w:rPr>
          <w:rFonts w:ascii="Arial" w:cs="Arial" w:eastAsia="Arial" w:hAnsi="Arial"/>
          <w:sz w:val="16"/>
          <w:szCs w:val="16"/>
          <w:i w:val="1"/>
          <w:iCs w:val="1"/>
          <w:color w:val="auto"/>
        </w:rPr>
        <w:t>Lincoln Park</w:t>
      </w:r>
      <w:r>
        <w:rPr>
          <w:rFonts w:ascii="Arial" w:cs="Arial" w:eastAsia="Arial" w:hAnsi="Arial"/>
          <w:sz w:val="16"/>
          <w:szCs w:val="16"/>
          <w:color w:val="auto"/>
        </w:rPr>
        <w:t xml:space="preserve">) pursuant to which Lincoln Park committed to purchase up to $10,250,000 of our common stock at market-based prices over a period of 24 months (the </w:t>
      </w:r>
      <w:r>
        <w:rPr>
          <w:rFonts w:ascii="Arial" w:cs="Arial" w:eastAsia="Arial" w:hAnsi="Arial"/>
          <w:sz w:val="16"/>
          <w:szCs w:val="16"/>
          <w:i w:val="1"/>
          <w:iCs w:val="1"/>
          <w:color w:val="auto"/>
        </w:rPr>
        <w:t>LPC Agreement</w:t>
      </w:r>
      <w:r>
        <w:rPr>
          <w:rFonts w:ascii="Arial" w:cs="Arial" w:eastAsia="Arial" w:hAnsi="Arial"/>
          <w:sz w:val="16"/>
          <w:szCs w:val="16"/>
          <w:color w:val="auto"/>
        </w:rPr>
        <w:t xml:space="preserve">). On March 24, 2020, we sold 500,000 shares of our common stock to Lincoln Park under the purchase agreement at a price of $0.50 per share for cash proceeds of $250,000 (the </w:t>
      </w:r>
      <w:r>
        <w:rPr>
          <w:rFonts w:ascii="Arial" w:cs="Arial" w:eastAsia="Arial" w:hAnsi="Arial"/>
          <w:sz w:val="16"/>
          <w:szCs w:val="16"/>
          <w:i w:val="1"/>
          <w:iCs w:val="1"/>
          <w:color w:val="auto"/>
        </w:rPr>
        <w:t>Initial Purchase</w:t>
      </w:r>
      <w:r>
        <w:rPr>
          <w:rFonts w:ascii="Arial" w:cs="Arial" w:eastAsia="Arial" w:hAnsi="Arial"/>
          <w:sz w:val="16"/>
          <w:szCs w:val="16"/>
          <w:color w:val="auto"/>
        </w:rPr>
        <w:t>). To satisfy our obligations under the registration rights agreement, we filed a Registration Statement on Form S-1 (the</w:t>
      </w:r>
      <w:r>
        <w:rPr>
          <w:rFonts w:ascii="Arial" w:cs="Arial" w:eastAsia="Arial" w:hAnsi="Arial"/>
          <w:sz w:val="16"/>
          <w:szCs w:val="16"/>
          <w:i w:val="1"/>
          <w:iCs w:val="1"/>
          <w:color w:val="auto"/>
        </w:rPr>
        <w:t xml:space="preserve"> LPC Registration Statement</w:t>
      </w:r>
      <w:r>
        <w:rPr>
          <w:rFonts w:ascii="Arial" w:cs="Arial" w:eastAsia="Arial" w:hAnsi="Arial"/>
          <w:sz w:val="16"/>
          <w:szCs w:val="16"/>
          <w:color w:val="auto"/>
        </w:rPr>
        <w:t>) with the Securities and Exchange Commission (the</w:t>
      </w:r>
      <w:r>
        <w:rPr>
          <w:rFonts w:ascii="Arial" w:cs="Arial" w:eastAsia="Arial" w:hAnsi="Arial"/>
          <w:sz w:val="16"/>
          <w:szCs w:val="16"/>
          <w:i w:val="1"/>
          <w:iCs w:val="1"/>
          <w:color w:val="auto"/>
        </w:rPr>
        <w:t xml:space="preserve"> SEC</w:t>
      </w:r>
      <w:r>
        <w:rPr>
          <w:rFonts w:ascii="Arial" w:cs="Arial" w:eastAsia="Arial" w:hAnsi="Arial"/>
          <w:sz w:val="16"/>
          <w:szCs w:val="16"/>
          <w:color w:val="auto"/>
        </w:rPr>
        <w:t>) on March 31, 2020, which the SEC declared effective on April 14, 2020 (Registration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333-237514). Subsequent to the effectiveness of the LPC Registration Statement, which included the shares issued in the Initial Purchase, through June 26, 2020, we have sold an additional 6,201,995 registered shares of our common stock to Lincoln Park and have received aggregate cash proceeds of $2,840,200. Additionally, in April 2020, in a self-directed private placement, we sold to an accredited investor units to purchase an aggregate of 125,000 unregistered shares of our common stock and four-year warrants to purchase 125,000 shares of our common stock at an exercise price of $0.50 per share and we received cash proceeds of $50,000 (the </w:t>
      </w:r>
      <w:r>
        <w:rPr>
          <w:rFonts w:ascii="Arial" w:cs="Arial" w:eastAsia="Arial" w:hAnsi="Arial"/>
          <w:sz w:val="16"/>
          <w:szCs w:val="16"/>
          <w:i w:val="1"/>
          <w:iCs w:val="1"/>
          <w:color w:val="auto"/>
        </w:rPr>
        <w:t>Spring 2020 Private Placement</w:t>
      </w:r>
      <w:r>
        <w:rPr>
          <w:rFonts w:ascii="Arial" w:cs="Arial" w:eastAsia="Arial" w:hAnsi="Arial"/>
          <w:sz w:val="16"/>
          <w:szCs w:val="16"/>
          <w:color w:val="auto"/>
        </w:rPr>
        <w:t>).</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Nevertheless, in the absence of additional financing from the sale of our securities, government research grant awards, strategic collaboration payments, intellectual property licensing or other sources, we believe that our cash position at March 31, 2020, together with the proceeds from the LPC Agreement received to date, the Spring 2020 Private Placement, and the net cash receipt of approximately $4.475 million from the upfront payment we expect to receive pursuant to the EverInsight Agreeement (described more completely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will not be sufficient to fund our planned operations for the twelve months following the issuance of these financial statements and raises substantial doubt that we can continue as a going concern. During the next twelve months, subject to securing appropriate and adequate financing, we plan to prepare for and launch a Phase 2a study of PH94B for treatment of adjustment disorder with anxiety due to stressors related to the COVID-19 pandemic, a Phase 3 clinical trial of PH94B for SAD, prepare for a Phase 2b clinical study and certain nonclinical studies involving PH10, PH94B and AV-101 and prepare for and potentially launch a Phase 2b clinical trial of PH10 for MDD. When necessary and advantageous, we plan to raise additional capital, through the sale of our equity securities in one or more (i) private placements to accredited investors, (i) public offerings and/or (ii) in strategic licensing and development collaborations involving one or more of our drug candidates in markets outside the United States. Subject to certain restrictions, our Registration Statement on Form S-3 (Registration No. 333-234025) (the </w:t>
      </w:r>
      <w:r>
        <w:rPr>
          <w:rFonts w:ascii="Arial" w:cs="Arial" w:eastAsia="Arial" w:hAnsi="Arial"/>
          <w:sz w:val="16"/>
          <w:szCs w:val="16"/>
          <w:i w:val="1"/>
          <w:iCs w:val="1"/>
          <w:color w:val="auto"/>
        </w:rPr>
        <w:t>S-3 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w:t>
      </w:r>
      <w:r>
        <w:rPr>
          <w:rFonts w:ascii="Arial" w:cs="Arial" w:eastAsia="Arial" w:hAnsi="Arial"/>
          <w:sz w:val="16"/>
          <w:szCs w:val="16"/>
          <w:color w:val="auto"/>
        </w:rPr>
        <w:t>), which became effective on October 7, 2019, is available for future sales of our equity securities in one or more public offerings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While we may make additional sales of our equity securities under the S-3 Registration Statement, we do not have an obligation to do so.</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and institutions. In addition to the potential sale of our equity securities, we may also seek to enter research, development and/or commercialization collaborations that could generate revenue or provide funding, including non-dilutive funding, for development of one or more of our CNS product candidates. We may also seek additional government grant awards or agreements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EverInsight Agreement and the 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6" w:name="page107"/>
    <w:bookmarkEnd w:id="10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the foregoing, there can be no assurance that our current strategic collaborations under the EverInsight Agreement and the Bayer Agreement will generate revenue from future potential milestone payments, or that future financings or government or other strategic collaborations will be available to us in sufficient amounts, in a timely manner, or on terms acceptable to us, if at all. If we are unable to obtain substantial additional financing on a timely basis when needed during 2020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Consolidated Financial Statements do not include any adjustments that might result from the negative outcome of this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research and development expenses, determination of right of use assets under lease transactions and related lease obligations, and the assumptions used to value warrants, warrant modifications and warrant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the Company’s accounts, VistaStem’s accounts and the accounts of VistaStem’s two wholly-owned inactive subsidiaries, Artemis Neurosciences and VistaStem Canada. All material intercompany accounts and transactions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three to seven years. Leasehold improvements are amortized over the shorter of the lease term or the useful life of the improvements.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long-lived assets consist of property and equipment. Long-lived assets to be held and used are tested for recoverability whenever events or changes in business circumstances indicate that the carrying amount of the assets may not be fully recoverable. Factors that we consider in deciding when to perform an impairment review include significant underperformance of the business in relation to expectations, significant negative industry or economic trends, and significant changes or planned changes in our use of the assets.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we have not recorded any impairment losses on long-lived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Deferred offering costs are expenses directly related to our current S-3 Registration Statement (the </w:t>
      </w:r>
      <w:r>
        <w:rPr>
          <w:rFonts w:ascii="Arial" w:cs="Arial" w:eastAsia="Arial" w:hAnsi="Arial"/>
          <w:sz w:val="16"/>
          <w:szCs w:val="16"/>
          <w:i w:val="1"/>
          <w:iCs w:val="1"/>
          <w:color w:val="auto"/>
        </w:rPr>
        <w:t>Shelf Registration</w:t>
      </w:r>
      <w:r>
        <w:rPr>
          <w:rFonts w:ascii="Arial" w:cs="Arial" w:eastAsia="Arial" w:hAnsi="Arial"/>
          <w:sz w:val="16"/>
          <w:szCs w:val="16"/>
          <w:color w:val="auto"/>
        </w:rPr>
        <w:t>), which became effective on October 7, 2019, and expenses transferred from our predecessor registration statement on Form S-3, which became effective on May 12, 2017, and the LPC Registration Statement which we filed on March 31, 2020 and which became effective on April 14, 2020. These costs consist of legal, accounting, printing, SEC filing fees, and, as appropriate, Nasdaq filing fees, and, in the case of the LPC Registration Statement, the issuance-date fair value of certain shares of our common stock issued to Lincoln Park under the terms of the LPC Agreement. Deferred costs associated with the Shelf Registration are reclassified to additional paid-in capital on a pro-rata basis as we complete offerings under the S-3 Registration Statement, with any remaining deferred costs to be charged to results of operations at the end of the three-year life of the S-3 Registration Statement. During the fiscal years ended March 31, 2020 and 2019, we charged deferred offering costs of $300 and $4,800, respectively, to additional paid-in capital as a result of offerings under the Shelf Registration. Deferred costs associated with the LPC Registration Statement are reclassified to additional paid-in capital on a pro-rata basis as we complete sales of our common stock pursuant to the LPC Agreement, with any remaining deferred costs to be charged to results of operations at the end of the two-year life of the LPC Agreement. We charged deferred offering costs of $8,100 to additional paid-in capital during the fiscal year ended March 31, 2020 as a result of sales of our common stock under the LPC Agreement.</w:t>
      </w:r>
    </w:p>
    <w:p>
      <w:pPr>
        <w:sectPr>
          <w:pgSz w:w="11900" w:h="16838" w:orient="portrait"/>
          <w:cols w:equalWidth="0" w:num="1">
            <w:col w:w="11240"/>
          </w:cols>
          <w:pgMar w:left="320" w:top="131"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07" w:name="page108"/>
    <w:bookmarkEnd w:id="10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We have historically generated revenue principally from collaborative research and development arrangements, licensing and technology transfer agreements, including strategic licenses or sublicenses, and government grants.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and its related amendments, collectively referred to as ASC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Topic 606, as of April 1, 2018,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using the modified retrospective transition method. At adoption and currently, we have only the BayerAgreement as a potential revenue generating arrangement. Upon adoption of ASC Topic 606, there was no change to the units of accounting previously identified with respect to the Bayer Agreement under legacy GAAP, which are now considered performance obligations under ASC Topic 606, and there was no change to the revenue recognition pattern for the performance obligation. Accordingly, there was no cumulative effect change to our opening accumulated deficit upon the adoption of ASC Topic 606. The EverInsight Agreement, described more completely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was executed subsequent to the completion of our fiscal year ended March 31, 2020 and we have not yet assessed the impact of Topic 606 on it.</w:t>
      </w:r>
    </w:p>
    <w:p>
      <w:pPr>
        <w:spacing w:after="0" w:line="173"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0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Once a contract is determined to be within the scope of Topic 606, we assesses the goods or services promised within each contract and determine those that are performance obligations. Arrangements that include rights to additional goods or services that are exercisable at a customer’s discretion are generally considered options. We assess whether these options provide a material right to the customer and if so, they are considered performance obligations. The exercise of a material right may be accounted for as a contract modification or as a continuation of the contract for accounting purposes.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 We also consider the intended benefit of the contract in assessing whether a promised good or service is separately identifiable from other promises in the contract. If a promised good or service is not distinct, we are required to combine that good or service with other promised goods or services until we identify a bundle of goods or services that is distinct.</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transaction price is then determined and allocated to the identified performance obligations in proportion to their standalone selling prices (</w:t>
      </w:r>
      <w:r>
        <w:rPr>
          <w:rFonts w:ascii="Arial" w:cs="Arial" w:eastAsia="Arial" w:hAnsi="Arial"/>
          <w:sz w:val="16"/>
          <w:szCs w:val="16"/>
          <w:i w:val="1"/>
          <w:iCs w:val="1"/>
          <w:color w:val="auto"/>
        </w:rPr>
        <w:t>SSP</w:t>
      </w:r>
      <w:r>
        <w:rPr>
          <w:rFonts w:ascii="Arial" w:cs="Arial" w:eastAsia="Arial" w:hAnsi="Arial"/>
          <w:sz w:val="16"/>
          <w:szCs w:val="16"/>
          <w:color w:val="auto"/>
        </w:rPr>
        <w:t>) on a relative SSP basis. SSP is determined at contract inception and is not updated to reflect changes between contract inception and satisfaction of the performance obligations. Determining the SSP for performance obligations requires significant judgment. In developing the SSP for a performance obligation, we consider applicable market conditions and relevant Company-specific factors, including factors that were contemplated in negotiating the agreement with the customer and estimated costs. In certain circumstances, we may apply the residual method to determine the SSP of a good or service if the standalone selling price is considered highly variable or uncertain. We validate the SSP for performance obligations by evaluating whether changes in the key assumptions used to determine the SSP will have a significant effect on the allocation of arrangement consideration between multiple performance obligations.</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31" w:right="279" w:bottom="1440" w:gutter="0" w:footer="0" w:header="0"/>
        </w:sectPr>
      </w:pPr>
    </w:p>
    <w:bookmarkStart w:id="108" w:name="page109"/>
    <w:bookmarkEnd w:id="10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If an arrangement includes development and regulatory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generally not considered probable of being achieved until those approvals are received.</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 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and AV-101, stem cell research and development costs, and costs related to the application and prosecution of patents related to AV-101 and our stem cell technology platform. All such costs are charged to expense as incurred.</w:t>
      </w:r>
    </w:p>
    <w:p>
      <w:pPr>
        <w:spacing w:after="0" w:line="166"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We also record accruals for estimated ongoing clinical trial costs. Clinical trial costs represent costs incurred by contract research organizations (</w:t>
      </w:r>
      <w:r>
        <w:rPr>
          <w:rFonts w:ascii="Arial" w:cs="Arial" w:eastAsia="Arial" w:hAnsi="Arial"/>
          <w:sz w:val="18"/>
          <w:szCs w:val="18"/>
          <w:i w:val="1"/>
          <w:iCs w:val="1"/>
          <w:color w:val="auto"/>
        </w:rPr>
        <w:t>CRO</w:t>
      </w:r>
      <w:r>
        <w:rPr>
          <w:rFonts w:ascii="Arial" w:cs="Arial" w:eastAsia="Arial" w:hAnsi="Arial"/>
          <w:sz w:val="18"/>
          <w:szCs w:val="18"/>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in determining the clinical trial accrual in any reporting period. Actual results could differ from those estimates under different assumptions. Revisions are charged to research and development expense in the period in which the facts that give rise to the revision become known.</w:t>
      </w:r>
    </w:p>
    <w:p>
      <w:pPr>
        <w:spacing w:after="0" w:line="198" w:lineRule="exact"/>
        <w:rPr>
          <w:sz w:val="20"/>
          <w:szCs w:val="20"/>
          <w:color w:val="auto"/>
        </w:rPr>
      </w:pPr>
    </w:p>
    <w:p>
      <w:pPr>
        <w:jc w:val="both"/>
        <w:ind w:right="60"/>
        <w:spacing w:after="0" w:line="290" w:lineRule="auto"/>
        <w:rPr>
          <w:sz w:val="20"/>
          <w:szCs w:val="20"/>
          <w:color w:val="auto"/>
        </w:rPr>
      </w:pPr>
      <w:r>
        <w:rPr>
          <w:rFonts w:ascii="Arial" w:cs="Arial" w:eastAsia="Arial" w:hAnsi="Arial"/>
          <w:sz w:val="16"/>
          <w:szCs w:val="16"/>
          <w:color w:val="auto"/>
        </w:rPr>
        <w:t>Costs incurred in obtaining product or technology licenses are charged immediately to research and development expense if the product or technology licensed has not achieved regulatory approval or reached technical feasibility and has no alternative future uses. In September 2018, we acquired an exclusive license to develop and commercialize PH94B and an option to acquire a license to develop and commercialize PH10 by issuing an aggregate of 1,630,435 unregistered shares of our common stock having a fair market value of $2,250,000. In October 2018, we exercised our option to acquire an exclusive license to develop and commercialize PH10 by issuing 925,926 shares of our unregistered common stock having a fair market value of $2,000,000. Since, at the date of each acquisition, neither product candidate had achieved regulatory approval and each requires significant additional development and expense, we recorded the costs related to acquiring the licenses and the option as research and development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60"/>
        <w:spacing w:after="0" w:line="309" w:lineRule="auto"/>
        <w:rPr>
          <w:sz w:val="20"/>
          <w:szCs w:val="20"/>
          <w:color w:val="auto"/>
        </w:rPr>
      </w:pPr>
      <w:r>
        <w:rPr>
          <w:rFonts w:ascii="Arial" w:cs="Arial" w:eastAsia="Arial" w:hAnsi="Arial"/>
          <w:sz w:val="15"/>
          <w:szCs w:val="15"/>
          <w:color w:val="auto"/>
        </w:rPr>
        <w:t xml:space="preserve">We recognize compensation cost for all stock-based awards to employees and non-employee consultants based on the grant date fair value of the award. We record stock-based compensation expense over the period during which the employee or other grantee is required to perform services in exchange for the award, which generally represents the scheduled vesting period. We have not granted restricted stock awards to employees or consultants nor do we have any awards with market or performance conditions. Prior to our April 1, 2019 adoption of ASU 2018-07, </w:t>
      </w:r>
      <w:r>
        <w:rPr>
          <w:rFonts w:ascii="Arial" w:cs="Arial" w:eastAsia="Arial" w:hAnsi="Arial"/>
          <w:sz w:val="15"/>
          <w:szCs w:val="15"/>
          <w:i w:val="1"/>
          <w:iCs w:val="1"/>
          <w:color w:val="auto"/>
        </w:rPr>
        <w:t>Compensation-Stock Compensation (Topic 718),</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Improvements to Nonemployee Share-Based Payment Accounting </w:t>
      </w:r>
      <w:r>
        <w:rPr>
          <w:rFonts w:ascii="Arial" w:cs="Arial" w:eastAsia="Arial" w:hAnsi="Arial"/>
          <w:sz w:val="15"/>
          <w:szCs w:val="15"/>
          <w:color w:val="auto"/>
        </w:rPr>
        <w:t>(</w:t>
      </w:r>
      <w:r>
        <w:rPr>
          <w:rFonts w:ascii="Arial" w:cs="Arial" w:eastAsia="Arial" w:hAnsi="Arial"/>
          <w:sz w:val="15"/>
          <w:szCs w:val="15"/>
          <w:i w:val="1"/>
          <w:iCs w:val="1"/>
          <w:color w:val="auto"/>
        </w:rPr>
        <w:t>ASU 2018-07</w:t>
      </w:r>
      <w:r>
        <w:rPr>
          <w:rFonts w:ascii="Arial" w:cs="Arial" w:eastAsia="Arial" w:hAnsi="Arial"/>
          <w:sz w:val="15"/>
          <w:szCs w:val="15"/>
          <w:color w:val="auto"/>
        </w:rPr>
        <w:t>), we historically re-measured the fair value of option grants to non-employees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as they vested and any resulting increase in value was recognized as an expense during the period over which the services were performed. Under ASU 2018-17, expense recognition for grants to non-employees follows the same methodology as for employees. Noncash expense attributable to compensatory grants of our common stock to non-employees is determined by the quoted market price of the stock on the date of grant and is either recognized as fully-earned at the time of the grant or expensed ratably over the term of the related service agreement, depending on the terms of the specific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ectPr>
          <w:pgSz w:w="11900" w:h="16838" w:orient="portrait"/>
          <w:cols w:equalWidth="0" w:num="1">
            <w:col w:w="11300"/>
          </w:cols>
          <w:pgMar w:left="320" w:top="131" w:right="279" w:bottom="1440" w:gutter="0" w:footer="0" w:header="0"/>
        </w:sectPr>
      </w:pP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131" w:right="279" w:bottom="1440" w:gutter="0" w:footer="0" w:header="0"/>
          <w:type w:val="continuous"/>
        </w:sectPr>
      </w:pPr>
    </w:p>
    <w:bookmarkStart w:id="109" w:name="page110"/>
    <w:bookmarkEnd w:id="10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Use Assets and Operating Lease Obligations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adopted Accounting Standards Update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ASU 2016-02</w:t>
      </w:r>
      <w:r>
        <w:rPr>
          <w:rFonts w:ascii="Arial" w:cs="Arial" w:eastAsia="Arial" w:hAnsi="Arial"/>
          <w:sz w:val="16"/>
          <w:szCs w:val="16"/>
          <w:color w:val="auto"/>
        </w:rPr>
        <w:t>) effective April 1, 2019</w:t>
      </w:r>
      <w:r>
        <w:rPr>
          <w:rFonts w:ascii="Arial" w:cs="Arial" w:eastAsia="Arial" w:hAnsi="Arial"/>
          <w:sz w:val="16"/>
          <w:szCs w:val="16"/>
          <w:i w:val="1"/>
          <w:iCs w:val="1"/>
          <w:color w:val="auto"/>
        </w:rPr>
        <w:t>.</w:t>
      </w:r>
      <w:r>
        <w:rPr>
          <w:rFonts w:ascii="Arial" w:cs="Arial" w:eastAsia="Arial" w:hAnsi="Arial"/>
          <w:sz w:val="16"/>
          <w:szCs w:val="16"/>
          <w:color w:val="auto"/>
        </w:rPr>
        <w:t xml:space="preserve"> ASU 2016-02 requires that we determine, at the inception of an arrangement, whether the arrangement is or contains a lease, based on the unique facts and circumstances present. Operating lease assets represent our right to use an underlying asset for the lease term (</w:t>
      </w:r>
      <w:r>
        <w:rPr>
          <w:rFonts w:ascii="Arial" w:cs="Arial" w:eastAsia="Arial" w:hAnsi="Arial"/>
          <w:sz w:val="16"/>
          <w:szCs w:val="16"/>
          <w:i w:val="1"/>
          <w:iCs w:val="1"/>
          <w:color w:val="auto"/>
        </w:rPr>
        <w:t>Right of use assets</w:t>
      </w:r>
      <w:r>
        <w:rPr>
          <w:rFonts w:ascii="Arial" w:cs="Arial" w:eastAsia="Arial" w:hAnsi="Arial"/>
          <w:sz w:val="16"/>
          <w:szCs w:val="16"/>
          <w:color w:val="auto"/>
        </w:rPr>
        <w:t>) and operating lease liabilities represent our obligation to make lease payments arising from the lease. Right of use assets and operating lease liabilities are recognized at the commencement date of the lease based upon the present value of lease payments over the lease term. When determining the lease term, we include options to extend or terminate the lease when it is reasonably certain, at inception, that we will exercise that option. The interest rate implicit in lease contracts is typically not readily determinable; accordingly, we use our incremental borrowing rate, which is the rate that would be incurred to borrow on a collateralized basis over a similar term an amount equal to the lease payments in a similar economic environment, based upon the information available at the commencement date. The lease payments used to determine our operating lease assets may include lease incentives, stated rent increases and escalation clauses linked to rates of inflation, when determinable, and are recognized in determining our Right of use assets. Our operating lease is reflected in the Right-of-use asset – operating lease; Operating lease obligation - current portion; and Operating lease obligation - non-current portion in our consolidated balance sheets.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As a result of our adoption of ASU 2016-02, we no longer recognize deferred rent on the consolidated balance sheet. Short-term leases, defined as leases that have a lease term of 12 months or less at the commencement date, are excluded from this treatment and are recognized on a straight-line basis over the term of the lease. Variable lease payments are amounts owed by us to a lessor that are not fixed, such as reimbursement for common area maintenance costs for our facility lease; and are expensed when incurred.</w:t>
      </w:r>
    </w:p>
    <w:p>
      <w:pPr>
        <w:spacing w:after="0" w:line="201"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Financing leases, formerly referred to as capitalized leases, are treated similarly to operating leases except that the asset subject to the lease is included in the appropriate fixed asset category, rather than recorded as a Right of use asset, and depreciated over its estimated useful life, or lease term, if shorter.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which potentially subject us to concentrations of credit risk, consist of cash and cash equivalents. Our investment policies limit any such investments to short-term, low-risk instruments. We deposit cash and cash equivalents with quality financial institutions which are insured to the maximum of federal limitations. Balances in these accounts may exceed federally insured limits at times.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use derivative instruments for hedging of market risks or for trading or speculative purposes. When applicable, 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72" w:lineRule="exact"/>
        <w:rPr>
          <w:sz w:val="20"/>
          <w:szCs w:val="20"/>
          <w:color w:val="auto"/>
        </w:rPr>
      </w:pPr>
    </w:p>
    <w:p>
      <w:pPr>
        <w:ind w:left="660" w:hanging="328"/>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gives the highest priority to Level 1 inputs.</w:t>
      </w:r>
    </w:p>
    <w:p>
      <w:pPr>
        <w:spacing w:after="0" w:line="18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19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 would</w:t>
      </w:r>
      <w:r>
        <w:rPr>
          <w:rFonts w:ascii="Arial" w:cs="Arial" w:eastAsia="Arial" w:hAnsi="Arial"/>
          <w:sz w:val="18"/>
          <w:szCs w:val="18"/>
          <w:i w:val="1"/>
          <w:iCs w:val="1"/>
          <w:color w:val="auto"/>
        </w:rPr>
        <w:t xml:space="preserve"> </w:t>
      </w:r>
      <w:r>
        <w:rPr>
          <w:rFonts w:ascii="Arial" w:cs="Arial" w:eastAsia="Arial" w:hAnsi="Arial"/>
          <w:sz w:val="18"/>
          <w:szCs w:val="18"/>
          <w:color w:val="auto"/>
        </w:rPr>
        <w:t>use in estimating the fair value of an asset or liability) are used when little or no market data is available. The fair value hierarchy gives the lowest priority to Level 3 inputs.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0" w:name="page111"/>
    <w:bookmarkEnd w:id="11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carried no assets or liabilities that are measured on a recurring basis at fair value at March 31, 2020 or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in Connection with Equity Financing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generally account for warrants issued in connection with equity financings as a component of equity, unless there is a deemed possibility that we may have to settle the warrants in cash or the warrants contain other features requiring them to be treated as liabilities. For warrants issued with the possibility of cash settlement, or otherwise requiring liability treatment, we record the fair value of the issued warrants as a liability at each reporting period and record changes in the estimated fair value as noncash gain or loss in the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 Attributable to Common Stockholders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for dividends on our Series B Preferred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our net loss for both years presented, potentially dilutive securities were excluded from the computation of diluted loss per share, as their effect would be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20" w:type="dxa"/>
            <w:vAlign w:val="bottom"/>
          </w:tcPr>
          <w:p>
            <w:pPr>
              <w:spacing w:after="0"/>
              <w:rPr>
                <w:sz w:val="20"/>
                <w:szCs w:val="20"/>
                <w:color w:val="auto"/>
              </w:rPr>
            </w:pPr>
            <w:r>
              <w:rPr>
                <w:rFonts w:ascii="Arial" w:cs="Arial" w:eastAsia="Arial" w:hAnsi="Arial"/>
                <w:sz w:val="18"/>
                <w:szCs w:val="18"/>
                <w:color w:val="auto"/>
                <w:w w:val="98"/>
              </w:rPr>
              <w:t>Basic and diluted net loss attributable to common stockholders per share was computed as follows: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7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50"/>
        </w:trPr>
        <w:tc>
          <w:tcPr>
            <w:tcW w:w="7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820" w:type="dxa"/>
            <w:vAlign w:val="bottom"/>
          </w:tcPr>
          <w:p>
            <w:pPr>
              <w:ind w:left="60"/>
              <w:spacing w:after="0"/>
              <w:rPr>
                <w:sz w:val="20"/>
                <w:szCs w:val="20"/>
                <w:color w:val="auto"/>
              </w:rPr>
            </w:pPr>
            <w:r>
              <w:rPr>
                <w:rFonts w:ascii="Arial" w:cs="Arial" w:eastAsia="Arial" w:hAnsi="Arial"/>
                <w:sz w:val="18"/>
                <w:szCs w:val="18"/>
                <w:color w:val="auto"/>
              </w:rPr>
              <w:t>Numerator:</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820" w:type="dxa"/>
            <w:vAlign w:val="bottom"/>
          </w:tcPr>
          <w:p>
            <w:pPr>
              <w:ind w:left="60"/>
              <w:spacing w:after="0"/>
              <w:rPr>
                <w:sz w:val="20"/>
                <w:szCs w:val="20"/>
                <w:color w:val="auto"/>
              </w:rPr>
            </w:pPr>
            <w:r>
              <w:rPr>
                <w:rFonts w:ascii="Arial" w:cs="Arial" w:eastAsia="Arial" w:hAnsi="Arial"/>
                <w:sz w:val="18"/>
                <w:szCs w:val="18"/>
                <w:color w:val="auto"/>
              </w:rPr>
              <w:t>Net loss attributable to common stockholders for basic and diluted earnings</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 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(22,037,600)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(25,729,500)</w:t>
            </w: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Denominator: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540"/>
              <w:spacing w:after="0"/>
              <w:rPr>
                <w:sz w:val="20"/>
                <w:szCs w:val="20"/>
                <w:color w:val="auto"/>
              </w:rPr>
            </w:pPr>
            <w:r>
              <w:rPr>
                <w:rFonts w:ascii="Arial" w:cs="Arial" w:eastAsia="Arial" w:hAnsi="Arial"/>
                <w:sz w:val="18"/>
                <w:szCs w:val="18"/>
                <w:color w:val="auto"/>
              </w:rPr>
              <w:t>Weighted average basic and diluted common shares outstanding</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43,869,523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28,562,490</w:t>
            </w: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60"/>
              <w:spacing w:after="0"/>
              <w:rPr>
                <w:sz w:val="20"/>
                <w:szCs w:val="20"/>
                <w:color w:val="auto"/>
              </w:rPr>
            </w:pPr>
            <w:r>
              <w:rPr>
                <w:rFonts w:ascii="Arial" w:cs="Arial" w:eastAsia="Arial" w:hAnsi="Arial"/>
                <w:sz w:val="18"/>
                <w:szCs w:val="18"/>
                <w:color w:val="auto"/>
              </w:rPr>
              <w:t>Basic and diluted net loss attributable to common stockholders per common share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(0.50)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5440"/>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782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111" w:name="page112"/>
    <w:bookmarkEnd w:id="11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Potentially dilutive securities excluded in determining diluted net loss per common share for the fiscal years ended March 31, 2020 and 2019 are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56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As of March 31,</w:t>
            </w:r>
          </w:p>
        </w:tc>
      </w:tr>
      <w:tr>
        <w:trPr>
          <w:trHeight w:val="250"/>
        </w:trPr>
        <w:tc>
          <w:tcPr>
            <w:tcW w:w="8680" w:type="dxa"/>
            <w:vAlign w:val="bottom"/>
          </w:tcPr>
          <w:p>
            <w:pPr>
              <w:spacing w:after="0"/>
              <w:rPr>
                <w:sz w:val="21"/>
                <w:szCs w:val="21"/>
                <w:color w:val="auto"/>
              </w:rPr>
            </w:pPr>
          </w:p>
        </w:tc>
        <w:tc>
          <w:tcPr>
            <w:tcW w:w="108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3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86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750,000</w:t>
            </w:r>
          </w:p>
        </w:tc>
      </w:tr>
      <w:tr>
        <w:trPr>
          <w:trHeight w:val="216"/>
        </w:trPr>
        <w:tc>
          <w:tcPr>
            <w:tcW w:w="8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1,160,240</w:t>
            </w:r>
          </w:p>
        </w:tc>
      </w:tr>
      <w:tr>
        <w:trPr>
          <w:trHeight w:val="216"/>
        </w:trPr>
        <w:tc>
          <w:tcPr>
            <w:tcW w:w="8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2,318,012</w:t>
            </w:r>
          </w:p>
        </w:tc>
      </w:tr>
      <w:tr>
        <w:trPr>
          <w:trHeight w:val="216"/>
        </w:trPr>
        <w:tc>
          <w:tcPr>
            <w:tcW w:w="8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1"/>
              </w:rPr>
              <w:t>Outstanding options under the Company's Amended and Restated 2016 (formerly 2008) Stock Incentive Plan and 2019</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Omnibus Equity Incentive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10,003,088</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6,626,088</w:t>
            </w:r>
          </w:p>
        </w:tc>
      </w:tr>
      <w:tr>
        <w:trPr>
          <w:trHeight w:val="216"/>
        </w:trPr>
        <w:tc>
          <w:tcPr>
            <w:tcW w:w="8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26,555,281</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21,453,402</w:t>
            </w:r>
          </w:p>
        </w:tc>
      </w:tr>
      <w:tr>
        <w:trPr>
          <w:trHeight w:val="223"/>
        </w:trPr>
        <w:tc>
          <w:tcPr>
            <w:tcW w:w="86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spacing w:after="0"/>
              <w:rPr>
                <w:sz w:val="20"/>
                <w:szCs w:val="20"/>
                <w:color w:val="auto"/>
              </w:rPr>
            </w:pPr>
            <w:r>
              <w:rPr>
                <w:rFonts w:ascii="Arial" w:cs="Arial" w:eastAsia="Arial" w:hAnsi="Arial"/>
                <w:sz w:val="18"/>
                <w:szCs w:val="18"/>
                <w:color w:val="auto"/>
              </w:rPr>
              <w:t>40,786,621</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32,307,742</w:t>
            </w:r>
          </w:p>
        </w:tc>
      </w:tr>
      <w:tr>
        <w:trPr>
          <w:trHeight w:val="21"/>
        </w:trPr>
        <w:tc>
          <w:tcPr>
            <w:tcW w:w="8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 as amended</w:t>
      </w:r>
    </w:p>
    <w:p>
      <w:pPr>
        <w:spacing w:after="0" w:line="7"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Assumes exchange under the terms of the Certificate of Designation of the Relative Rights and Preferences of the Series B 10% Convertible Preferred Stock, effective May 5, 2015; excludes common shares issuable in payment of dividends on Series B Preferred upon conversion</w:t>
      </w:r>
    </w:p>
    <w:p>
      <w:pPr>
        <w:ind w:left="340" w:right="20" w:hanging="332"/>
        <w:spacing w:after="0" w:line="209"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Certificate of Designation of the Relative Rights and Preferences of the Series C Convertible Preferred Stock, effective January 25,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the following recent accounting pronouncements or changes in accounting pronouncements are of significance or potential significance to the Company.</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2016,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which replaced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We adopted this standard effective with our fiscal year beginning April 1, 2019. At adoption, we recognized approximately $4.3 million as total lease liabilities and $3.9 million as total right-of-use assets in our Consolidated Balance Sheet and derecognized a deferred rent liability of approximately $0.4 million attributable to the operating lease of our primary office and laboratory facilities recorded in accordance with prior guidance. In connection with our adoption of ASC 842, we evaluated our contracts with clinical research and manufacturing organizations and determined that such contracts do not contain embedded leases.</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t>
      </w:r>
      <w:r>
        <w:rPr>
          <w:rFonts w:ascii="Arial" w:cs="Arial" w:eastAsia="Arial" w:hAnsi="Arial"/>
          <w:sz w:val="16"/>
          <w:szCs w:val="16"/>
          <w:i w:val="1"/>
          <w:iCs w:val="1"/>
          <w:color w:val="auto"/>
        </w:rPr>
        <w:t>ASU 2018-07</w:t>
      </w:r>
      <w:r>
        <w:rPr>
          <w:rFonts w:ascii="Arial" w:cs="Arial" w:eastAsia="Arial" w:hAnsi="Arial"/>
          <w:sz w:val="16"/>
          <w:szCs w:val="16"/>
          <w:color w:val="auto"/>
        </w:rPr>
        <w:t>). ASU 2018-07 expands the scope of Topic 718 to include share-based payment transactions for acquiring goods and services from</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nonemployees. ASU 2018-07 aligns the accounting for share-based payment awards issued to employees and non-employees. Under ASU 2018-07, the existing guidance regarding share-based transactions with employees also applies to share-based transactions with non-employees,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may be used in lieu of an expected term in the option-pricing model for non-employee awards. We adopted ASU 2018-07 effective with our fiscal year beginning April 1, 2019 and it did not have a material impact on our consolidated financial statements.</w:t>
      </w:r>
    </w:p>
    <w:p>
      <w:pPr>
        <w:spacing w:after="0" w:line="17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12" w:name="page113"/>
    <w:bookmarkEnd w:id="11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 from Supplier</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amount reflects the balance of a prepayment made to a contract manufacturing organization that was refunded by the organization in May 2019 due to the termination of the underlying contract prior to March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8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2"/>
        </w:trPr>
        <w:tc>
          <w:tcPr>
            <w:tcW w:w="66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66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Pr>
          <w:p>
            <w:pPr>
              <w:spacing w:after="0"/>
              <w:rPr>
                <w:sz w:val="21"/>
                <w:szCs w:val="21"/>
                <w:color w:val="auto"/>
              </w:rPr>
            </w:pPr>
          </w:p>
        </w:tc>
      </w:tr>
      <w:tr>
        <w:trPr>
          <w:trHeight w:val="243"/>
        </w:trPr>
        <w:tc>
          <w:tcPr>
            <w:tcW w:w="66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Clinical and nonclinical materials and contract services</w:t>
            </w:r>
          </w:p>
        </w:tc>
        <w:tc>
          <w:tcPr>
            <w:tcW w:w="2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115,200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5,900</w:t>
            </w:r>
          </w:p>
        </w:tc>
      </w:tr>
      <w:tr>
        <w:trPr>
          <w:trHeight w:val="216"/>
        </w:trPr>
        <w:tc>
          <w:tcPr>
            <w:tcW w:w="6680" w:type="dxa"/>
            <w:vAlign w:val="bottom"/>
          </w:tcPr>
          <w:p>
            <w:pPr>
              <w:ind w:left="60"/>
              <w:spacing w:after="0"/>
              <w:rPr>
                <w:sz w:val="20"/>
                <w:szCs w:val="20"/>
                <w:color w:val="auto"/>
              </w:rPr>
            </w:pPr>
            <w:r>
              <w:rPr>
                <w:rFonts w:ascii="Arial" w:cs="Arial" w:eastAsia="Arial" w:hAnsi="Arial"/>
                <w:sz w:val="18"/>
                <w:szCs w:val="18"/>
                <w:color w:val="auto"/>
              </w:rPr>
              <w:t>Fair value of securities issued for professional services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105,900</w:t>
            </w:r>
          </w:p>
        </w:tc>
      </w:tr>
      <w:tr>
        <w:trPr>
          <w:trHeight w:val="216"/>
        </w:trPr>
        <w:tc>
          <w:tcPr>
            <w:tcW w:w="6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96,300</w:t>
            </w:r>
          </w:p>
        </w:tc>
      </w:tr>
      <w:tr>
        <w:trPr>
          <w:trHeight w:val="216"/>
        </w:trPr>
        <w:tc>
          <w:tcPr>
            <w:tcW w:w="668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20,500</w:t>
            </w: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668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225,100</w:t>
            </w:r>
          </w:p>
        </w:tc>
        <w:tc>
          <w:tcPr>
            <w:tcW w:w="1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228,600</w:t>
            </w:r>
          </w:p>
        </w:tc>
      </w:tr>
      <w:tr>
        <w:trPr>
          <w:trHeight w:val="423"/>
        </w:trPr>
        <w:tc>
          <w:tcPr>
            <w:tcW w:w="6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6. Property and Equipment</w:t>
            </w:r>
          </w:p>
        </w:tc>
        <w:tc>
          <w:tcPr>
            <w:tcW w:w="20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Property and equipment consists of the following:</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2"/>
        </w:trPr>
        <w:tc>
          <w:tcPr>
            <w:tcW w:w="66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66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Pr>
          <w:p>
            <w:pPr>
              <w:spacing w:after="0"/>
              <w:rPr>
                <w:sz w:val="21"/>
                <w:szCs w:val="21"/>
                <w:color w:val="auto"/>
              </w:rPr>
            </w:pPr>
          </w:p>
        </w:tc>
      </w:tr>
      <w:tr>
        <w:trPr>
          <w:trHeight w:val="243"/>
        </w:trPr>
        <w:tc>
          <w:tcPr>
            <w:tcW w:w="66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2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892,500</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892,500</w:t>
            </w:r>
          </w:p>
        </w:tc>
      </w:tr>
      <w:tr>
        <w:trPr>
          <w:trHeight w:val="216"/>
        </w:trPr>
        <w:tc>
          <w:tcPr>
            <w:tcW w:w="668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214,400</w:t>
            </w:r>
          </w:p>
        </w:tc>
      </w:tr>
      <w:tr>
        <w:trPr>
          <w:trHeight w:val="216"/>
        </w:trPr>
        <w:tc>
          <w:tcPr>
            <w:tcW w:w="6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54,600</w:t>
            </w:r>
          </w:p>
        </w:tc>
      </w:tr>
      <w:tr>
        <w:trPr>
          <w:trHeight w:val="216"/>
        </w:trPr>
        <w:tc>
          <w:tcPr>
            <w:tcW w:w="6680" w:type="dxa"/>
            <w:vAlign w:val="bottom"/>
          </w:tcPr>
          <w:p>
            <w:pPr>
              <w:ind w:left="60"/>
              <w:spacing w:after="0"/>
              <w:rPr>
                <w:sz w:val="20"/>
                <w:szCs w:val="20"/>
                <w:color w:val="auto"/>
              </w:rPr>
            </w:pPr>
            <w:r>
              <w:rPr>
                <w:rFonts w:ascii="Arial" w:cs="Arial" w:eastAsia="Arial" w:hAnsi="Arial"/>
                <w:sz w:val="18"/>
                <w:szCs w:val="18"/>
                <w:color w:val="auto"/>
              </w:rPr>
              <w:t>Office furniture and equipment</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84,600</w:t>
            </w: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6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1,246,100</w:t>
            </w:r>
          </w:p>
        </w:tc>
      </w:tr>
      <w:tr>
        <w:trPr>
          <w:trHeight w:val="216"/>
        </w:trPr>
        <w:tc>
          <w:tcPr>
            <w:tcW w:w="668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(1,036,500)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(933,400)</w:t>
            </w:r>
          </w:p>
        </w:tc>
      </w:tr>
      <w:tr>
        <w:trPr>
          <w:trHeight w:val="27"/>
        </w:trPr>
        <w:tc>
          <w:tcPr>
            <w:tcW w:w="66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6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20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209,600</w:t>
            </w:r>
          </w:p>
        </w:tc>
        <w:tc>
          <w:tcPr>
            <w:tcW w:w="1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312,700</w:t>
            </w:r>
          </w:p>
        </w:tc>
      </w:tr>
      <w:tr>
        <w:trPr>
          <w:trHeight w:val="20"/>
        </w:trPr>
        <w:tc>
          <w:tcPr>
            <w:tcW w:w="66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depreciation and amortization expense attributable to owned and leased property and equipment for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88"/>
              </w:rPr>
              <w:t>Fiscal Years Ended March 31,</w:t>
            </w:r>
          </w:p>
        </w:tc>
      </w:tr>
      <w:tr>
        <w:trPr>
          <w:trHeight w:val="250"/>
        </w:trPr>
        <w:tc>
          <w:tcPr>
            <w:tcW w:w="56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56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Owned assets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88,300</w:t>
            </w:r>
          </w:p>
        </w:tc>
      </w:tr>
      <w:tr>
        <w:trPr>
          <w:trHeight w:val="216"/>
        </w:trPr>
        <w:tc>
          <w:tcPr>
            <w:tcW w:w="5620" w:type="dxa"/>
            <w:vAlign w:val="bottom"/>
          </w:tcPr>
          <w:p>
            <w:pPr>
              <w:ind w:left="60"/>
              <w:spacing w:after="0"/>
              <w:rPr>
                <w:sz w:val="20"/>
                <w:szCs w:val="20"/>
                <w:color w:val="auto"/>
              </w:rPr>
            </w:pPr>
            <w:r>
              <w:rPr>
                <w:rFonts w:ascii="Arial" w:cs="Arial" w:eastAsia="Arial" w:hAnsi="Arial"/>
                <w:sz w:val="18"/>
                <w:szCs w:val="18"/>
                <w:color w:val="auto"/>
              </w:rPr>
              <w:t>Leased assets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2,900</w:t>
            </w:r>
          </w:p>
        </w:tc>
      </w:tr>
      <w:tr>
        <w:trPr>
          <w:trHeight w:val="27"/>
        </w:trPr>
        <w:tc>
          <w:tcPr>
            <w:tcW w:w="5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depreciation and amortization</w:t>
            </w:r>
          </w:p>
        </w:tc>
        <w:tc>
          <w:tcPr>
            <w:tcW w:w="30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91,200</w:t>
            </w: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than certain leased office equipment, none of our assets were subject to third party security interests at March 31, 2020 or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20"/>
                <w:szCs w:val="20"/>
                <w:color w:val="auto"/>
              </w:rPr>
            </w:pPr>
            <w:r>
              <w:rPr>
                <w:rFonts w:ascii="Arial" w:cs="Arial" w:eastAsia="Arial" w:hAnsi="Arial"/>
                <w:sz w:val="18"/>
                <w:szCs w:val="18"/>
                <w:b w:val="1"/>
                <w:bCs w:val="1"/>
                <w:color w:val="auto"/>
              </w:rPr>
              <w:t>7. Accrued Expenses</w:t>
            </w: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Accrued expenses consist of:</w:t>
            </w: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2"/>
        </w:trPr>
        <w:tc>
          <w:tcPr>
            <w:tcW w:w="44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44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Pr>
          <w:p>
            <w:pPr>
              <w:spacing w:after="0"/>
              <w:rPr>
                <w:sz w:val="21"/>
                <w:szCs w:val="21"/>
                <w:color w:val="auto"/>
              </w:rPr>
            </w:pPr>
          </w:p>
        </w:tc>
      </w:tr>
      <w:tr>
        <w:trPr>
          <w:trHeight w:val="243"/>
        </w:trPr>
        <w:tc>
          <w:tcPr>
            <w:tcW w:w="44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1"/>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expenses for clinical and nonclinical</w:t>
            </w:r>
          </w:p>
        </w:tc>
        <w:tc>
          <w:tcPr>
            <w:tcW w:w="4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8"/>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materials, development and contract services</w:t>
            </w:r>
          </w:p>
        </w:tc>
        <w:tc>
          <w:tcPr>
            <w:tcW w:w="4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462,300</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1,067,600</w:t>
            </w:r>
          </w:p>
        </w:tc>
      </w:tr>
      <w:tr>
        <w:trPr>
          <w:trHeight w:val="216"/>
        </w:trPr>
        <w:tc>
          <w:tcPr>
            <w:tcW w:w="442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439,200</w:t>
            </w:r>
          </w:p>
        </w:tc>
      </w:tr>
      <w:tr>
        <w:trPr>
          <w:trHeight w:val="216"/>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172,100</w:t>
            </w:r>
          </w:p>
        </w:tc>
      </w:tr>
      <w:tr>
        <w:trPr>
          <w:trHeight w:val="216"/>
        </w:trPr>
        <w:tc>
          <w:tcPr>
            <w:tcW w:w="44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6,700</w:t>
            </w:r>
          </w:p>
        </w:tc>
      </w:tr>
      <w:tr>
        <w:trPr>
          <w:trHeight w:val="27"/>
        </w:trPr>
        <w:tc>
          <w:tcPr>
            <w:tcW w:w="44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4420" w:type="dxa"/>
            <w:vAlign w:val="bottom"/>
            <w:shd w:val="clear" w:color="auto" w:fill="CCEEFF"/>
          </w:tcPr>
          <w:p>
            <w:pPr>
              <w:spacing w:after="0"/>
              <w:rPr>
                <w:sz w:val="22"/>
                <w:szCs w:val="22"/>
                <w:color w:val="auto"/>
              </w:rPr>
            </w:pPr>
          </w:p>
        </w:tc>
        <w:tc>
          <w:tcPr>
            <w:tcW w:w="4260" w:type="dxa"/>
            <w:vAlign w:val="bottom"/>
            <w:gridSpan w:val="2"/>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561,500</w:t>
            </w:r>
          </w:p>
        </w:tc>
        <w:tc>
          <w:tcPr>
            <w:tcW w:w="1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1,685,600</w:t>
            </w:r>
          </w:p>
        </w:tc>
      </w:tr>
      <w:tr>
        <w:trPr>
          <w:trHeight w:val="433"/>
        </w:trPr>
        <w:tc>
          <w:tcPr>
            <w:tcW w:w="4420" w:type="dxa"/>
            <w:vAlign w:val="bottom"/>
            <w:tcBorders>
              <w:top w:val="single" w:sz="8" w:color="CCEEFF"/>
              <w:bottom w:val="single" w:sz="8" w:color="auto"/>
            </w:tcBorders>
          </w:tcPr>
          <w:p>
            <w:pPr>
              <w:spacing w:after="0"/>
              <w:rPr>
                <w:sz w:val="24"/>
                <w:szCs w:val="24"/>
                <w:color w:val="auto"/>
              </w:rPr>
            </w:pPr>
          </w:p>
        </w:tc>
        <w:tc>
          <w:tcPr>
            <w:tcW w:w="4140" w:type="dxa"/>
            <w:vAlign w:val="bottom"/>
            <w:tcBorders>
              <w:top w:val="single" w:sz="8" w:color="CCEEFF"/>
              <w:bottom w:val="single" w:sz="8" w:color="auto"/>
            </w:tcBorders>
          </w:tcPr>
          <w:p>
            <w:pPr>
              <w:jc w:val="right"/>
              <w:ind w:right="2652"/>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113" w:name="page114"/>
    <w:bookmarkEnd w:id="11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00" w:type="dxa"/>
            <w:vAlign w:val="bottom"/>
          </w:tcPr>
          <w:p>
            <w:pPr>
              <w:spacing w:after="0"/>
              <w:rPr>
                <w:sz w:val="20"/>
                <w:szCs w:val="20"/>
                <w:color w:val="auto"/>
              </w:rPr>
            </w:pPr>
            <w:r>
              <w:rPr>
                <w:rFonts w:ascii="Arial" w:cs="Arial" w:eastAsia="Arial" w:hAnsi="Arial"/>
                <w:sz w:val="18"/>
                <w:szCs w:val="18"/>
                <w:b w:val="1"/>
                <w:bCs w:val="1"/>
                <w:color w:val="auto"/>
              </w:rPr>
              <w:t>8. Note Payable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The following table summarizes our note payable: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0"/>
              </w:rPr>
              <w:t>March 31, 2020</w:t>
            </w:r>
          </w:p>
        </w:tc>
        <w:tc>
          <w:tcPr>
            <w:tcW w:w="7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90"/>
              </w:rPr>
              <w:t>March 31, 2019</w:t>
            </w:r>
          </w:p>
        </w:tc>
        <w:tc>
          <w:tcPr>
            <w:tcW w:w="7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9"/>
              </w:rPr>
              <w:t>Principal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Accrued</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2"/>
              </w:rPr>
              <w:t>Principal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520"/>
              <w:spacing w:after="0"/>
              <w:rPr>
                <w:sz w:val="20"/>
                <w:szCs w:val="20"/>
                <w:color w:val="auto"/>
              </w:rPr>
            </w:pPr>
            <w:r>
              <w:rPr>
                <w:rFonts w:ascii="Arial" w:cs="Arial" w:eastAsia="Arial" w:hAnsi="Arial"/>
                <w:sz w:val="18"/>
                <w:szCs w:val="18"/>
                <w:color w:val="auto"/>
                <w:w w:val="90"/>
              </w:rPr>
              <w:t>Accrued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8"/>
                <w:szCs w:val="18"/>
                <w:color w:val="auto"/>
                <w:w w:val="86"/>
              </w:rPr>
              <w:t>Interest</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6"/>
              </w:rPr>
              <w:t>Balance</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center"/>
              <w:ind w:right="520"/>
              <w:spacing w:after="0"/>
              <w:rPr>
                <w:sz w:val="20"/>
                <w:szCs w:val="20"/>
                <w:color w:val="auto"/>
              </w:rPr>
            </w:pPr>
            <w:r>
              <w:rPr>
                <w:rFonts w:ascii="Arial" w:cs="Arial" w:eastAsia="Arial" w:hAnsi="Arial"/>
                <w:sz w:val="18"/>
                <w:szCs w:val="18"/>
                <w:color w:val="auto"/>
                <w:w w:val="86"/>
              </w:rPr>
              <w:t>Interest</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Total</w:t>
            </w:r>
          </w:p>
        </w:tc>
      </w:tr>
      <w:tr>
        <w:trPr>
          <w:trHeight w:val="243"/>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7.30% (2020) and 7.75% (2019) Note payable</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 insurance premium financing company (current)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57,300</w:t>
            </w:r>
          </w:p>
        </w:tc>
        <w:tc>
          <w:tcPr>
            <w:tcW w:w="100" w:type="dxa"/>
            <w:vAlign w:val="bottom"/>
            <w:shd w:val="clear" w:color="auto" w:fill="CCEEFF"/>
          </w:tcPr>
          <w:p>
            <w:pPr>
              <w:spacing w:after="0"/>
              <w:rPr>
                <w:sz w:val="20"/>
                <w:szCs w:val="20"/>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2019, we executed a 7.75% promissory note in the face amount of $63,500 in connection with certain insurance policy premiums. The note was payable in monthly installments of $6,600, including principal and interest, through December 2019 and had a balance of $57,300 at March 31, 2019. In May 2019, we executed a 7.15% promissory note in the principal amount of $230,200 in connection with other insurance policy premiums. That note was payable in monthly installments of $23,800, including principal and interest, through March 2020, when it was paid in full. In February 2020, we executed a 7.30% promissory note in the principal amount of $62,000 in connection with renewal of the insurance policy that began in February 2019. That note is payable in monthly installments of $6,500, including principal and interest, through December 2020, and has a balance of $56,500 at March 31,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At our Annual Meeting of Stockholders on September 5, 2019, as approved by and recommended to our stockholders by our Board, our stockholders approved an amendment to our Restated Articles of Incorporation to increase the authorized number of shares of common stock that we may issue from 100.0 million shares to 175.0 million shares. The amendment became effective on September 6, 2019, upon our filing of a certificate of amendment with the Nevada Secretary of State. In connection with an underwritten public offering of our common stock and warrants in May 2016, our common stock was approved for listing on the Nasdaq Capital Market. Our common stock has been trading on the Nasdaq Capital Market under the symbol “VTGN” since May 11,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2011, our Board authorized the creation of a series of up to 500,000 shares of Series A Preferred, par value $0.001 (</w:t>
      </w:r>
      <w:r>
        <w:rPr>
          <w:rFonts w:ascii="Arial" w:cs="Arial" w:eastAsia="Arial" w:hAnsi="Arial"/>
          <w:sz w:val="18"/>
          <w:szCs w:val="18"/>
          <w:i w:val="1"/>
          <w:iCs w:val="1"/>
          <w:color w:val="auto"/>
        </w:rPr>
        <w:t>Series A Preferred</w:t>
      </w:r>
      <w:r>
        <w:rPr>
          <w:rFonts w:ascii="Arial" w:cs="Arial" w:eastAsia="Arial" w:hAnsi="Arial"/>
          <w:sz w:val="18"/>
          <w:szCs w:val="18"/>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Series A Preferred has no separate dividend rights, however, whenever the Board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applicable record date.</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distributions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2020 and 2019, there were 500,000 restricted shares of Series A Preferred outstanding, convertible into 750,000 shares of our common stock at the option of the two respective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w:t>
      </w:r>
      <w:r>
        <w:rPr>
          <w:rFonts w:ascii="Arial" w:cs="Arial" w:eastAsia="Arial" w:hAnsi="Arial"/>
          <w:sz w:val="16"/>
          <w:szCs w:val="16"/>
          <w:color w:val="auto"/>
        </w:rPr>
        <w:t xml:space="preserve"> </w:t>
      </w:r>
      <w:r>
        <w:rPr>
          <w:rFonts w:ascii="Arial" w:cs="Arial" w:eastAsia="Arial" w:hAnsi="Arial"/>
          <w:sz w:val="16"/>
          <w:szCs w:val="16"/>
          <w:i w:val="1"/>
          <w:iCs w:val="1"/>
          <w:color w:val="auto"/>
        </w:rPr>
        <w:t>Designation</w:t>
      </w:r>
      <w:r>
        <w:rPr>
          <w:rFonts w:ascii="Arial" w:cs="Arial" w:eastAsia="Arial" w:hAnsi="Arial"/>
          <w:sz w:val="16"/>
          <w:szCs w:val="16"/>
          <w:color w:val="auto"/>
        </w:rPr>
        <w:t>) with the Nevada Secretary of State to designate 4.0 million shares of our authorized preferred stock as Series B Preferred.</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14" w:name="page115"/>
    <w:bookmarkEnd w:id="11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our common stock, subject to adjustment only for customary stock dividends, reclassifications, splits and similar transactions set forth in the Certificate of Designation. Outstanding shares of Series B Preferred are also convertible automatically on a one-to-one basis into shares of our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6"/>
          <w:szCs w:val="16"/>
          <w:i w:val="1"/>
          <w:iCs w:val="1"/>
          <w:color w:val="auto"/>
        </w:rPr>
        <w:t>Conversion</w:t>
      </w:r>
      <w:r>
        <w:rPr>
          <w:rFonts w:ascii="Arial" w:cs="Arial" w:eastAsia="Arial" w:hAnsi="Arial"/>
          <w:sz w:val="16"/>
          <w:szCs w:val="16"/>
          <w:color w:val="auto"/>
        </w:rPr>
        <w:t>) are subject to certain beneficial ownership blockers as set forth in the Certificate of Designation and/or securities purchase agreements. Following the completion of our underwritten public offering in May 2016, which occurred concurrently with and facilitated the listing of our common stock on the NASDAQ Capital Market, approximately 2.4 million shares of Series B Preferred were converted automatically into approximately 2.4 million shares of our common stock pursuant to the Automatic Conversion provision. There have been no conversions of Series B Preferred since August 2016.</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Conversion, shares of Series B Preferred accrue in-kind dividends (payable only in unregistered shares of our common stock) at a rate of 10% per annum (</w:t>
      </w:r>
      <w:r>
        <w:rPr>
          <w:rFonts w:ascii="Arial" w:cs="Arial" w:eastAsia="Arial" w:hAnsi="Arial"/>
          <w:sz w:val="18"/>
          <w:szCs w:val="18"/>
          <w:i w:val="1"/>
          <w:iCs w:val="1"/>
          <w:color w:val="auto"/>
        </w:rPr>
        <w:t>Accrued Dividends</w:t>
      </w:r>
      <w:r>
        <w:rPr>
          <w:rFonts w:ascii="Arial" w:cs="Arial" w:eastAsia="Arial" w:hAnsi="Arial"/>
          <w:sz w:val="18"/>
          <w:szCs w:val="18"/>
          <w:color w:val="auto"/>
        </w:rPr>
        <w:t>). The Accrued Dividends are payable on the date of either a Voluntary Conversion or Automatic Conversion in that number of shares of common stock equal to the Accrued Dividends. At March 31, 2020, we have recognized a liability in the amount of $5,011,800 for Accrued Dividends in the accompanying Consolidated Balance Sheet at March 31, 2020, based on the Series B Preferred issued and outstanding through that date. We have recognized a deduction from net loss of $1,263,600 and $1,139,900 related to dividends on Series B Preferred in arriving at net loss attributable to common stockholders in the accompanying Consolidated Statement of Operations and Comprehensive Loss for the fiscal years ended March 31, 2020 and 2019, respectively.</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of the liquidation, dissolution or winding-up of our affairs, after payment or provision for payment of our debts and other liabilities, the Holders of the Series B Preferred then outstanding shall be entitled to receive distributions out of our assets, if any, of an amount equal to the Stated Value of the Series B Preferred ($7.00 per share), plus any accrued and unpaid dividends thereon, before any distribution or payment shall be made to the holders of any junior securities, including holders of our common stock. If our assets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 Upon liquidation, each share of Series B Preferred ranks pari-passu with our Series A Preferred and our Series C Preferred (defined below).The liquidation value of the Series B Preferred at March 31, 2020 is approximately $13,134,400.</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March 31, 2020 and 2019, there were 1,160,240 shares of Series B Preferred outstanding, which shares are subject to beneficial ownership blockers and are exchangeable at the option of the two respective holders by Voluntary Conversion, or pursuant to Automatic Conversion to the extent not otherwise subject to beneficial ownership blockers, into an aggregate of 1,160,240 shares of our common stock, excluding shares of our common stock which may be issued in payment of Accrued Dividends upon conversion.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In January 2016, our Board authorized the creation of and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 Upon liquidation, each share of Series C Preferred ranks pari-passu with our Series B Preferred and our Series A Preferred.</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Each share of Series C Preferred is convertible, at the option of the holder into one share of our common stock, subject to certain beneficial ownership limitations as set forth in the Series C Preferred Certificate of Designation. Shares of the Series C Preferred do not accrue dividends, and holders of the Series C Preferred have no voting rights. At March 31, 2020 and 2019, one holder and its affiliates held all 2,318,012 outstanding shares of Series C Preferred.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years ended March 31, 2019 and 2020, we completed private placement and public offerings as described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5" w:name="page116"/>
    <w:bookmarkEnd w:id="11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Summer 2018 Private Placement</w:t>
      </w:r>
    </w:p>
    <w:p>
      <w:pPr>
        <w:spacing w:after="0" w:line="22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 xml:space="preserve">Between June 2018 and October 2018, we completed a self-placed private placement with accredited investors, pursuant to which we sold units, at a purchase price of $1.25 per unit, consisting of 4,605,000 unregistered shares of our common stock and warrants, exercisable through February 28, 2022, to purchase 4,605,000 unregistered shares of our common stock at an exercise price of $1.50 per share (the </w:t>
      </w:r>
      <w:r>
        <w:rPr>
          <w:rFonts w:ascii="Arial" w:cs="Arial" w:eastAsia="Arial" w:hAnsi="Arial"/>
          <w:sz w:val="16"/>
          <w:szCs w:val="16"/>
          <w:i w:val="1"/>
          <w:iCs w:val="1"/>
          <w:color w:val="auto"/>
        </w:rPr>
        <w:t>Summer 2018 Private Placement</w:t>
      </w:r>
      <w:r>
        <w:rPr>
          <w:rFonts w:ascii="Arial" w:cs="Arial" w:eastAsia="Arial" w:hAnsi="Arial"/>
          <w:sz w:val="16"/>
          <w:szCs w:val="16"/>
          <w:color w:val="auto"/>
        </w:rPr>
        <w:t xml:space="preserve">). The purchasers of the units have no registration rights with respect to the shares of common stock, warrants or the shares of common stock issuable upon exercise of the warrants comprising the units sold. The warrants are not exercisable until at least six months and one day following the date of issuance. We received aggregate cash proceeds of $5,756,200 in connection with the Summer 2018 Private Placement and the entire amount of the proceeds was credited to stockholders’ equity. Refer to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regarding filing of a registration statement including the shares of common stock underlying the warrants issued in the Summer 2018 Private Placement.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2018 Private Placement</w:t>
      </w:r>
    </w:p>
    <w:p>
      <w:pPr>
        <w:spacing w:after="0" w:line="225"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 xml:space="preserve">The Summer 2018 Private Placement was oversubscribed. To accommodate additional investor interest, during October 2018, we accepted subscription agreements from accredited investors, pursuant to which we sold to such investors units, at a unit purchase price equal to $0.15 above the closing quoted market price of our common stock on the Nasdaq Capital Market on the effective date of the investor’s subscription agreement, consisting of an aggregate of 420,939 unregistered shares of our common stock and four-year, immediately exercisable warrants to purchase 420,939 unregistered shares of our common stock at a per share exercise price equal to the closing quoted market price of our common stock on the Nasdaq Capital Market on the effective date of the investor’s subscription agreement (the </w:t>
      </w:r>
      <w:r>
        <w:rPr>
          <w:rFonts w:ascii="Arial" w:cs="Arial" w:eastAsia="Arial" w:hAnsi="Arial"/>
          <w:sz w:val="16"/>
          <w:szCs w:val="16"/>
          <w:i w:val="1"/>
          <w:iCs w:val="1"/>
          <w:color w:val="auto"/>
        </w:rPr>
        <w:t>Fall 2018 Private Placement</w:t>
      </w:r>
      <w:r>
        <w:rPr>
          <w:rFonts w:ascii="Arial" w:cs="Arial" w:eastAsia="Arial" w:hAnsi="Arial"/>
          <w:sz w:val="16"/>
          <w:szCs w:val="16"/>
          <w:color w:val="auto"/>
        </w:rPr>
        <w:t xml:space="preserve">). The purchasers of the units have no registration rights with respect to the shares of common stock, warrants or the shares of common stock issuable upon exercise of the warrants comprising the units sold. We received aggregate cash proceeds of $812,500 in connection with the Fall 2018 Private Placement and settled an outstanding professional service payable by accepting a subscription agreement in the amount of $40,000 and issuing the corresponding number of shares of common stock and warrants. The entire amount of the proceeds of the Fall 2018 Private Placement was credited to stockholders’ equity. The fair value of the common stock and warrant issued in the Fall 2018 Private Placement in settlement of the professional services payable was determined to be $62,700 on the effective date of the agreement. Accordingly, we recognized a loss on extinguishment of accounts payable in the amount of $22,700 in our Consolidated Statement of Operations and Comprehensive Loss for the fiscal year ended March 31, 2019. Refer to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regarding filing of a registration statement including the shares of common stock underlying the warrants issued in the Fall 2018 Private Placement.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 issued in Summer 2018 Private Placement</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Subsequent to the completion of the Summer 2018 Private Placement, we amended warrants to purchase an aggregate of 304,000 shares of our common stock issued to investors who submitted Summer 2018 Private Placement subscription agreements between October 3, 2018 and October 5, 2018 to increase the exercise price of their warrants from $1.50 per share to $1.59 per share or $1.69 per share, depending on the effective date of the related subscription agreement, to comply with certain provisions of The Nasdaq Stock Market Rules applicable to the private placement. As additional consideration for agreeing to the increase in the warrant exercise price, we granted the investors additional warrants to purchase an aggregate of 23,800 unregistered shares of our common stock at an exercise price of $1.75 per share through February 28, 2022. We calculated the fair value of the modified warrants immediately before and after the modification using the Black Scholes Option Pricing Model and determined that the increase in the exercise price resulted in a decrease in the fair value of the warrants, which decrease is not recognized. We calculated the fair value of the 23,800 additional warrants using the Black-Scholes Option Pricing Model and the weighted average assumptions indicated in the table below, recognizing $25,800 as the fair value of the new warrants and as warrant modification expense, included as a component of general and administrative expenses, in our Consolidated Statement of Operations and Comprehensive Loss for the fiscal year ended March 31,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New</w:t>
            </w:r>
          </w:p>
        </w:tc>
      </w:tr>
      <w:tr>
        <w:trPr>
          <w:trHeight w:val="237"/>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2"/>
              </w:rPr>
              <w:t>Warrants</w:t>
            </w:r>
          </w:p>
        </w:tc>
        <w:tc>
          <w:tcPr>
            <w:tcW w:w="160" w:type="dxa"/>
            <w:vAlign w:val="bottom"/>
            <w:gridSpan w:val="2"/>
          </w:tcPr>
          <w:p>
            <w:pPr>
              <w:spacing w:after="0"/>
              <w:rPr>
                <w:sz w:val="20"/>
                <w:szCs w:val="20"/>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23,800</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60"/>
          </w:cols>
          <w:pgMar w:left="320" w:top="131" w:right="3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116" w:name="page117"/>
    <w:bookmarkEnd w:id="11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for Product Licenses and Option</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As indicated in Note 3,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 September 2018 we issued an aggregate of 1,630,435 shares of our unregistered common stock having a fair market value of $2,250,000, based on the $1.38 per share quoted closing market price of our common stock on the Nasdaq Capital Market, to Pherin to acquire an exclusive worldwide license to develop and commercialize PH94B and an option to acquire a similar license for PH10. In October 2018, we exercised our option to acquire an exclusive worldwide license to develop and commercialize PH10 by issuing 925,926 shares of our unregistered common stock having a fair market value of $2,000,000, based on the $2.16 per share closing quoted market price of our common stock on the Nasdaq Capital Market, to Pherin under the terms of the PH10 license agreement. Under the terms of the PH94B and PH10 license agreements, we are obligated to make additional cash payments and pay royalties to Pherin in the event that certain regulatory and performance-based milestones and commercial sales are achieved. Additionally, in connection with the license agreements, we are obligated to pay to Pherin monthly support payments of $10,000 for a term of 18 months, however no monthly support payment is required during the 18-month period identified in the PH10 license agreement if support payments are being made under the terms of the PH94B license agreement. The support payments required under the PH94B license agreement terminated in March 2020 and will terminate in April 2020 under the PH10 license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 in Spring 2019 Public Offering</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During the quarter ended March 31, 2019, we completed an underwritten public offering of 11,500,000 shares of our common stock, including the overallotment option, at a public offering price of $1.00 per share, resulting in gross proceeds to us of $11,500,000, pursuant to our shelf registration statement on Form S-3 (File No. 333-215671), previously filed with the SEC (the </w:t>
      </w:r>
      <w:r>
        <w:rPr>
          <w:rFonts w:ascii="Arial" w:cs="Arial" w:eastAsia="Arial" w:hAnsi="Arial"/>
          <w:sz w:val="18"/>
          <w:szCs w:val="18"/>
          <w:i w:val="1"/>
          <w:iCs w:val="1"/>
          <w:color w:val="auto"/>
        </w:rPr>
        <w:t>Spring 2019 Public Offering</w:t>
      </w:r>
      <w:r>
        <w:rPr>
          <w:rFonts w:ascii="Arial" w:cs="Arial" w:eastAsia="Arial" w:hAnsi="Arial"/>
          <w:sz w:val="18"/>
          <w:szCs w:val="18"/>
          <w:color w:val="auto"/>
        </w:rPr>
        <w:t>). We received net proceeds of approximately $10.4 million after deducting underwriter’s commission and offering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2019 Private Placement</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Between October 30, 2019 and November 7, 2019, in a self-placed private placement and pursuant to subscription agreements received from certain accredited investors, we sold to such investors units, at a purchase price of $1.00 per unit, consisting of an aggregate of 650,000 unregistered shares of our common stock and warrants, exercisable beginning six months and one day following issuance and through November 1, 2023, to purchase 325,000 unregistered shares of our common stock at an exercise price of $2.00 per share (the </w:t>
      </w:r>
      <w:r>
        <w:rPr>
          <w:rFonts w:ascii="Arial" w:cs="Arial" w:eastAsia="Arial" w:hAnsi="Arial"/>
          <w:sz w:val="18"/>
          <w:szCs w:val="18"/>
          <w:i w:val="1"/>
          <w:iCs w:val="1"/>
          <w:color w:val="auto"/>
        </w:rPr>
        <w:t>Fall 2019 Private Placement</w:t>
      </w:r>
      <w:r>
        <w:rPr>
          <w:rFonts w:ascii="Arial" w:cs="Arial" w:eastAsia="Arial" w:hAnsi="Arial"/>
          <w:sz w:val="18"/>
          <w:szCs w:val="18"/>
          <w:color w:val="auto"/>
        </w:rPr>
        <w:t>). We received cash proceeds of $650,000 from the Fall 2019 Private Placement.</w:t>
      </w:r>
    </w:p>
    <w:p>
      <w:pPr>
        <w:spacing w:after="0" w:line="20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 xml:space="preserve">As further described below under “Winter 2019 Warrant Modification,” in December 2019, we modified the warrants issued in connection with the Fall 2019 Private Placement to (i) reduce the exercise price from $2.00 per share to $0.50 per share and (ii) to allow for the warrants to become immediately exercisable. Further, we issued warrants to purchase an aggregate of 325,000 additional shares of our common stock to the participants in the Fall 2019 Private Placement (the </w:t>
      </w:r>
      <w:r>
        <w:rPr>
          <w:rFonts w:ascii="Arial" w:cs="Arial" w:eastAsia="Arial" w:hAnsi="Arial"/>
          <w:sz w:val="16"/>
          <w:szCs w:val="16"/>
          <w:i w:val="1"/>
          <w:iCs w:val="1"/>
          <w:color w:val="auto"/>
        </w:rPr>
        <w:t>Additional Warrants</w:t>
      </w:r>
      <w:r>
        <w:rPr>
          <w:rFonts w:ascii="Arial" w:cs="Arial" w:eastAsia="Arial" w:hAnsi="Arial"/>
          <w:sz w:val="16"/>
          <w:szCs w:val="16"/>
          <w:color w:val="auto"/>
        </w:rPr>
        <w:t>) to increase the number of unregistered shares of common stock issuable upon exercise of the warrants from 50% to 100%. The Additional Warrants are immediately exercisable through March 31, 2024 at an exercise price of $0.50 per share.</w:t>
      </w:r>
    </w:p>
    <w:p>
      <w:pPr>
        <w:spacing w:after="0" w:line="16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calculated the fair value of the Additional Warrants using the Black Scholes Option Pricing Model and the weighted average assumptions indicated in the table below, recognizing $88,800 as the fair value of the new warrants and as warrant modification expense, included as a component of general and administrative expenses, in our Consolidated Statement of Operations and Comprehensive Loss for the fiscal year ended March 31,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Additional</w:t>
            </w:r>
          </w:p>
        </w:tc>
      </w:tr>
      <w:tr>
        <w:trPr>
          <w:trHeight w:val="237"/>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160" w:type="dxa"/>
            <w:vAlign w:val="bottom"/>
            <w:gridSpan w:val="2"/>
          </w:tcPr>
          <w:p>
            <w:pPr>
              <w:spacing w:after="0"/>
              <w:rPr>
                <w:sz w:val="20"/>
                <w:szCs w:val="20"/>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325,000</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0.27</w:t>
            </w:r>
          </w:p>
        </w:tc>
        <w:tc>
          <w:tcPr>
            <w:tcW w:w="2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Winter 2019 Warrant Modification</w:t>
      </w:r>
    </w:p>
    <w:p>
      <w:pPr>
        <w:spacing w:after="0" w:line="225" w:lineRule="exact"/>
        <w:rPr>
          <w:sz w:val="20"/>
          <w:szCs w:val="20"/>
          <w:color w:val="auto"/>
        </w:rPr>
      </w:pPr>
    </w:p>
    <w:p>
      <w:pPr>
        <w:jc w:val="both"/>
        <w:ind w:right="20"/>
        <w:spacing w:after="0" w:line="317" w:lineRule="auto"/>
        <w:rPr>
          <w:sz w:val="20"/>
          <w:szCs w:val="20"/>
          <w:color w:val="auto"/>
        </w:rPr>
      </w:pPr>
      <w:r>
        <w:rPr>
          <w:rFonts w:ascii="Arial" w:cs="Arial" w:eastAsia="Arial" w:hAnsi="Arial"/>
          <w:sz w:val="15"/>
          <w:szCs w:val="15"/>
          <w:color w:val="auto"/>
        </w:rPr>
        <w:t xml:space="preserve">On December 4, 2019, we modified outstanding warrants previously issued as a part of completed private placements to temporarily reduce, for a period of two years or, if sooner, until the expiration of the warrant, the exercise price of such warrants to $0.50 per share, in order to more closely align the exercise price of the warrants with the trading price of our common stock at such time (the </w:t>
      </w:r>
      <w:r>
        <w:rPr>
          <w:rFonts w:ascii="Arial" w:cs="Arial" w:eastAsia="Arial" w:hAnsi="Arial"/>
          <w:sz w:val="15"/>
          <w:szCs w:val="15"/>
          <w:i w:val="1"/>
          <w:iCs w:val="1"/>
          <w:color w:val="auto"/>
        </w:rPr>
        <w:t>Winter 2019 Warrant Modification</w:t>
      </w:r>
      <w:r>
        <w:rPr>
          <w:rFonts w:ascii="Arial" w:cs="Arial" w:eastAsia="Arial" w:hAnsi="Arial"/>
          <w:sz w:val="15"/>
          <w:szCs w:val="15"/>
          <w:color w:val="auto"/>
        </w:rPr>
        <w:t>). Following the two-year period during which the exercise price is reduced, the exercise price of each then-outstanding modified warrant will revert to its pre-modification price. As a result of the Winter 2019 Warrant Modification, outstanding warrants to purchase a total of approximately 6.6 million unregistered shares of our common stock were modified.</w:t>
      </w:r>
    </w:p>
    <w:p>
      <w:pPr>
        <w:sectPr>
          <w:pgSz w:w="11900" w:h="16838" w:orient="portrait"/>
          <w:cols w:equalWidth="0" w:num="1">
            <w:col w:w="11260"/>
          </w:cols>
          <w:pgMar w:left="320" w:top="131" w:right="31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117" w:name="page118"/>
    <w:bookmarkEnd w:id="11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We calculated the fair value of the modified warrants, including those issued in the Fall 2019 Private Placement, immediately before and after the modification using the Black Scholes Option Pricing Model for pre-modification valuations and for post-modification valuations for warrants expiring in less than two years. For the warrants expiring after the December 4, 2021 exercise price reversion date, we ran a binomial model using 24 steps, one for each month, and lognormal distribution to estimate our stock price at December 4, 2021, the termination date for the exercise price reduction. We then compared the exercise value of each warrant at each estimated stock price to the remaining option value if the warrant was not exercised on December 4, 2021 and allowed to revert to its original exercise price. For any estimated stock price above $0.50 per share (an in-the-money warrant), we determined that the holders would convert their warrants. For any estimated stock price below $0.50 per share, we determined that the holders would continue to hold their warrants. Given the significant reductions in exercise price (the pre-modification exercise prices ranged from $1.50 to $2.24 per share), if the warrants are not exercised prior to December 4, 2021, the Black-Scholes values upon the reversion of the exercise prices are very low, such that there is nominal additional value for continuing to hold the warrants. Accordingly, our estimated post-modification fair value for warrants having an expiration date later than the two-year exercise price reversion date, December 4, 2021, is equal to the value of an option determined using the Black Scholes Option Pricing Model having an exercise price of $0.50 per share and a two-year term and related assumptions. The table below indicates the pre- and post-modification weighted average assumptions used in our valuations. We recognized the incremental fair value, $702,500, as warrant modification expense, included as a component of general and administrative expenses, in our Consolidated Statement of Operations and Comprehensive Loss for the fiscal yer ended March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Post-</w:t>
            </w:r>
          </w:p>
        </w:tc>
      </w:tr>
      <w:tr>
        <w:trPr>
          <w:trHeight w:val="237"/>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modification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modification</w:t>
            </w:r>
          </w:p>
        </w:tc>
        <w:tc>
          <w:tcPr>
            <w:tcW w:w="160" w:type="dxa"/>
            <w:vAlign w:val="bottom"/>
            <w:gridSpan w:val="2"/>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0.44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ind w:left="540"/>
              <w:spacing w:after="0"/>
              <w:rPr>
                <w:sz w:val="20"/>
                <w:szCs w:val="20"/>
                <w:color w:val="auto"/>
              </w:rPr>
            </w:pPr>
            <w:r>
              <w:rPr>
                <w:rFonts w:ascii="Arial" w:cs="Arial" w:eastAsia="Arial" w:hAnsi="Arial"/>
                <w:sz w:val="18"/>
                <w:szCs w:val="18"/>
                <w:color w:val="auto"/>
                <w:w w:val="79"/>
              </w:rPr>
              <w:t>1.85</w:t>
            </w:r>
          </w:p>
        </w:tc>
        <w:tc>
          <w:tcPr>
            <w:tcW w:w="220" w:type="dxa"/>
            <w:vAlign w:val="bottom"/>
          </w:tcPr>
          <w:p>
            <w:pPr>
              <w:spacing w:after="0"/>
              <w:rPr>
                <w:sz w:val="18"/>
                <w:szCs w:val="18"/>
                <w:color w:val="auto"/>
              </w:rPr>
            </w:pP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1.58%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w w:val="79"/>
              </w:rPr>
              <w:t>2.25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87.5%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6,611,759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6,611,759</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w w:val="79"/>
              </w:rPr>
              <w:t>0.08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0.19</w:t>
            </w:r>
          </w:p>
        </w:tc>
        <w:tc>
          <w:tcPr>
            <w:tcW w:w="20" w:type="dxa"/>
            <w:vAlign w:val="bottom"/>
          </w:tcPr>
          <w:p>
            <w:pPr>
              <w:spacing w:after="0"/>
              <w:rPr>
                <w:sz w:val="18"/>
                <w:szCs w:val="18"/>
                <w:color w:val="auto"/>
              </w:rPr>
            </w:pPr>
          </w:p>
        </w:tc>
      </w:tr>
    </w:tbl>
    <w:p>
      <w:pPr>
        <w:spacing w:after="0" w:line="20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Following the Winter 2019 Warrant Modification, investors holding a total of 820,000 warrants elected to exercise their warrants at the reduced price of $0.50 per share, resulting in proceeds to us of $410,000. Refer to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regarding filing of a registration statement including the shares of common stock underlying essentially all of the warrants subject to the Winter 2019 Warrant Modification.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19, 2019 Warrant Modification</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On December 19, 2019, we modified outstanding warrants previously issued as a part of a completed private placement to permanently reduce the exercise price of such warrants to $0.805 per share and to extend the term of such warrants through December 31, 2022, in order to more closely align the exercise price of the warrants with the current trading price of our common stock and to provide additional time for the holders to exercise the warrants (the </w:t>
      </w:r>
      <w:r>
        <w:rPr>
          <w:rFonts w:ascii="Arial" w:cs="Arial" w:eastAsia="Arial" w:hAnsi="Arial"/>
          <w:sz w:val="18"/>
          <w:szCs w:val="18"/>
          <w:i w:val="1"/>
          <w:iCs w:val="1"/>
          <w:color w:val="auto"/>
        </w:rPr>
        <w:t>December 19,</w:t>
      </w:r>
      <w:r>
        <w:rPr>
          <w:rFonts w:ascii="Arial" w:cs="Arial" w:eastAsia="Arial" w:hAnsi="Arial"/>
          <w:sz w:val="18"/>
          <w:szCs w:val="18"/>
          <w:color w:val="auto"/>
        </w:rPr>
        <w:t xml:space="preserve"> </w:t>
      </w:r>
      <w:r>
        <w:rPr>
          <w:rFonts w:ascii="Arial" w:cs="Arial" w:eastAsia="Arial" w:hAnsi="Arial"/>
          <w:sz w:val="18"/>
          <w:szCs w:val="18"/>
          <w:i w:val="1"/>
          <w:iCs w:val="1"/>
          <w:color w:val="auto"/>
        </w:rPr>
        <w:t>2019 Warrant Modification</w:t>
      </w:r>
      <w:r>
        <w:rPr>
          <w:rFonts w:ascii="Arial" w:cs="Arial" w:eastAsia="Arial" w:hAnsi="Arial"/>
          <w:sz w:val="18"/>
          <w:szCs w:val="18"/>
          <w:color w:val="auto"/>
        </w:rPr>
        <w:t>). As a result of the December 19, 2019 Warrant Modification, outstanding warrants to purchase a total of 80,431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were modified.</w:t>
      </w:r>
    </w:p>
    <w:p>
      <w:pPr>
        <w:spacing w:after="0" w:line="20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calculated the fair value of the modified warrants immediately before and after the modification using the Black Scholes Option Pricing Model and the weighted average assumptions indicated in the table below. We recognized the incremental fair value, $35,600, as warrant modification expense, included as a component of general and administrative expenses, in our Consolidated Statement of Operations and Comprehensive Loss for the fiscal year ended March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Pre-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Post-</w:t>
            </w:r>
          </w:p>
        </w:tc>
      </w:tr>
      <w:tr>
        <w:trPr>
          <w:trHeight w:val="237"/>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modification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modification</w:t>
            </w:r>
          </w:p>
        </w:tc>
        <w:tc>
          <w:tcPr>
            <w:tcW w:w="160" w:type="dxa"/>
            <w:vAlign w:val="bottom"/>
            <w:gridSpan w:val="2"/>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0.805</w:t>
            </w: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0.805</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3.034</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80.431</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.044</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60"/>
          </w:cols>
          <w:pgMar w:left="320" w:top="131" w:right="3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118" w:name="page119"/>
    <w:bookmarkEnd w:id="11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in Winter 2019 Warrant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December 2019, we commenced a self-placed private placement of warrants to purchase unregistered shares of our common stock at an offering price of $0.15 per warrant (the </w:t>
      </w:r>
      <w:r>
        <w:rPr>
          <w:rFonts w:ascii="Arial" w:cs="Arial" w:eastAsia="Arial" w:hAnsi="Arial"/>
          <w:sz w:val="16"/>
          <w:szCs w:val="16"/>
          <w:i w:val="1"/>
          <w:iCs w:val="1"/>
          <w:color w:val="auto"/>
        </w:rPr>
        <w:t>Winter 2019 Warrant Offering</w:t>
      </w:r>
      <w:r>
        <w:rPr>
          <w:rFonts w:ascii="Arial" w:cs="Arial" w:eastAsia="Arial" w:hAnsi="Arial"/>
          <w:sz w:val="16"/>
          <w:szCs w:val="16"/>
          <w:color w:val="auto"/>
        </w:rPr>
        <w:t xml:space="preserve">). Warrants offered and sold in the Winter 2019 Warrant Offering have an exercise price of $0.50 per share and term of three years from the issuance date. Over the course of the Winter 2019 Warrant Offering, we sold warrants to purchase a total of 2.0 million unregistered shares of common stock for cash proceeds to us of $300,000, which we accounted for with a corresponding credit to additional paid-in capital, an equity account. Refer to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regarding filing of a registration statement including the shares of common stock underlying the warrants issued in the Winter 2019 Warrant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 of Common Stock and Concurrent Warrant Offering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January 2020, we entered into a self-placed securities purchase agreement with certain accredited investors pursuant to which we received gross cash proceeds of $2.75 million upon the sale of an aggregate of 3,870,077 shares of our common stock at a purchase price of $0.71058 per share (the </w:t>
      </w:r>
      <w:r>
        <w:rPr>
          <w:rFonts w:ascii="Arial" w:cs="Arial" w:eastAsia="Arial" w:hAnsi="Arial"/>
          <w:sz w:val="16"/>
          <w:szCs w:val="16"/>
          <w:i w:val="1"/>
          <w:iCs w:val="1"/>
          <w:color w:val="auto"/>
        </w:rPr>
        <w:t>January 2020</w:t>
      </w:r>
      <w:r>
        <w:rPr>
          <w:rFonts w:ascii="Arial" w:cs="Arial" w:eastAsia="Arial" w:hAnsi="Arial"/>
          <w:sz w:val="16"/>
          <w:szCs w:val="16"/>
          <w:color w:val="auto"/>
        </w:rPr>
        <w:t xml:space="preserve"> </w:t>
      </w:r>
      <w:r>
        <w:rPr>
          <w:rFonts w:ascii="Arial" w:cs="Arial" w:eastAsia="Arial" w:hAnsi="Arial"/>
          <w:sz w:val="16"/>
          <w:szCs w:val="16"/>
          <w:i w:val="1"/>
          <w:iCs w:val="1"/>
          <w:color w:val="auto"/>
        </w:rPr>
        <w:t>Offering</w:t>
      </w:r>
      <w:r>
        <w:rPr>
          <w:rFonts w:ascii="Arial" w:cs="Arial" w:eastAsia="Arial" w:hAnsi="Arial"/>
          <w:sz w:val="16"/>
          <w:szCs w:val="16"/>
          <w:color w:val="auto"/>
        </w:rPr>
        <w:t>). Concurrently with the January 2020 Offering, we also commenced a private placement in which we issued and sold warrants (the</w:t>
      </w:r>
      <w:r>
        <w:rPr>
          <w:rFonts w:ascii="Arial" w:cs="Arial" w:eastAsia="Arial" w:hAnsi="Arial"/>
          <w:sz w:val="16"/>
          <w:szCs w:val="16"/>
          <w:i w:val="1"/>
          <w:iCs w:val="1"/>
          <w:color w:val="auto"/>
        </w:rPr>
        <w:t xml:space="preserve"> January 2020 Warrants</w:t>
      </w:r>
      <w:r>
        <w:rPr>
          <w:rFonts w:ascii="Arial" w:cs="Arial" w:eastAsia="Arial" w:hAnsi="Arial"/>
          <w:sz w:val="16"/>
          <w:szCs w:val="16"/>
          <w:color w:val="auto"/>
        </w:rPr>
        <w:t>) exercisable for an aggregate of 3,870,077 unregistered shares of our common stock (the</w:t>
      </w:r>
      <w:r>
        <w:rPr>
          <w:rFonts w:ascii="Arial" w:cs="Arial" w:eastAsia="Arial" w:hAnsi="Arial"/>
          <w:sz w:val="16"/>
          <w:szCs w:val="16"/>
          <w:i w:val="1"/>
          <w:iCs w:val="1"/>
          <w:color w:val="auto"/>
        </w:rPr>
        <w:t xml:space="preserve"> Warrant Shares</w:t>
      </w:r>
      <w:r>
        <w:rPr>
          <w:rFonts w:ascii="Arial" w:cs="Arial" w:eastAsia="Arial" w:hAnsi="Arial"/>
          <w:sz w:val="16"/>
          <w:szCs w:val="16"/>
          <w:color w:val="auto"/>
        </w:rPr>
        <w:t>), having an exercise price of $0.73 per</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Share. The 3,870,077 shares of common stock sold in the January 2020 Offering (but not the January 2020 Warrants or the Warrant Shares) were offered and sold pursuant to a prospectus, dated September 30, 2019, and a prospectus supplement dated January 24, 2020, in connection with a takedown from our shelf registration statement on Form S-3 (File No. 333-234025).</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January 2020 Warrants contain customary provisions allowing for adjustment to the exercise price and number of Warrant Shares issuable only in the event of any stock dividend and split, reverse stock split, recapitalization, reorganization or similar transaction, as described in the January 2020 Warrants. In addition, subject to limited exceptions, holders of the January 2020 Warrants will not have the right to exercise any portion of their respective January 2020 Warrants if the holder, together with any affiliates, would beneficially own in excess of 4.99% of the number of shares of our common stock outstanding immediately after giving effect to such exercise. The January 2020 Warrants are exercisable from any time after the six-month anniversary of issuance (the </w:t>
      </w:r>
      <w:r>
        <w:rPr>
          <w:rFonts w:ascii="Arial" w:cs="Arial" w:eastAsia="Arial" w:hAnsi="Arial"/>
          <w:sz w:val="16"/>
          <w:szCs w:val="16"/>
          <w:i w:val="1"/>
          <w:iCs w:val="1"/>
          <w:color w:val="auto"/>
        </w:rPr>
        <w:t>Initial Exercise Date</w:t>
      </w:r>
      <w:r>
        <w:rPr>
          <w:rFonts w:ascii="Arial" w:cs="Arial" w:eastAsia="Arial" w:hAnsi="Arial"/>
          <w:sz w:val="16"/>
          <w:szCs w:val="16"/>
          <w:color w:val="auto"/>
        </w:rPr>
        <w:t>) and will expire on the fifth year anniversary of the Initial Exercise Date. Refer to Note 16,</w:t>
      </w:r>
      <w:r>
        <w:rPr>
          <w:rFonts w:ascii="Arial" w:cs="Arial" w:eastAsia="Arial" w:hAnsi="Arial"/>
          <w:sz w:val="16"/>
          <w:szCs w:val="16"/>
          <w:i w:val="1"/>
          <w:iCs w:val="1"/>
          <w:color w:val="auto"/>
        </w:rPr>
        <w:t xml:space="preserve"> Subsequent Events</w:t>
      </w:r>
      <w:r>
        <w:rPr>
          <w:rFonts w:ascii="Arial" w:cs="Arial" w:eastAsia="Arial" w:hAnsi="Arial"/>
          <w:sz w:val="16"/>
          <w:szCs w:val="16"/>
          <w:color w:val="auto"/>
        </w:rPr>
        <w:t>, for disclosure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filing of a registration statement including the shares of common stock underlying the January 2020 Warrants.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 with Lincoln Park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24, 2020, we entered into a purchase agreement and a registration rights agreement with Lincoln Park Capital Fund (</w:t>
      </w:r>
      <w:r>
        <w:rPr>
          <w:rFonts w:ascii="Arial" w:cs="Arial" w:eastAsia="Arial" w:hAnsi="Arial"/>
          <w:sz w:val="16"/>
          <w:szCs w:val="16"/>
          <w:i w:val="1"/>
          <w:iCs w:val="1"/>
          <w:color w:val="auto"/>
        </w:rPr>
        <w:t>LPC</w:t>
      </w:r>
      <w:r>
        <w:rPr>
          <w:rFonts w:ascii="Arial" w:cs="Arial" w:eastAsia="Arial" w:hAnsi="Arial"/>
          <w:sz w:val="16"/>
          <w:szCs w:val="16"/>
          <w:color w:val="auto"/>
        </w:rPr>
        <w:t xml:space="preserve">) pursuant to which LPC committed to purchase up to $10,250,000 of our common stock at market-based prices over a period of 24 months (the </w:t>
      </w:r>
      <w:r>
        <w:rPr>
          <w:rFonts w:ascii="Arial" w:cs="Arial" w:eastAsia="Arial" w:hAnsi="Arial"/>
          <w:sz w:val="16"/>
          <w:szCs w:val="16"/>
          <w:i w:val="1"/>
          <w:iCs w:val="1"/>
          <w:color w:val="auto"/>
        </w:rPr>
        <w:t>LPC Agreement</w:t>
      </w:r>
      <w:r>
        <w:rPr>
          <w:rFonts w:ascii="Arial" w:cs="Arial" w:eastAsia="Arial" w:hAnsi="Arial"/>
          <w:sz w:val="16"/>
          <w:szCs w:val="16"/>
          <w:color w:val="auto"/>
        </w:rPr>
        <w:t xml:space="preserve">). On March 24, 2020, we sold 500,000 unregistered shares of our common stock (the </w:t>
      </w:r>
      <w:r>
        <w:rPr>
          <w:rFonts w:ascii="Arial" w:cs="Arial" w:eastAsia="Arial" w:hAnsi="Arial"/>
          <w:sz w:val="16"/>
          <w:szCs w:val="16"/>
          <w:i w:val="1"/>
          <w:iCs w:val="1"/>
          <w:color w:val="auto"/>
        </w:rPr>
        <w:t>Initial Purchase Shares</w:t>
      </w:r>
      <w:r>
        <w:rPr>
          <w:rFonts w:ascii="Arial" w:cs="Arial" w:eastAsia="Arial" w:hAnsi="Arial"/>
          <w:sz w:val="16"/>
          <w:szCs w:val="16"/>
          <w:color w:val="auto"/>
        </w:rPr>
        <w:t xml:space="preserve">) to LPC under the purchase agreement at a price of $0.50 per share for gross cash proceeds of $250,000 (the </w:t>
      </w:r>
      <w:r>
        <w:rPr>
          <w:rFonts w:ascii="Arial" w:cs="Arial" w:eastAsia="Arial" w:hAnsi="Arial"/>
          <w:sz w:val="16"/>
          <w:szCs w:val="16"/>
          <w:i w:val="1"/>
          <w:iCs w:val="1"/>
          <w:color w:val="auto"/>
        </w:rPr>
        <w:t>Initial Purchase</w:t>
      </w:r>
      <w:r>
        <w:rPr>
          <w:rFonts w:ascii="Arial" w:cs="Arial" w:eastAsia="Arial" w:hAnsi="Arial"/>
          <w:sz w:val="16"/>
          <w:szCs w:val="16"/>
          <w:color w:val="auto"/>
        </w:rPr>
        <w:t xml:space="preserve">) and we also issued 750,000 unregistered shares of our common stock to LPC under the terms of the LPC Agreement (the </w:t>
      </w:r>
      <w:r>
        <w:rPr>
          <w:rFonts w:ascii="Arial" w:cs="Arial" w:eastAsia="Arial" w:hAnsi="Arial"/>
          <w:sz w:val="16"/>
          <w:szCs w:val="16"/>
          <w:i w:val="1"/>
          <w:iCs w:val="1"/>
          <w:color w:val="auto"/>
        </w:rPr>
        <w:t>Commitment Shares</w:t>
      </w:r>
      <w:r>
        <w:rPr>
          <w:rFonts w:ascii="Arial" w:cs="Arial" w:eastAsia="Arial" w:hAnsi="Arial"/>
          <w:sz w:val="16"/>
          <w:szCs w:val="16"/>
          <w:color w:val="auto"/>
        </w:rPr>
        <w:t xml:space="preserve">). To satisfy our obligations under the registration rights agreement, we filed a Registration Statement on Form S-1 (the </w:t>
      </w:r>
      <w:r>
        <w:rPr>
          <w:rFonts w:ascii="Arial" w:cs="Arial" w:eastAsia="Arial" w:hAnsi="Arial"/>
          <w:sz w:val="16"/>
          <w:szCs w:val="16"/>
          <w:i w:val="1"/>
          <w:iCs w:val="1"/>
          <w:color w:val="auto"/>
        </w:rPr>
        <w:t>LPC Registration Statement</w:t>
      </w:r>
      <w:r>
        <w:rPr>
          <w:rFonts w:ascii="Arial" w:cs="Arial" w:eastAsia="Arial" w:hAnsi="Arial"/>
          <w:sz w:val="16"/>
          <w:szCs w:val="16"/>
          <w:color w:val="auto"/>
        </w:rPr>
        <w:t xml:space="preserve">) with the SEC on March 31, 2020 (Registration No. 333-237514), which the SEC declared effective on April 14, 2020 (the </w:t>
      </w:r>
      <w:r>
        <w:rPr>
          <w:rFonts w:ascii="Arial" w:cs="Arial" w:eastAsia="Arial" w:hAnsi="Arial"/>
          <w:sz w:val="16"/>
          <w:szCs w:val="16"/>
          <w:i w:val="1"/>
          <w:iCs w:val="1"/>
          <w:color w:val="auto"/>
        </w:rPr>
        <w:t>Commencement Date</w:t>
      </w:r>
      <w:r>
        <w:rPr>
          <w:rFonts w:ascii="Arial" w:cs="Arial" w:eastAsia="Arial" w:hAnsi="Arial"/>
          <w:sz w:val="16"/>
          <w:szCs w:val="16"/>
          <w:color w:val="auto"/>
        </w:rPr>
        <w:t>). The LPC Registration Statement included registration of the Initial Purchase Shares and the Commitment Shares.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Shares, $284,400, determined based on the quoted closing market price of our common stock on March 24, 2020, is a component of deferred offering costs attributable to this offering, which costs are amortized ratably to additional paid-in capital as we sell shares of our common stock to LPC under the LPC Agreement.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Following the Commencement Date, on any business day over the term of the LPC Agreement, we have the right, in our sole discretion, to direct LPC to purchase up to 100,000 shares on such business day (the “</w:t>
      </w:r>
      <w:r>
        <w:rPr>
          <w:rFonts w:ascii="Arial" w:cs="Arial" w:eastAsia="Arial" w:hAnsi="Arial"/>
          <w:sz w:val="16"/>
          <w:szCs w:val="16"/>
          <w:i w:val="1"/>
          <w:iCs w:val="1"/>
          <w:color w:val="auto"/>
        </w:rPr>
        <w:t>Regular Purchase</w:t>
      </w:r>
      <w:r>
        <w:rPr>
          <w:rFonts w:ascii="Arial" w:cs="Arial" w:eastAsia="Arial" w:hAnsi="Arial"/>
          <w:sz w:val="16"/>
          <w:szCs w:val="16"/>
          <w:color w:val="auto"/>
        </w:rPr>
        <w:t xml:space="preserve">”) (subject to adjustment under certain circumstances as provided in the LPC Agreement). The purchase price per share for each such Regular Purchase will be based on prevailing market prices of our common stock immediately preceding the time of sale as computed under the LPC Agreement. In each case, LPC’s maximum commitment in any single Regular Purchase may not exceed $1,000,000. In addition to Regular Purchases, provided that we present LPC with a purchase notice for the full amount allowed for a Regular Purchase, we may also direct LPC to make </w:t>
      </w:r>
      <w:r>
        <w:rPr>
          <w:rFonts w:ascii="Arial" w:cs="Arial" w:eastAsia="Arial" w:hAnsi="Arial"/>
          <w:sz w:val="16"/>
          <w:szCs w:val="16"/>
          <w:color w:val="212529"/>
        </w:rPr>
        <w:t>accelerated purchases and additional accelerated purchases as described in the LPC Agreement</w:t>
      </w:r>
      <w:r>
        <w:rPr>
          <w:rFonts w:ascii="Arial" w:cs="Arial" w:eastAsia="Arial" w:hAnsi="Arial"/>
          <w:sz w:val="16"/>
          <w:szCs w:val="16"/>
          <w:color w:val="auto"/>
        </w:rPr>
        <w:t xml:space="preserve">. Although LPC has no right to require us to sell any shares of our common stock to LPC, LPC is obligated to make purchases as we direct, subject to certain conditions. In all instances, we may not sell shares of our common stock to LPC under the LPC Agreement if such sales would result in LPC beneficially owning more than 9.99% of our common stock. There are no upper limits on the price per share that LPC must pay for shares of our common stock.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disclosure regarding sales of our common stock under the LPC Agreement after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9" w:name="page120"/>
    <w:bookmarkEnd w:id="11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and Warrants to Professional Services Providers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our fiscal year ended March 31, 2019, we issued the following securities in private placement transactions as compensation for various professional services. In all cases, we recorded the related noncash expense as a component of general and administrative expense in the Consolidated Statement of Operations and Comprehensive Loss for the fiscal year ended March 31, 2019.</w:t>
      </w:r>
    </w:p>
    <w:p>
      <w:pPr>
        <w:spacing w:after="0" w:line="194" w:lineRule="exact"/>
        <w:rPr>
          <w:sz w:val="20"/>
          <w:szCs w:val="20"/>
          <w:color w:val="auto"/>
        </w:rPr>
      </w:pPr>
    </w:p>
    <w:p>
      <w:pPr>
        <w:ind w:left="660" w:hanging="328"/>
        <w:spacing w:after="0" w:line="33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the quarter ended June 30, 2018, we issued an aggregate of 100,000 unregistered shares of our common stock having a fair value on the dates of issuance of $123,000 as full or partial compensation to an investor relations service provider and under a financial advisory agreement.</w:t>
      </w:r>
    </w:p>
    <w:p>
      <w:pPr>
        <w:spacing w:after="0" w:line="140"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quarter ended September 30, 2018, we issued 50,000 shares of our unregistered common stock having a fair value on the date of issuance of $68,000 as partial compensation to a corporate awareness service provider.</w:t>
      </w:r>
    </w:p>
    <w:p>
      <w:pPr>
        <w:spacing w:after="0" w:line="185"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During the quarter ended September 30, 2018, we also issued four-year warrants to three service providers to purchase an aggregate of 288,000 unregistered shares of our common stock at an exercise price of $1.50 per share as full or partial compensation for investor relations and corporate awareness services. We valued the warrants at an aggregate fair value of $266,900 using the Black-Scholes Option Pricing Model and the following grant date weighted average assumptions: exercise price per share: $1.50; market price per share: $1.40; risk-free interest rate: 2.71%; contractual term: 4 years; volatility: 94.17%; dividend rate: 0%; deriving a value per warrant share of $0.93. The fair value of the common stock and warrants was recognized in expense ratably over the term of the underlying contracts.</w:t>
      </w:r>
    </w:p>
    <w:p>
      <w:pPr>
        <w:spacing w:after="0" w:line="17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During the quarter ended March 31, 2019, we issued 25,000 registered shares of our common stock having a fair value of $41,500 on the date of issuance from our Amended and Restated 2016 Stock Incentive Plan to an investor relations and social media service provider. The fair value of the common stock was recognized in expense ratably over the term of the underlying contract.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March 31, 2019, our Chief Executive Officer and Chief Scientific Officer and a member of our Board exercised outstanding stock options to purchase an aggregate of 29,250 shares of our common stock and we received cash proceeds of $43,900. There were no stock option exercises during the fiscal year ended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Outstanding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Winter 2019 Warrant Modifications, the December 19, 2019 Warrant Modification, the Winter 2019 Warrant Offering and the issuance of the January 2020 Warrants and the other transactions described above, the following table summarizes outstanding and exercisable warrants to purchase shares of our common stock as of March 31, 2020. The weighted average exercise price of outstanding and exercisable warrants at March 31, 2020 was $1.64 per share and $1.82 per share,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2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2"/>
              </w:rPr>
              <w:t>Warrants</w:t>
            </w:r>
          </w:p>
        </w:tc>
        <w:tc>
          <w:tcPr>
            <w:tcW w:w="2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Warrants</w:t>
            </w:r>
          </w:p>
        </w:tc>
      </w:tr>
      <w:tr>
        <w:trPr>
          <w:trHeight w:val="231"/>
        </w:trPr>
        <w:tc>
          <w:tcPr>
            <w:tcW w:w="300" w:type="dxa"/>
            <w:vAlign w:val="bottom"/>
          </w:tcPr>
          <w:p>
            <w:pPr>
              <w:spacing w:after="0"/>
              <w:rPr>
                <w:sz w:val="20"/>
                <w:szCs w:val="20"/>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b w:val="1"/>
                <w:bCs w:val="1"/>
                <w:color w:val="auto"/>
              </w:rPr>
              <w:t>Exercise Price</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560" w:type="dxa"/>
            <w:vAlign w:val="bottom"/>
          </w:tcPr>
          <w:p>
            <w:pPr>
              <w:spacing w:after="0"/>
              <w:rPr>
                <w:sz w:val="20"/>
                <w:szCs w:val="20"/>
                <w:color w:val="auto"/>
              </w:rPr>
            </w:pPr>
          </w:p>
        </w:tc>
        <w:tc>
          <w:tcPr>
            <w:tcW w:w="28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7"/>
              </w:rPr>
              <w:t>Oustanding at</w:t>
            </w:r>
          </w:p>
        </w:tc>
        <w:tc>
          <w:tcPr>
            <w:tcW w:w="2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Exercisable at</w:t>
            </w:r>
          </w:p>
        </w:tc>
      </w:tr>
      <w:tr>
        <w:trPr>
          <w:trHeight w:val="264"/>
        </w:trPr>
        <w:tc>
          <w:tcPr>
            <w:tcW w:w="300" w:type="dxa"/>
            <w:vAlign w:val="bottom"/>
          </w:tcPr>
          <w:p>
            <w:pPr>
              <w:spacing w:after="0"/>
              <w:rPr>
                <w:sz w:val="22"/>
                <w:szCs w:val="22"/>
                <w:color w:val="auto"/>
              </w:rPr>
            </w:pPr>
          </w:p>
        </w:tc>
        <w:tc>
          <w:tcPr>
            <w:tcW w:w="1740" w:type="dxa"/>
            <w:vAlign w:val="bottom"/>
          </w:tcPr>
          <w:p>
            <w:pPr>
              <w:jc w:val="right"/>
              <w:ind w:right="172"/>
              <w:spacing w:after="0"/>
              <w:rPr>
                <w:sz w:val="20"/>
                <w:szCs w:val="20"/>
                <w:color w:val="auto"/>
              </w:rPr>
            </w:pPr>
            <w:r>
              <w:rPr>
                <w:rFonts w:ascii="Arial" w:cs="Arial" w:eastAsia="Arial" w:hAnsi="Arial"/>
                <w:sz w:val="18"/>
                <w:szCs w:val="18"/>
                <w:b w:val="1"/>
                <w:bCs w:val="1"/>
                <w:color w:val="auto"/>
              </w:rPr>
              <w:t>per Share</w:t>
            </w: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560" w:type="dxa"/>
            <w:vAlign w:val="bottom"/>
          </w:tcPr>
          <w:p>
            <w:pPr>
              <w:spacing w:after="0"/>
              <w:rPr>
                <w:sz w:val="22"/>
                <w:szCs w:val="22"/>
                <w:color w:val="auto"/>
              </w:rPr>
            </w:pPr>
          </w:p>
        </w:tc>
        <w:tc>
          <w:tcPr>
            <w:tcW w:w="282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0"/>
              </w:rPr>
              <w:t>March 31, 2020</w:t>
            </w:r>
          </w:p>
        </w:tc>
        <w:tc>
          <w:tcPr>
            <w:tcW w:w="2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March 31, 2020</w:t>
            </w:r>
          </w:p>
        </w:tc>
      </w:tr>
      <w:tr>
        <w:trPr>
          <w:trHeight w:val="243"/>
        </w:trPr>
        <w:tc>
          <w:tcPr>
            <w:tcW w:w="300" w:type="dxa"/>
            <w:vAlign w:val="bottom"/>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2040" w:type="dxa"/>
            <w:vAlign w:val="bottom"/>
            <w:gridSpan w:val="2"/>
            <w:shd w:val="clear" w:color="auto" w:fill="CCEEFF"/>
          </w:tcPr>
          <w:p>
            <w:pPr>
              <w:jc w:val="right"/>
              <w:ind w:right="157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0.50</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5/20/2020 to 3/31/2024</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8,116,759</w:t>
            </w:r>
          </w:p>
        </w:tc>
        <w:tc>
          <w:tcPr>
            <w:tcW w:w="5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7,791,759</w:t>
            </w:r>
          </w:p>
        </w:tc>
      </w:tr>
      <w:tr>
        <w:trPr>
          <w:trHeight w:val="216"/>
        </w:trPr>
        <w:tc>
          <w:tcPr>
            <w:tcW w:w="2040" w:type="dxa"/>
            <w:vAlign w:val="bottom"/>
            <w:gridSpan w:val="2"/>
          </w:tcPr>
          <w:p>
            <w:pPr>
              <w:jc w:val="right"/>
              <w:ind w:right="157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0.73</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7/25/2025</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3,870,077</w:t>
            </w:r>
          </w:p>
        </w:tc>
        <w:tc>
          <w:tcPr>
            <w:tcW w:w="560" w:type="dxa"/>
            <w:vAlign w:val="bottom"/>
          </w:tcPr>
          <w:p>
            <w:pPr>
              <w:spacing w:after="0"/>
              <w:rPr>
                <w:sz w:val="18"/>
                <w:szCs w:val="18"/>
                <w:color w:val="auto"/>
              </w:rPr>
            </w:pPr>
          </w:p>
        </w:tc>
        <w:tc>
          <w:tcPr>
            <w:tcW w:w="2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gridSpan w:val="2"/>
            <w:shd w:val="clear" w:color="auto" w:fill="CCEEFF"/>
          </w:tcPr>
          <w:p>
            <w:pPr>
              <w:jc w:val="right"/>
              <w:ind w:right="157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0.805</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12/31/2022</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80,431</w:t>
            </w:r>
          </w:p>
        </w:tc>
        <w:tc>
          <w:tcPr>
            <w:tcW w:w="5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80,431</w:t>
            </w:r>
          </w:p>
        </w:tc>
      </w:tr>
      <w:tr>
        <w:trPr>
          <w:trHeight w:val="216"/>
        </w:trPr>
        <w:tc>
          <w:tcPr>
            <w:tcW w:w="2040" w:type="dxa"/>
            <w:vAlign w:val="bottom"/>
            <w:gridSpan w:val="2"/>
          </w:tcPr>
          <w:p>
            <w:pPr>
              <w:jc w:val="right"/>
              <w:ind w:right="157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1.50</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12/13/2022</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9,596,200</w:t>
            </w:r>
          </w:p>
        </w:tc>
        <w:tc>
          <w:tcPr>
            <w:tcW w:w="560" w:type="dxa"/>
            <w:vAlign w:val="bottom"/>
          </w:tcPr>
          <w:p>
            <w:pPr>
              <w:spacing w:after="0"/>
              <w:rPr>
                <w:sz w:val="18"/>
                <w:szCs w:val="18"/>
                <w:color w:val="auto"/>
              </w:rPr>
            </w:pPr>
          </w:p>
        </w:tc>
        <w:tc>
          <w:tcPr>
            <w:tcW w:w="2520" w:type="dxa"/>
            <w:vAlign w:val="bottom"/>
            <w:gridSpan w:val="2"/>
          </w:tcPr>
          <w:p>
            <w:pPr>
              <w:jc w:val="right"/>
              <w:ind w:right="280"/>
              <w:spacing w:after="0"/>
              <w:rPr>
                <w:sz w:val="20"/>
                <w:szCs w:val="20"/>
                <w:color w:val="auto"/>
              </w:rPr>
            </w:pPr>
            <w:r>
              <w:rPr>
                <w:rFonts w:ascii="Arial" w:cs="Arial" w:eastAsia="Arial" w:hAnsi="Arial"/>
                <w:sz w:val="18"/>
                <w:szCs w:val="18"/>
                <w:color w:val="auto"/>
              </w:rPr>
              <w:t>9,596,200</w:t>
            </w:r>
          </w:p>
        </w:tc>
      </w:tr>
      <w:tr>
        <w:trPr>
          <w:trHeight w:val="216"/>
        </w:trPr>
        <w:tc>
          <w:tcPr>
            <w:tcW w:w="2040" w:type="dxa"/>
            <w:vAlign w:val="bottom"/>
            <w:gridSpan w:val="2"/>
            <w:shd w:val="clear" w:color="auto" w:fill="CCEEFF"/>
          </w:tcPr>
          <w:p>
            <w:pPr>
              <w:jc w:val="right"/>
              <w:ind w:right="157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1.82</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3/7/2023</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1,388,931</w:t>
            </w:r>
          </w:p>
        </w:tc>
        <w:tc>
          <w:tcPr>
            <w:tcW w:w="5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1,388,931</w:t>
            </w:r>
          </w:p>
        </w:tc>
      </w:tr>
      <w:tr>
        <w:trPr>
          <w:trHeight w:val="216"/>
        </w:trPr>
        <w:tc>
          <w:tcPr>
            <w:tcW w:w="2040" w:type="dxa"/>
            <w:vAlign w:val="bottom"/>
            <w:gridSpan w:val="2"/>
          </w:tcPr>
          <w:p>
            <w:pPr>
              <w:jc w:val="right"/>
              <w:ind w:right="157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3.51</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12/31/2021</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tcPr>
          <w:p>
            <w:pPr>
              <w:spacing w:after="0"/>
              <w:rPr>
                <w:sz w:val="18"/>
                <w:szCs w:val="18"/>
                <w:color w:val="auto"/>
              </w:rPr>
            </w:pPr>
          </w:p>
        </w:tc>
        <w:tc>
          <w:tcPr>
            <w:tcW w:w="252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r>
      <w:tr>
        <w:trPr>
          <w:trHeight w:val="216"/>
        </w:trPr>
        <w:tc>
          <w:tcPr>
            <w:tcW w:w="2040" w:type="dxa"/>
            <w:vAlign w:val="bottom"/>
            <w:gridSpan w:val="2"/>
            <w:shd w:val="clear" w:color="auto" w:fill="CCEEFF"/>
          </w:tcPr>
          <w:p>
            <w:pPr>
              <w:jc w:val="right"/>
              <w:ind w:right="157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5.30</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5/16/2021</w:t>
            </w:r>
          </w:p>
        </w:tc>
        <w:tc>
          <w:tcPr>
            <w:tcW w:w="2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2,705,883</w:t>
            </w:r>
          </w:p>
        </w:tc>
        <w:tc>
          <w:tcPr>
            <w:tcW w:w="5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2,705,883</w:t>
            </w:r>
          </w:p>
        </w:tc>
      </w:tr>
      <w:tr>
        <w:trPr>
          <w:trHeight w:val="216"/>
        </w:trPr>
        <w:tc>
          <w:tcPr>
            <w:tcW w:w="2040" w:type="dxa"/>
            <w:vAlign w:val="bottom"/>
            <w:gridSpan w:val="2"/>
          </w:tcPr>
          <w:p>
            <w:pPr>
              <w:jc w:val="right"/>
              <w:ind w:right="157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7.00</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9/2/2020 to 3/3/2023</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747,000</w:t>
            </w:r>
          </w:p>
        </w:tc>
        <w:tc>
          <w:tcPr>
            <w:tcW w:w="560" w:type="dxa"/>
            <w:vAlign w:val="bottom"/>
          </w:tcPr>
          <w:p>
            <w:pPr>
              <w:spacing w:after="0"/>
              <w:rPr>
                <w:sz w:val="18"/>
                <w:szCs w:val="18"/>
                <w:color w:val="auto"/>
              </w:rPr>
            </w:pPr>
          </w:p>
        </w:tc>
        <w:tc>
          <w:tcPr>
            <w:tcW w:w="2520" w:type="dxa"/>
            <w:vAlign w:val="bottom"/>
            <w:gridSpan w:val="2"/>
          </w:tcPr>
          <w:p>
            <w:pPr>
              <w:jc w:val="right"/>
              <w:ind w:right="280"/>
              <w:spacing w:after="0"/>
              <w:rPr>
                <w:sz w:val="20"/>
                <w:szCs w:val="20"/>
                <w:color w:val="auto"/>
              </w:rPr>
            </w:pPr>
            <w:r>
              <w:rPr>
                <w:rFonts w:ascii="Arial" w:cs="Arial" w:eastAsia="Arial" w:hAnsi="Arial"/>
                <w:sz w:val="18"/>
                <w:szCs w:val="18"/>
                <w:color w:val="auto"/>
              </w:rPr>
              <w:t>747,000</w:t>
            </w:r>
          </w:p>
        </w:tc>
      </w:tr>
      <w:tr>
        <w:trPr>
          <w:trHeight w:val="223"/>
        </w:trPr>
        <w:tc>
          <w:tcPr>
            <w:tcW w:w="3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26,555,281</w:t>
            </w:r>
          </w:p>
        </w:tc>
        <w:tc>
          <w:tcPr>
            <w:tcW w:w="560" w:type="dxa"/>
            <w:vAlign w:val="bottom"/>
          </w:tcPr>
          <w:p>
            <w:pPr>
              <w:spacing w:after="0"/>
              <w:rPr>
                <w:sz w:val="18"/>
                <w:szCs w:val="18"/>
                <w:color w:val="auto"/>
              </w:rPr>
            </w:pPr>
          </w:p>
        </w:tc>
        <w:tc>
          <w:tcPr>
            <w:tcW w:w="2520" w:type="dxa"/>
            <w:vAlign w:val="bottom"/>
            <w:gridSpan w:val="2"/>
          </w:tcPr>
          <w:p>
            <w:pPr>
              <w:jc w:val="right"/>
              <w:ind w:right="280"/>
              <w:spacing w:after="0"/>
              <w:rPr>
                <w:sz w:val="20"/>
                <w:szCs w:val="20"/>
                <w:color w:val="auto"/>
              </w:rPr>
            </w:pPr>
            <w:r>
              <w:rPr>
                <w:rFonts w:ascii="Arial" w:cs="Arial" w:eastAsia="Arial" w:hAnsi="Arial"/>
                <w:sz w:val="18"/>
                <w:szCs w:val="18"/>
                <w:color w:val="auto"/>
              </w:rPr>
              <w:t>22,360,204</w:t>
            </w:r>
          </w:p>
        </w:tc>
      </w:tr>
      <w:tr>
        <w:trPr>
          <w:trHeight w:val="21"/>
        </w:trPr>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Of the warrants outstanding at March 31, 2020, 2,705,883 shares of common stock underlying the warrants exercisable at $5.30 per share issued in our May 2016 public offering, 1,388,931 shares of common stock underlying the warrants exercisable at $1.82 per share issued in our September 2017 public offering and 9,596,200 shares of common stock underlying the warrants exercisable at $1.50 per share issued in our December 2017 public offering are registered for resale by the warrant holders. The common shares issuable upon exercise of our remaining outstanding warrants are unregistered at March 31, 2020; however, refer to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disclosure regarding filing of a registration statement including the shares of common stock underlying a significant number of the the warrants issued in earlier private placements and currently exercisable at $0.50 per share. At March 31, 2020, none of our outstanding warrants are subject to down round anti-dilution protection features. With the exception of the January 2020 Warrants exercisable at $0.73 per share to purchase 3,870,077 shares of our common stock, which have a cashless exercise feature prior to an effective registration statement, all of the outstanding warrants are exercisable by the holders only by payment in cash of the stated exercise price per share. Refer to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regarding filing of a registration statement including the shares of common stock underlying the January 2020 Warrants.</w:t>
      </w:r>
    </w:p>
    <w:p>
      <w:pPr>
        <w:sectPr>
          <w:pgSz w:w="11900" w:h="16838" w:orient="portrait"/>
          <w:cols w:equalWidth="0" w:num="1">
            <w:col w:w="11240"/>
          </w:cols>
          <w:pgMar w:left="320" w:top="131" w:right="339" w:bottom="1027"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027" w:gutter="0" w:footer="0" w:header="0"/>
          <w:type w:val="continuous"/>
        </w:sectPr>
      </w:pPr>
    </w:p>
    <w:bookmarkStart w:id="120" w:name="page121"/>
    <w:bookmarkEnd w:id="12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ind w:left="164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ind w:left="16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we have reserved shares of our common stock for future issuance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Upon exchange of all shares of Series A Preferred currently issued and outstanding </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Upon exchange of all shares of Series B Preferred currently issued and outstanding </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Upon exchange of all shares of Series C Preferred currently issued and outstanding </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Subject to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Pursuant to stock incentive plans:</w:t>
      </w:r>
    </w:p>
    <w:p>
      <w:pPr>
        <w:spacing w:after="0" w:line="15" w:lineRule="exact"/>
        <w:rPr>
          <w:sz w:val="20"/>
          <w:szCs w:val="20"/>
          <w:color w:val="auto"/>
        </w:rPr>
      </w:pPr>
    </w:p>
    <w:p>
      <w:pPr>
        <w:ind w:left="440" w:right="3380" w:hanging="262"/>
        <w:spacing w:after="0" w:line="250" w:lineRule="auto"/>
        <w:rPr>
          <w:sz w:val="20"/>
          <w:szCs w:val="20"/>
          <w:color w:val="auto"/>
        </w:rPr>
      </w:pPr>
      <w:r>
        <w:rPr>
          <w:rFonts w:ascii="Arial" w:cs="Arial" w:eastAsia="Arial" w:hAnsi="Arial"/>
          <w:sz w:val="18"/>
          <w:szCs w:val="18"/>
          <w:color w:val="auto"/>
        </w:rPr>
        <w:t>Subject to outstanding options under the Amended and Restated 2016 Stock Incentive Plan and the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right="4080"/>
        <w:spacing w:after="0" w:line="361" w:lineRule="auto"/>
        <w:rPr>
          <w:sz w:val="20"/>
          <w:szCs w:val="20"/>
          <w:color w:val="auto"/>
        </w:rPr>
      </w:pPr>
      <w:r>
        <w:rPr>
          <w:rFonts w:ascii="Arial" w:cs="Arial" w:eastAsia="Arial" w:hAnsi="Arial"/>
          <w:sz w:val="15"/>
          <w:szCs w:val="15"/>
          <w:color w:val="auto"/>
        </w:rPr>
        <w:t>Available for future grants under the 2019 Omnibus Equity Incentive Plan Available for future issuance under the 2019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Reserved for issuance under Lincoln Park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750,000</w:t>
      </w:r>
    </w:p>
    <w:p>
      <w:pPr>
        <w:spacing w:after="0" w:line="22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5,096,738</w:t>
      </w:r>
    </w:p>
    <w:p>
      <w:pPr>
        <w:spacing w:after="0" w:line="248"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2,318,012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26,555,281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auto"/>
        </w:rPr>
        <w:t>10,003,088</w:t>
      </w:r>
    </w:p>
    <w:p>
      <w:pPr>
        <w:spacing w:after="0" w:line="50"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6,730,162</w:t>
      </w:r>
    </w:p>
    <w:p>
      <w:pPr>
        <w:spacing w:after="0" w:line="32"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1,000,000</w:t>
      </w:r>
    </w:p>
    <w:p>
      <w:pPr>
        <w:spacing w:after="0" w:line="53"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auto"/>
        </w:rPr>
        <w:t>17,733,250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33020</wp:posOffset>
            </wp:positionV>
            <wp:extent cx="67754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545" cy="17145"/>
                    </a:xfrm>
                    <a:prstGeom prst="rect">
                      <a:avLst/>
                    </a:prstGeom>
                    <a:noFill/>
                  </pic:spPr>
                </pic:pic>
              </a:graphicData>
            </a:graphic>
          </wp:anchor>
        </w:drawing>
      </w:r>
    </w:p>
    <w:p>
      <w:pPr>
        <w:spacing w:after="0" w:line="51"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8,750,000</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61,203,281</w:t>
      </w:r>
    </w:p>
    <w:p>
      <w:pPr>
        <w:spacing w:after="0" w:line="234" w:lineRule="exact"/>
        <w:rPr>
          <w:sz w:val="20"/>
          <w:szCs w:val="20"/>
          <w:color w:val="auto"/>
        </w:rPr>
      </w:pPr>
    </w:p>
    <w:p>
      <w:pPr>
        <w:sectPr>
          <w:pgSz w:w="11900" w:h="16838" w:orient="portrait"/>
          <w:cols w:equalWidth="0" w:num="2">
            <w:col w:w="9600" w:space="720"/>
            <w:col w:w="920"/>
          </w:cols>
          <w:pgMar w:left="320" w:top="131" w:right="33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ind w:left="340" w:hanging="332"/>
        <w:spacing w:after="0" w:line="193"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w:t>
      </w:r>
    </w:p>
    <w:p>
      <w:pPr>
        <w:spacing w:after="0" w:line="7" w:lineRule="exact"/>
        <w:rPr>
          <w:rFonts w:ascii="Arial" w:cs="Arial" w:eastAsia="Arial" w:hAnsi="Arial"/>
          <w:sz w:val="25"/>
          <w:szCs w:val="25"/>
          <w:color w:val="auto"/>
          <w:vertAlign w:val="superscript"/>
        </w:rPr>
      </w:pPr>
    </w:p>
    <w:p>
      <w:pPr>
        <w:jc w:val="both"/>
        <w:ind w:left="340" w:hanging="332"/>
        <w:spacing w:after="0" w:line="230" w:lineRule="auto"/>
        <w:tabs>
          <w:tab w:leader="none" w:pos="34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 xml:space="preserve">Assumes exchange under the terms of the Certificate of Designation of the Relative Rights and Preferences of the Series B 10% Convertible Preferred Stock, effective May 5, 2015; includes 3,936,498 shares of common stock reserved for payment of dividends on Series B Preferred upon conversion. Refer to </w:t>
      </w:r>
      <w:r>
        <w:rPr>
          <w:rFonts w:ascii="Arial" w:cs="Arial" w:eastAsia="Arial" w:hAnsi="Arial"/>
          <w:sz w:val="17"/>
          <w:szCs w:val="17"/>
          <w:i w:val="1"/>
          <w:iCs w:val="1"/>
          <w:color w:val="auto"/>
        </w:rPr>
        <w:t>Series B Preferred Stock,</w:t>
      </w:r>
      <w:r>
        <w:rPr>
          <w:rFonts w:ascii="Arial" w:cs="Arial" w:eastAsia="Arial" w:hAnsi="Arial"/>
          <w:sz w:val="17"/>
          <w:szCs w:val="17"/>
          <w:color w:val="auto"/>
        </w:rPr>
        <w:t xml:space="preserve"> above, for additional information regarding payment of dividends in common stock.</w:t>
      </w:r>
    </w:p>
    <w:p>
      <w:pPr>
        <w:spacing w:after="0" w:line="1" w:lineRule="exact"/>
        <w:rPr>
          <w:rFonts w:ascii="Arial" w:cs="Arial" w:eastAsia="Arial" w:hAnsi="Arial"/>
          <w:sz w:val="24"/>
          <w:szCs w:val="24"/>
          <w:color w:val="auto"/>
          <w:vertAlign w:val="superscript"/>
        </w:rPr>
      </w:pPr>
    </w:p>
    <w:p>
      <w:pPr>
        <w:ind w:left="340" w:right="20" w:hanging="332"/>
        <w:spacing w:after="0" w:line="209"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Certificate of Designation of the Relative Rights and Preferences of the Series C Convertible Preferred Stock, effective January 25,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we have 64,583,677 authorized shares of our common stock not subject to reserves and available for future issuance.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Expenses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recorded research and development expenses of approximately $13.4 million and $17.1 million in the fiscal years ended March 31, 2020 and 2019, respectively, including approximately $1.4 million and $5.6 million of noncash expense in the fiscal years ended March 31, 2020 and 2019, respectively. Research and development expense is composed of employee compensation expenses, including stock–based compensation, direct project expenses, notably including costs attributable to our AV-101 clinical trial in MDD in both years, as well as other preclinical and nonclinical projects for PH94B, PH10 and AV-101, and costs to maintain and prosecute our intellectual property suite, including new patent applications for AV-101 for various indications. As indicated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research and development expense for the fiscal year ended March 31, 2019 included noncash expense of $4.25 million attributable to the acquisition of the PH94B and PH10 licenses and the PH10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provision for income taxes for the periods presented in the Consolidated Statements of Operations and Comprehensive Loss represents minimum California franchise tax, Maryland and North Carolina income tax.</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Income tax expense (benefit) differed from the amounts computed by applying the statutory federal income tax rate of 21% to pretax income (loss) as a result of the following: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21" w:name="page122"/>
    <w:bookmarkEnd w:id="12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80" w:type="dxa"/>
            <w:vAlign w:val="bottom"/>
          </w:tcPr>
          <w:p>
            <w:pPr>
              <w:spacing w:after="0"/>
              <w:rPr>
                <w:sz w:val="20"/>
                <w:szCs w:val="20"/>
                <w:color w:val="auto"/>
              </w:rPr>
            </w:pPr>
          </w:p>
        </w:tc>
        <w:tc>
          <w:tcPr>
            <w:tcW w:w="2640" w:type="dxa"/>
            <w:vAlign w:val="bottom"/>
            <w:gridSpan w:val="5"/>
          </w:tcPr>
          <w:p>
            <w:pPr>
              <w:ind w:left="160"/>
              <w:spacing w:after="0"/>
              <w:rPr>
                <w:sz w:val="20"/>
                <w:szCs w:val="20"/>
                <w:color w:val="auto"/>
              </w:rPr>
            </w:pPr>
            <w:r>
              <w:rPr>
                <w:rFonts w:ascii="Arial" w:cs="Arial" w:eastAsia="Arial" w:hAnsi="Arial"/>
                <w:sz w:val="18"/>
                <w:szCs w:val="18"/>
                <w:color w:val="auto"/>
              </w:rPr>
              <w:t>Fiscal Years Ended March 31,</w:t>
            </w:r>
          </w:p>
        </w:tc>
        <w:tc>
          <w:tcPr>
            <w:tcW w:w="0" w:type="dxa"/>
            <w:vAlign w:val="bottom"/>
          </w:tcPr>
          <w:p>
            <w:pPr>
              <w:spacing w:after="0"/>
              <w:rPr>
                <w:sz w:val="1"/>
                <w:szCs w:val="1"/>
                <w:color w:val="auto"/>
              </w:rPr>
            </w:pPr>
          </w:p>
        </w:tc>
      </w:tr>
      <w:tr>
        <w:trPr>
          <w:trHeight w:val="250"/>
        </w:trPr>
        <w:tc>
          <w:tcPr>
            <w:tcW w:w="868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warrant modifications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effect of research and development credits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stock compensation</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effect of other non-deductible items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Expired net operating loss carryforwards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Change in valuation allowance (federal only)</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w:t>
      </w:r>
    </w:p>
    <w:tbl>
      <w:tblPr>
        <w:tblLayout w:type="fixed"/>
        <w:tblInd w:w="0" w:type="dxa"/>
        <w:tblCellMar>
          <w:top w:w="0" w:type="dxa"/>
          <w:left w:w="0" w:type="dxa"/>
          <w:bottom w:w="0" w:type="dxa"/>
          <w:right w:w="0" w:type="dxa"/>
        </w:tblCellMar>
      </w:tblPr>
      <w:tr>
        <w:trPr>
          <w:trHeight w:val="23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1"/>
                <w:szCs w:val="21"/>
                <w:color w:val="auto"/>
              </w:rPr>
            </w:pPr>
          </w:p>
        </w:tc>
      </w:tr>
      <w:tr>
        <w:trPr>
          <w:trHeight w:val="242"/>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carryovers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30,607,500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27,190,900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Basis differences in property and equipment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(2,700)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 carryforwards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1,840,400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3,919,900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3,516,600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 of Use asset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Accruals and reserves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207,100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36,954,800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32,752,300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(36,954,800)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(32,752,300)</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deferred tax assets have been fully offset by a valuation allowance. The valuation allowance increased by $4,202,500 and $7,499,900 during the fiscal years ended March 31, 2020 and 2019, respectively.</w:t>
      </w:r>
    </w:p>
    <w:p>
      <w:pPr>
        <w:spacing w:after="0" w:line="194"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As of March 31, 2020, we had U.S. federal net operating loss carryforwards of approximately $125,125,100, which will expire in fiscal years 2021 through 2038. As of March 31, 2020, we had state net operating loss carryforwards of approximately $64,123,000, which will expire in fiscal years 2029 through 2040. Federal net operating losses incurred in our fiscal years 2019, 2020 and thereafter will not expire. We also have federal and state research and development tax credit carryforwards of approximately $2,068,800 and $1,189,600, respectively. The federal tax credits will expire at various dates beginning in the year 2029, unless previously utilized. The state tax credits do not expire and will carry forward indefinitely until utilized.</w:t>
      </w:r>
    </w:p>
    <w:p>
      <w:pPr>
        <w:spacing w:after="0" w:line="169"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 xml:space="preserve">On March 27, 2020 the U.S. enacted the Coronavirus Aid, Relief, and Economic Security Act (the </w:t>
      </w:r>
      <w:r>
        <w:rPr>
          <w:rFonts w:ascii="Arial" w:cs="Arial" w:eastAsia="Arial" w:hAnsi="Arial"/>
          <w:sz w:val="18"/>
          <w:szCs w:val="18"/>
          <w:i w:val="1"/>
          <w:iCs w:val="1"/>
          <w:color w:val="auto"/>
        </w:rPr>
        <w:t>CARES Act</w:t>
      </w:r>
      <w:r>
        <w:rPr>
          <w:rFonts w:ascii="Arial" w:cs="Arial" w:eastAsia="Arial" w:hAnsi="Arial"/>
          <w:sz w:val="18"/>
          <w:szCs w:val="18"/>
          <w:color w:val="auto"/>
        </w:rPr>
        <w:t>) which provides economic relief in response to the coronavirus pandemic. The CARES Act, among other things, includes provisions to allow certain net operating losses to be carried-back up to five years, to increase interest deduction limitations, and to make technical corrections to tax depreciation methods for qualified improvement property. The CARES Act may affect the corporate income taxes imposed by state governments and may result in future responses by state legislatures, some of which could have retroactive effect. The Company evaluated the provisions of the CARES Act and determined that it did not result in a material impact on the Company’s March 31, 2020 income tax accounts.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file income tax returns in the U.S. federal, Canada and various U.S. state jurisdictions. We are subject to U.S. federal and state income tax examinations by tax authorities for tax years 1998 through 2019 due to net operating losses that are being carried forward for tax purposes, but we are not currently under examination by tax authorities in any jurisdiction.</w:t>
      </w:r>
    </w:p>
    <w:p>
      <w:pPr>
        <w:sectPr>
          <w:pgSz w:w="11900" w:h="16838" w:orient="portrait"/>
          <w:cols w:equalWidth="0" w:num="1">
            <w:col w:w="11320"/>
          </w:cols>
          <w:pgMar w:left="32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31" w:right="259" w:bottom="1440" w:gutter="0" w:footer="0" w:header="0"/>
          <w:type w:val="continuous"/>
        </w:sectPr>
      </w:pPr>
    </w:p>
    <w:bookmarkStart w:id="122" w:name="page123"/>
    <w:bookmarkEnd w:id="122"/>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unrecognized tax benefits at March 31, 2020 and 2019 relate entirely to research and development tax credits. The total amount of unrecognized tax benefits at March 31, 2020 and 2019 is $814,600 and $668,700, respectively. If recognized, none of the unrecognized tax benefits would impact our effective tax rate. The following table summarizes the activity related to our unrecognized tax benefits.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right"/>
              <w:ind w:right="280"/>
              <w:spacing w:after="0"/>
              <w:rPr>
                <w:sz w:val="20"/>
                <w:szCs w:val="20"/>
                <w:color w:val="auto"/>
              </w:rPr>
            </w:pPr>
            <w:r>
              <w:rPr>
                <w:rFonts w:ascii="Arial" w:cs="Arial" w:eastAsia="Arial" w:hAnsi="Arial"/>
                <w:sz w:val="18"/>
                <w:szCs w:val="18"/>
                <w:color w:val="auto"/>
                <w:w w:val="88"/>
              </w:rPr>
              <w:t>Fiscal Years Ended March 31,</w:t>
            </w:r>
          </w:p>
        </w:tc>
      </w:tr>
      <w:tr>
        <w:trPr>
          <w:trHeight w:val="250"/>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1"/>
                <w:szCs w:val="21"/>
                <w:color w:val="auto"/>
              </w:rPr>
            </w:pPr>
          </w:p>
        </w:tc>
      </w:tr>
      <w:tr>
        <w:trPr>
          <w:trHeight w:val="243"/>
        </w:trPr>
        <w:tc>
          <w:tcPr>
            <w:tcW w:w="59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668,700</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451,600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Current period tax position increases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210,100</w:t>
            </w:r>
          </w:p>
        </w:tc>
      </w:tr>
      <w:tr>
        <w:trPr>
          <w:trHeight w:val="22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Prior period tax position increases (decreases)</w:t>
            </w: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w:t>
            </w:r>
          </w:p>
        </w:tc>
      </w:tr>
      <w:tr>
        <w:trPr>
          <w:trHeight w:val="216"/>
        </w:trPr>
        <w:tc>
          <w:tcPr>
            <w:tcW w:w="596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end of period</w:t>
            </w: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814,600</w:t>
            </w:r>
          </w:p>
        </w:tc>
        <w:tc>
          <w:tcPr>
            <w:tcW w:w="1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668,700</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2020 or 2019. We do not anticipate any significant changes of our uncertain tax positions within twelve months of this reporting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Licensing, Sublicensing and Collaborative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Pherin Pharmaceuticals, Inc. (Pherin)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September 2018 we issued 1,630,435 shares of our unregistered common stock having a fair market value of $2,250,000 to Pherin to acquire an exclusive worldwide license to develop and commercialize PH94B for social anxiety disorder and an option to acquire a similar license for PH10 for MDD. In October 2018, we exercised our option to acquire an exclusive worldwide license to develop and commercialize PH10 by issuing an additional 925,926 shares of our unregistered common stock having a fair market value of $2,000,000 to Pherin under the terms of the PH10 license agreement. Under the terms of the PH94B and PH10 license agreements, we are obligated to make additional cash payments and pay royalties to Pherin in the event that certain regulatory and performance-based milestones and commercial sales are achieved. Additionally, in connection with the license agreements, we are obligated to pay to Pherin monthly support payments of $10,000 for a term of 18 months, however no monthly support payment is required during the 18-month period identified in the PH10 license agreement if support payments are being made under the terms of the PH94B license agreement. The support payments required under the PH94B license agreement terminated in March 2020 and will terminate in April 2020 under the PH10 license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BlueRock Therapeutics Sublicense Agreement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2016, we entered into an Exclusive License and Sublicense Agreement with BlueRock Therapeutics, LP, a next generation regenerative medicine company established in December 2016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pursuant to which BlueRock Therapeutics received exclusive rights to utilize certain technologies exclusively licensed by us from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xml:space="preserve">) for the production of cardiac stem cells for the treatment of heart disease. As a result of its acquisition of BlueRock Therapeutics in 2019, Bayer AG now holds the rights to develop and commercialize our hPSC technologies relating to the production of heart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 To date, we have recognized $1.25 million in sublicense revenue, in our fiscal year ended March 31, 2017, under the Bayer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 Ltd.</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built a long-term strategic development relationship with Cato Research Ltd. (</w:t>
      </w:r>
      <w:r>
        <w:rPr>
          <w:rFonts w:ascii="Arial" w:cs="Arial" w:eastAsia="Arial" w:hAnsi="Arial"/>
          <w:sz w:val="16"/>
          <w:szCs w:val="16"/>
          <w:i w:val="1"/>
          <w:iCs w:val="1"/>
          <w:color w:val="auto"/>
        </w:rPr>
        <w:t>CRL</w:t>
      </w:r>
      <w:r>
        <w:rPr>
          <w:rFonts w:ascii="Arial" w:cs="Arial" w:eastAsia="Arial" w:hAnsi="Arial"/>
          <w:sz w:val="16"/>
          <w:szCs w:val="16"/>
          <w:color w:val="auto"/>
        </w:rPr>
        <w:t>), now known as Cato Research LLC, a global contract research and development organization, or CRO, and an affiliate of one of our larger institutional stockholders. CRL has provided us with access to essential CRO services and regulatory expertise supporting our AV-101 preclinical and clinical development programs, including our AV-101 MDD clinical study, and other significant development projects related to PH94B and PH10. We recorded research and development expenses for CRO services provided by CRL in the amounts of $3,802,600 and $3,969,100 for the fiscal years ended March 31, 2020 and 2019, respectively.</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23" w:name="page124"/>
    <w:bookmarkEnd w:id="12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Plans, Employee Stock Purchase Plan, and 401(k)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we have the following share-based compensation plans, which are described below:</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Amended and Restated 2016 Stock Incentive Plan (the 2016 Plan); and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2019 Omnibus Equity Incentive Plan (the 2019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Board unanimously approved the Company’s Amended and Restated 2016 Stock Incentive Plan, formerly titled the 2008 Stock Incentive Plan (the </w:t>
      </w:r>
      <w:r>
        <w:rPr>
          <w:rFonts w:ascii="Arial" w:cs="Arial" w:eastAsia="Arial" w:hAnsi="Arial"/>
          <w:sz w:val="16"/>
          <w:szCs w:val="16"/>
          <w:i w:val="1"/>
          <w:iCs w:val="1"/>
          <w:color w:val="auto"/>
        </w:rPr>
        <w:t>2016</w:t>
      </w:r>
      <w:r>
        <w:rPr>
          <w:rFonts w:ascii="Arial" w:cs="Arial" w:eastAsia="Arial" w:hAnsi="Arial"/>
          <w:sz w:val="16"/>
          <w:szCs w:val="16"/>
          <w:color w:val="auto"/>
        </w:rPr>
        <w:t xml:space="preserve"> </w:t>
      </w:r>
      <w:r>
        <w:rPr>
          <w:rFonts w:ascii="Arial" w:cs="Arial" w:eastAsia="Arial" w:hAnsi="Arial"/>
          <w:sz w:val="16"/>
          <w:szCs w:val="16"/>
          <w:i w:val="1"/>
          <w:iCs w:val="1"/>
          <w:color w:val="auto"/>
        </w:rPr>
        <w:t>Plan</w:t>
      </w:r>
      <w:r>
        <w:rPr>
          <w:rFonts w:ascii="Arial" w:cs="Arial" w:eastAsia="Arial" w:hAnsi="Arial"/>
          <w:sz w:val="16"/>
          <w:szCs w:val="16"/>
          <w:color w:val="auto"/>
        </w:rPr>
        <w:t>), on July 26, 2016, and the 2016 Plan was approved by our stockholders at our 2016 Annual Meeting of Stockholders on September 26, 2016, and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could grant incentive stock options only to employees of the Company or any parent or subsidiary of the Company. Awards other than incentive stock options could be granted to employees, directors and consultants. A total of 10.0 million shares of our common stock were authorized for issuance under the 2016 Plan, of which options to purchase approximately 7.8 million shares remain outstanding at March 31, 2020. Upon the adoption of our 2019 Plan, no futher grants were permissible under the 2016 Plan and approximately 1.4 million authorized shares were transferred to the 2019 Plan and became issuable therefrom. All options granted from the 2016 Plan remain operative under the terms of the respective grants.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2019 Plan</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Board approved the VistaGen Therapeutics, Inc. 2019 Omnibus Equity Incentive Plan on May 27, 2019, and our stockholders adopted it and ratified all previously issued grants on September 5, 2019. The principal features of the 2019 plan are summarized below.</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2019 Plan provides for the grant of stock options, stock appreciation rights (</w:t>
      </w:r>
      <w:r>
        <w:rPr>
          <w:rFonts w:ascii="Arial" w:cs="Arial" w:eastAsia="Arial" w:hAnsi="Arial"/>
          <w:sz w:val="16"/>
          <w:szCs w:val="16"/>
          <w:i w:val="1"/>
          <w:iCs w:val="1"/>
          <w:color w:val="auto"/>
        </w:rPr>
        <w:t>SARs</w:t>
      </w:r>
      <w:r>
        <w:rPr>
          <w:rFonts w:ascii="Arial" w:cs="Arial" w:eastAsia="Arial" w:hAnsi="Arial"/>
          <w:sz w:val="16"/>
          <w:szCs w:val="16"/>
          <w:color w:val="auto"/>
        </w:rPr>
        <w:t>), restricted stock, restricted stock units, and other stock-based awards, and performance awards, collectively referred to as “Awards”. Awards may be granted under the 2019 Plan to officers, employees and consultants of the Company and our subsidiaries and to our non-employee directors. Incentive stock options may be granted only to employees of the Company or one of our subsidiaries. The 2019 Plan is administered by the Compensation Committee of the Board. The Compensation Committee, in its discretion, selects the individuals to whom awards may be granted, the time or times at which such awards are granted, and the terms of such awards. The Compensation Committee may delegate its authority to the extent permitted by applicable law.</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Compensation Committee sets stock option exercise prices and terms, except that stock options must be granted with an exercise price not less than 100% of the fair market value of the common stock on the date of grant. The Compensation Committee may grant either incentive stock options, which must comply with Section 422 of the Code, or nonqualified stock options. At the time of grant, the Compensation Committee determines the terms and conditions of stock options, including the quantity, exercise price, vesting periods, term (which cannot exceed ten years) and other conditions on exercise.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may grant SARs as a right in tandem with the number of shares underlying stock options granted under the 2019 Plan or as a freestanding award. Upon exercise, SARs entitle the holder to receive payment per share in stock or cash, or in a combination of stock and cash, equal to the excess of the share’s fair market value on the date of exercise over the grant price of the SAR.</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may also grant awards of restricted stock, which are shares of common stock subject to specified restrictions, and restricted stock units, which represent the right to receive shares of the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Stock units may be paid in stock or cash or a combination of stock and cash, as determined by the Compensation Committee.</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Compensation Committee may condition the grant, exercise, vesting, or settlement of any award on such performance conditions as it may specify. We refer to these awards as “performance awards.” The Compensation Committee may select such business criteria or other performance measures as it may deem appropriate in establishing any performance conditions. At March 31, 2020, the Compensation Committee has not granted any performance awards.</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total of 7,500,000 shares of common stock were initially authorized for issuance under the 2019 Plan. As noted previously, all awards outstanding under the 2016 Plan at the time the 2019 Plan was adopted remain subject to the 2016 Plan. Upon approval of the 2019 Plan, all shares of common stock remaining authorized and available for issuance under the 2016 Plan, approximately 1.4 million shares, automatically became available for issuance under the 2019 Plan. Additionally, any shares subject to outstanding awards under the 2016 Plan that subsequently expire, terminate, or are surrendered or forfeited for any reason without issuance of shares also become available for issuance under the 2019 Plan. Further, if any award under the 2019 Plan is canceled, terminates, expires or lapses for any reason prior to the issuance of shares or if shares are issued under the 2019 Plan and thereafter are forfeited to us, the shares subject to such awards and the forfeited shares will again be available for grant under the 2019 Plan. At March 31, 2020, a total of 6,730,162 shares remain available for grant under the 2019 Plan.</w:t>
      </w:r>
    </w:p>
    <w:p>
      <w:pPr>
        <w:sectPr>
          <w:pgSz w:w="11900" w:h="16838" w:orient="portrait"/>
          <w:cols w:equalWidth="0" w:num="1">
            <w:col w:w="11240"/>
          </w:cols>
          <w:pgMar w:left="320" w:top="13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24" w:name="page125"/>
    <w:bookmarkEnd w:id="12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 more than 25% of any equity-based awards granted under the 2019 Plan will vest on the grant date of such award. This requirement does not apply to (i) substitute awards resulting from acquisitions or (ii) shares delivered in lieu of fully vested cash awards. In addition, the minimum vesting requirement does not apply to the Compensation Committee’s discretion to provide for accelerated exercisability or vesting of any award, including in cases of retirement, death, disability or a change in control, in the terms of the award or otherwise. Awards are not transferable other than by will or the laws of descent and distribution, except that in certain instances transfers may be made to or for the benefit of designated family members of the participant for no consideration.</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of a change in control of the Company, the Compensation Committee may accelerate the time period relating to the exercise of any award. In addition, the Compensation Committee may take other action, including (a) providing for the purchase of any award for an amount of cash or other property that could have been received upon the exercise of such award had the award been currently exercisable, (b) adjusting the terms of the award in a manner determined by the Compensation Committee to reflect the change in control, or (c) causing an award to be assumed, or new rights substituted therefor, by another entity with appropriate adjustments to be made regarding the number and kind of shares and exercise prices of the award. “Change in Control” is defined under the 2019 Plan and requires consummation of the applicable transaction.</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earlier terminated by the Board, the 2019 Plan will terminate, and no further awards may be granted, on September 5, 2029, which is ten years after the date on which it was approved by our stockholders. The Board may amend, suspend or terminate the 2019 Plan at any time.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2019 Plan in such a manner and to such a degree as required. The amendment, suspension or termination of the 2019 Plan or the amendment of an outstanding award generally may not, without a participant’s consent, materially impair the participant’s rights under an outstanding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 ended March 31, 2020, we granted from the 2019 Plan and the 2016 Plan:</w:t>
      </w:r>
    </w:p>
    <w:p>
      <w:pPr>
        <w:spacing w:after="0" w:line="225" w:lineRule="exact"/>
        <w:rPr>
          <w:sz w:val="20"/>
          <w:szCs w:val="20"/>
          <w:color w:val="auto"/>
        </w:rPr>
      </w:pPr>
    </w:p>
    <w:p>
      <w:pPr>
        <w:jc w:val="both"/>
        <w:ind w:left="500" w:hanging="330"/>
        <w:spacing w:after="0" w:line="306"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options from the 2016 Plan to purchase an aggregate of 1,220,000 shares of our common stock at a then above-market exercise price of $1.00 per share to the independent members of our Board, our officers and employees and certain consultants in May 2019. The options vested 25% upon grant with the remaining shares vesting ratably over three years for independent directors, officers and employees, and over two years for consultants;</w:t>
      </w:r>
    </w:p>
    <w:p>
      <w:pPr>
        <w:spacing w:after="0" w:line="160" w:lineRule="exact"/>
        <w:rPr>
          <w:rFonts w:ascii="Arial" w:cs="Arial" w:eastAsia="Arial" w:hAnsi="Arial"/>
          <w:sz w:val="16"/>
          <w:szCs w:val="16"/>
          <w:color w:val="auto"/>
        </w:rPr>
      </w:pPr>
    </w:p>
    <w:p>
      <w:pPr>
        <w:jc w:val="both"/>
        <w:ind w:left="500" w:hanging="330"/>
        <w:spacing w:after="0" w:line="256"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options from the 2019 Plan to one of our officers to purchase 170,000 shares of our common stock at a then above-market exercise price of $1.00 per share, which May 2019 grant was contingent upon the approval of the 2019 Plan by our stockholders. Our stockholders approved the 2019 Plan at our Annual Meeting in September 2019 and ratified the contingent grant. The option vested 25% upon approval of the 2019 Plan and the remaining shares are vesting ratably over three years;</w:t>
      </w:r>
    </w:p>
    <w:p>
      <w:pPr>
        <w:spacing w:after="0" w:line="196" w:lineRule="exact"/>
        <w:rPr>
          <w:rFonts w:ascii="Arial" w:cs="Arial" w:eastAsia="Arial" w:hAnsi="Arial"/>
          <w:sz w:val="18"/>
          <w:szCs w:val="18"/>
          <w:color w:val="auto"/>
        </w:rPr>
      </w:pPr>
    </w:p>
    <w:p>
      <w:pPr>
        <w:jc w:val="both"/>
        <w:ind w:left="500" w:hanging="330"/>
        <w:spacing w:after="0" w:line="294"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options from our 2019 Plan to the independent members of our Board, our officers and employees and certain consultants to purchase an aggregate of 1,990,000 shares of our common stock at exercise prices ranging from $0.50 per share to $1.41 per share during the quarter ended December 31, 2019. Options granted to Board members, officers, employees and most consultants were vested 25% at grant, with the remaining options vesting ratably over the following 24 months. In the case of options granted to certain consultants, the options were vested 25% at grant but the remaining vesting period was less than 24 months to coincide with remaining contractual terms;</w:t>
      </w:r>
    </w:p>
    <w:p>
      <w:pPr>
        <w:spacing w:after="0" w:line="169" w:lineRule="exact"/>
        <w:rPr>
          <w:rFonts w:ascii="Arial" w:cs="Arial" w:eastAsia="Arial" w:hAnsi="Arial"/>
          <w:sz w:val="16"/>
          <w:szCs w:val="16"/>
          <w:color w:val="auto"/>
        </w:rPr>
      </w:pPr>
    </w:p>
    <w:p>
      <w:pPr>
        <w:jc w:val="both"/>
        <w:ind w:left="500" w:hanging="330"/>
        <w:spacing w:after="0" w:line="259"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options from our 2019 Plan to purchase 75,000 shares of our common stock at an exercise price of $0.7074 per share to a consultant as partial compensation under a professional services contract in January 2020. The options were vested 25% upon grant with the remaining shares vesting ratably over the next twelve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 ended March 31, 2019, we granted from the 2016 Plan:</w:t>
      </w:r>
    </w:p>
    <w:p>
      <w:pPr>
        <w:spacing w:after="0" w:line="225" w:lineRule="exact"/>
        <w:rPr>
          <w:sz w:val="20"/>
          <w:szCs w:val="20"/>
          <w:color w:val="auto"/>
        </w:rPr>
      </w:pPr>
    </w:p>
    <w:p>
      <w:pPr>
        <w:ind w:left="500" w:hanging="330"/>
        <w:spacing w:after="0" w:line="254"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options to purchase an aggregate of 860,000 shares of our common stock at an exercise price of $1.27 per share to the independent members of our Board, to all of our officers except our Chief Executive Officer, and to all non-officer employees in August 2018;</w:t>
      </w:r>
    </w:p>
    <w:p>
      <w:pPr>
        <w:ind w:left="500" w:hanging="330"/>
        <w:spacing w:after="0" w:line="250"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options to purchase an aggregate of 250,000 shares of our common stock at exercise prices ranging from $1.52 per share to $2.20 per share to various scientific, legal, investor relations, and financial and strategic advisory consultants in October 2018;</w:t>
      </w:r>
    </w:p>
    <w:p>
      <w:pPr>
        <w:ind w:left="500" w:hanging="330"/>
        <w:spacing w:after="0" w:line="250"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option to purchase 25,000 shares of our common stock at an exercise price of $1.74 per share to a new independent member of our Board in January 2019;</w:t>
      </w:r>
    </w:p>
    <w:p>
      <w:pPr>
        <w:ind w:left="500" w:hanging="330"/>
        <w:spacing w:after="0"/>
        <w:tabs>
          <w:tab w:leader="none" w:pos="5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option to purchase 220,000 shares of our common stock at an exercise price of $1.70 per share to our Chief Executive Officer in January 2019; and</w:t>
      </w:r>
    </w:p>
    <w:p>
      <w:pPr>
        <w:spacing w:after="0" w:line="32" w:lineRule="exact"/>
        <w:rPr>
          <w:rFonts w:ascii="Arial" w:cs="Arial" w:eastAsia="Arial" w:hAnsi="Arial"/>
          <w:sz w:val="16"/>
          <w:szCs w:val="16"/>
          <w:color w:val="auto"/>
        </w:rPr>
      </w:pPr>
    </w:p>
    <w:p>
      <w:pPr>
        <w:jc w:val="both"/>
        <w:ind w:left="500" w:hanging="330"/>
        <w:spacing w:after="0" w:line="255"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25,000 shares of registered common stock having a fair value of $41,500 on the date of grant to an investor relations and social media consultant. Noncash expense related to this grant is being amortized ratably over the contractual period as a component of general and administrative expense not included in stock compensation expense.</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25" w:name="page126"/>
    <w:bookmarkEnd w:id="12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2" w:lineRule="exact"/>
        <w:rPr>
          <w:sz w:val="20"/>
          <w:szCs w:val="20"/>
          <w:color w:val="auto"/>
        </w:rPr>
      </w:pPr>
    </w:p>
    <w:p>
      <w:pPr>
        <w:jc w:val="both"/>
        <w:ind w:right="40"/>
        <w:spacing w:after="0" w:line="331" w:lineRule="auto"/>
        <w:rPr>
          <w:sz w:val="20"/>
          <w:szCs w:val="20"/>
          <w:color w:val="auto"/>
        </w:rPr>
      </w:pPr>
      <w:r>
        <w:rPr>
          <w:rFonts w:ascii="Arial" w:cs="Arial" w:eastAsia="Arial" w:hAnsi="Arial"/>
          <w:sz w:val="16"/>
          <w:szCs w:val="16"/>
          <w:color w:val="auto"/>
        </w:rPr>
        <w:t>The following table summarizes stock-based compensation expense related to option grants to our officers, independent directors, consultants and service providers included in the accompanying Consolidated Statement of Operations and Comprehensive Loss for the years ended March 31,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Fiscal Year Ended March 31,</w:t>
            </w:r>
          </w:p>
        </w:tc>
      </w:tr>
      <w:tr>
        <w:trPr>
          <w:trHeight w:val="250"/>
        </w:trPr>
        <w:tc>
          <w:tcPr>
            <w:tcW w:w="86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1,287,200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1,259,400</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2,533,600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2,184,000</w:t>
            </w:r>
          </w:p>
        </w:tc>
      </w:tr>
      <w:tr>
        <w:trPr>
          <w:trHeight w:val="223"/>
        </w:trPr>
        <w:tc>
          <w:tcPr>
            <w:tcW w:w="8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260"/>
              <w:spacing w:after="0"/>
              <w:rPr>
                <w:sz w:val="20"/>
                <w:szCs w:val="20"/>
                <w:color w:val="auto"/>
              </w:rPr>
            </w:pPr>
            <w:r>
              <w:rPr>
                <w:rFonts w:ascii="Arial" w:cs="Arial" w:eastAsia="Arial" w:hAnsi="Arial"/>
                <w:sz w:val="18"/>
                <w:szCs w:val="18"/>
                <w:color w:val="auto"/>
                <w:w w:val="84"/>
              </w:rPr>
              <w:t>3,820,800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3,443,400</w:t>
            </w: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used the Black-Scholes Option Pricing model with the following weighted average assumptions to determine share-based compensation expense related to option grants during the fiscal years ended March 31, 2020 and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7"/>
          </w:tcPr>
          <w:p>
            <w:pPr>
              <w:spacing w:after="0"/>
              <w:rPr>
                <w:sz w:val="20"/>
                <w:szCs w:val="20"/>
                <w:color w:val="auto"/>
              </w:rPr>
            </w:pPr>
            <w:r>
              <w:rPr>
                <w:rFonts w:ascii="Arial" w:cs="Arial" w:eastAsia="Arial" w:hAnsi="Arial"/>
                <w:sz w:val="18"/>
                <w:szCs w:val="18"/>
                <w:b w:val="1"/>
                <w:bCs w:val="1"/>
                <w:color w:val="auto"/>
                <w:w w:val="97"/>
              </w:rPr>
              <w:t>Fiscal Years Ended March 31,</w:t>
            </w:r>
          </w:p>
        </w:tc>
      </w:tr>
      <w:tr>
        <w:trPr>
          <w:trHeight w:val="250"/>
        </w:trPr>
        <w:tc>
          <w:tcPr>
            <w:tcW w:w="55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2020</w:t>
            </w:r>
          </w:p>
        </w:tc>
        <w:tc>
          <w:tcPr>
            <w:tcW w:w="2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5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52"/>
              <w:spacing w:after="0"/>
              <w:rPr>
                <w:sz w:val="20"/>
                <w:szCs w:val="20"/>
                <w:color w:val="auto"/>
              </w:rPr>
            </w:pPr>
            <w:r>
              <w:rPr>
                <w:rFonts w:ascii="Arial" w:cs="Arial" w:eastAsia="Arial" w:hAnsi="Arial"/>
                <w:sz w:val="18"/>
                <w:szCs w:val="18"/>
                <w:color w:val="auto"/>
                <w:w w:val="89"/>
              </w:rPr>
              <w:t>(weighted</w:t>
            </w:r>
          </w:p>
        </w:tc>
        <w:tc>
          <w:tcPr>
            <w:tcW w:w="160" w:type="dxa"/>
            <w:vAlign w:val="bottom"/>
            <w:gridSpan w:val="2"/>
          </w:tcPr>
          <w:p>
            <w:pPr>
              <w:spacing w:after="0"/>
              <w:rPr>
                <w:sz w:val="18"/>
                <w:szCs w:val="18"/>
                <w:color w:val="auto"/>
              </w:rPr>
            </w:pPr>
          </w:p>
        </w:tc>
      </w:tr>
      <w:tr>
        <w:trPr>
          <w:trHeight w:val="223"/>
        </w:trPr>
        <w:tc>
          <w:tcPr>
            <w:tcW w:w="5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average)</w:t>
            </w:r>
          </w:p>
        </w:tc>
      </w:tr>
      <w:tr>
        <w:trPr>
          <w:trHeight w:val="21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1.14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Market price on date of grant</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680"/>
              <w:spacing w:after="0"/>
              <w:rPr>
                <w:sz w:val="20"/>
                <w:szCs w:val="20"/>
                <w:color w:val="auto"/>
              </w:rPr>
            </w:pPr>
            <w:r>
              <w:rPr>
                <w:rFonts w:ascii="Arial" w:cs="Arial" w:eastAsia="Arial" w:hAnsi="Arial"/>
                <w:sz w:val="18"/>
                <w:szCs w:val="18"/>
                <w:color w:val="auto"/>
                <w:w w:val="79"/>
              </w:rPr>
              <w:t>1.05</w:t>
            </w:r>
          </w:p>
        </w:tc>
        <w:tc>
          <w:tcPr>
            <w:tcW w:w="2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7"/>
              </w:rPr>
              <w:t>1.79%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term (years)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w w:val="79"/>
              </w:rPr>
              <w:t>5.41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4"/>
              </w:rPr>
              <w:t>86.99%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96.58%</w:t>
            </w:r>
          </w:p>
        </w:tc>
        <w:tc>
          <w:tcPr>
            <w:tcW w:w="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w w:val="97"/>
              </w:rPr>
              <w:t>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Fair value per share at grant date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680"/>
              <w:spacing w:after="0"/>
              <w:rPr>
                <w:sz w:val="20"/>
                <w:szCs w:val="20"/>
                <w:color w:val="auto"/>
              </w:rPr>
            </w:pPr>
            <w:r>
              <w:rPr>
                <w:rFonts w:ascii="Arial" w:cs="Arial" w:eastAsia="Arial" w:hAnsi="Arial"/>
                <w:sz w:val="18"/>
                <w:szCs w:val="18"/>
                <w:color w:val="auto"/>
                <w:w w:val="79"/>
              </w:rPr>
              <w:t>0.73</w:t>
            </w:r>
          </w:p>
        </w:tc>
        <w:tc>
          <w:tcPr>
            <w:tcW w:w="22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r>
    </w:tbl>
    <w:p>
      <w:pPr>
        <w:spacing w:after="0" w:line="20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6"/>
          <w:szCs w:val="16"/>
          <w:i w:val="1"/>
          <w:iCs w:val="1"/>
          <w:color w:val="auto"/>
        </w:rPr>
        <w:t>SAB No. 107 and 110</w:t>
      </w:r>
      <w:r>
        <w:rPr>
          <w:rFonts w:ascii="Arial" w:cs="Arial" w:eastAsia="Arial" w:hAnsi="Arial"/>
          <w:sz w:val="16"/>
          <w:szCs w:val="16"/>
          <w:color w:val="auto"/>
        </w:rPr>
        <w:t>). The utilization of SAB No. 107 and 110 is based on the lack of relevant historical option exercises and relevant historical data due to the relatively limited period during which our stock has been publicly traded on a major exchange and the historical lack of liquidity in freely-tradable shares of our common stock. Those factors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recognize the effect of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126" w:name="page127"/>
    <w:bookmarkEnd w:id="12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 activity for the fiscal years ended March 31, 2019 and 2018 under the 2019 Plan and the 2016 Plan: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w w:val="87"/>
              </w:rPr>
              <w:t>Fiscal Years Ended March 31,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Weighted</w:t>
            </w:r>
          </w:p>
        </w:tc>
      </w:tr>
      <w:tr>
        <w:trPr>
          <w:trHeight w:val="243"/>
        </w:trPr>
        <w:tc>
          <w:tcPr>
            <w:tcW w:w="5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r>
      <w:tr>
        <w:trPr>
          <w:trHeight w:val="243"/>
        </w:trPr>
        <w:tc>
          <w:tcPr>
            <w:tcW w:w="5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Exercise</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Exercise</w:t>
            </w:r>
          </w:p>
        </w:tc>
      </w:tr>
      <w:tr>
        <w:trPr>
          <w:trHeight w:val="252"/>
        </w:trPr>
        <w:tc>
          <w:tcPr>
            <w:tcW w:w="5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Price</w:t>
            </w:r>
          </w:p>
        </w:tc>
      </w:tr>
      <w:tr>
        <w:trPr>
          <w:trHeight w:val="243"/>
        </w:trPr>
        <w:tc>
          <w:tcPr>
            <w:tcW w:w="5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Options outstanding at beginning of period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6,626,088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5,300,338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Options granted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3,455,000</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1,355,000</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exercised</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80"/>
              <w:spacing w:after="0"/>
              <w:rPr>
                <w:sz w:val="20"/>
                <w:szCs w:val="20"/>
                <w:color w:val="auto"/>
              </w:rPr>
            </w:pPr>
            <w:r>
              <w:rPr>
                <w:rFonts w:ascii="Arial" w:cs="Arial" w:eastAsia="Arial" w:hAnsi="Arial"/>
                <w:sz w:val="18"/>
                <w:szCs w:val="18"/>
                <w:color w:val="auto"/>
              </w:rPr>
              <w:t>Options forfeited</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expired</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16"/>
        </w:trPr>
        <w:tc>
          <w:tcPr>
            <w:tcW w:w="5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Options outstanding at end of period</w:t>
            </w:r>
          </w:p>
        </w:tc>
        <w:tc>
          <w:tcPr>
            <w:tcW w:w="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10,003,088</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6,626,088</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60" w:type="dxa"/>
            <w:vAlign w:val="bottom"/>
          </w:tcPr>
          <w:p>
            <w:pPr>
              <w:ind w:left="60"/>
              <w:spacing w:after="0"/>
              <w:rPr>
                <w:sz w:val="20"/>
                <w:szCs w:val="20"/>
                <w:color w:val="auto"/>
              </w:rPr>
            </w:pPr>
            <w:r>
              <w:rPr>
                <w:rFonts w:ascii="Arial" w:cs="Arial" w:eastAsia="Arial" w:hAnsi="Arial"/>
                <w:sz w:val="18"/>
                <w:szCs w:val="18"/>
                <w:color w:val="auto"/>
              </w:rPr>
              <w:t>Options exercisable at end of period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7,936,290</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4,303,972</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r>
      <w:tr>
        <w:trPr>
          <w:trHeight w:val="21"/>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Weighted average grant-date fair value of</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options granted during the period</w:t>
            </w: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August 2018, as permitted by the terms of the 2016 Plan, the Board approved the modification of outstanding options held by independent members of our Board, our officers and our employees that had exercise prices higher than $1.56 per share to reduce the exercise prices thereof to $1.50 per share. We calculated the fair value of such options immediately before and after the modification using the Black-Scholes Option Pricing Model and the weighted average assumptions indicated in the table below. We immediately recognized the additional fair value attributable to vested options, $258,100, as stock compensation expense, which is included in the expense reported above for the fiscal year ended March 31, 2019. The additional fair value resulting from the modification, approximately $142,200, is being expensed over the remaining vesting period of the modified options.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Pre-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4"/>
              </w:rPr>
              <w:t>Post-</w:t>
            </w:r>
          </w:p>
        </w:tc>
      </w:tr>
      <w:tr>
        <w:trPr>
          <w:trHeight w:val="237"/>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1"/>
              </w:rPr>
              <w:t>modification</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modification</w:t>
            </w:r>
          </w:p>
        </w:tc>
        <w:tc>
          <w:tcPr>
            <w:tcW w:w="160" w:type="dxa"/>
            <w:vAlign w:val="bottom"/>
            <w:gridSpan w:val="2"/>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1.49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ind w:left="540"/>
              <w:spacing w:after="0"/>
              <w:rPr>
                <w:sz w:val="20"/>
                <w:szCs w:val="20"/>
                <w:color w:val="auto"/>
              </w:rPr>
            </w:pPr>
            <w:r>
              <w:rPr>
                <w:rFonts w:ascii="Arial" w:cs="Arial" w:eastAsia="Arial" w:hAnsi="Arial"/>
                <w:sz w:val="18"/>
                <w:szCs w:val="18"/>
                <w:color w:val="auto"/>
                <w:w w:val="79"/>
              </w:rPr>
              <w:t>3.57</w:t>
            </w:r>
          </w:p>
        </w:tc>
        <w:tc>
          <w:tcPr>
            <w:tcW w:w="220" w:type="dxa"/>
            <w:vAlign w:val="bottom"/>
          </w:tcPr>
          <w:p>
            <w:pPr>
              <w:spacing w:after="0"/>
              <w:rPr>
                <w:sz w:val="18"/>
                <w:szCs w:val="18"/>
                <w:color w:val="auto"/>
              </w:rPr>
            </w:pPr>
          </w:p>
        </w:tc>
        <w:tc>
          <w:tcPr>
            <w:tcW w:w="2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2.77%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Remaining expected term in years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w w:val="79"/>
              </w:rPr>
              <w:t>5.08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7"/>
              </w:rPr>
              <w:t>94.9%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Number of option 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w w:val="84"/>
              </w:rPr>
              <w:t>2,419,503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2,419,503</w:t>
            </w:r>
          </w:p>
        </w:tc>
        <w:tc>
          <w:tcPr>
            <w:tcW w:w="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w w:val="79"/>
              </w:rPr>
              <w:t>0.91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w:t>
            </w:r>
          </w:p>
        </w:tc>
        <w:tc>
          <w:tcPr>
            <w:tcW w:w="2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on stock options outstanding and exercisable under the 2019 Plan and the 2016 Plan as of March 31,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Options Outstanding</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60" w:type="dxa"/>
            <w:vAlign w:val="bottom"/>
            <w:gridSpan w:val="6"/>
          </w:tcPr>
          <w:p>
            <w:pPr>
              <w:ind w:left="98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41"/>
        </w:trPr>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Weighted</w:t>
            </w: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Weighted</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Exercise</w:t>
            </w:r>
          </w:p>
        </w:tc>
        <w:tc>
          <w:tcPr>
            <w:tcW w:w="20" w:type="dxa"/>
            <w:vAlign w:val="bottom"/>
          </w:tcPr>
          <w:p>
            <w:pPr>
              <w:spacing w:after="0"/>
              <w:rPr>
                <w:sz w:val="20"/>
                <w:szCs w:val="20"/>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Number</w:t>
            </w: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Years until</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c>
          <w:tcPr>
            <w:tcW w:w="360" w:type="dxa"/>
            <w:vAlign w:val="bottom"/>
          </w:tcPr>
          <w:p>
            <w:pPr>
              <w:spacing w:after="0"/>
              <w:rPr>
                <w:sz w:val="20"/>
                <w:szCs w:val="20"/>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Exercise</w:t>
            </w: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Price</w:t>
            </w:r>
          </w:p>
        </w:tc>
        <w:tc>
          <w:tcPr>
            <w:tcW w:w="20" w:type="dxa"/>
            <w:vAlign w:val="bottom"/>
          </w:tcPr>
          <w:p>
            <w:pPr>
              <w:spacing w:after="0"/>
              <w:rPr>
                <w:sz w:val="22"/>
                <w:szCs w:val="22"/>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8"/>
                <w:szCs w:val="18"/>
                <w:color w:val="auto"/>
              </w:rPr>
              <w:t>Outstanding</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Expiration</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w:t>
            </w:r>
          </w:p>
        </w:tc>
        <w:tc>
          <w:tcPr>
            <w:tcW w:w="360" w:type="dxa"/>
            <w:vAlign w:val="bottom"/>
          </w:tcPr>
          <w:p>
            <w:pPr>
              <w:spacing w:after="0"/>
              <w:rPr>
                <w:sz w:val="22"/>
                <w:szCs w:val="22"/>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Exercisable</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0.50 to $1.00</w:t>
            </w:r>
          </w:p>
        </w:tc>
        <w:tc>
          <w:tcPr>
            <w:tcW w:w="1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1,815,000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0.90</w:t>
            </w:r>
          </w:p>
        </w:tc>
        <w:tc>
          <w:tcPr>
            <w:tcW w:w="2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1,040,422</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1880" w:type="dxa"/>
            <w:vAlign w:val="bottom"/>
            <w:gridSpan w:val="3"/>
          </w:tcPr>
          <w:p>
            <w:pPr>
              <w:jc w:val="right"/>
              <w:ind w:right="380"/>
              <w:spacing w:after="0"/>
              <w:rPr>
                <w:sz w:val="20"/>
                <w:szCs w:val="20"/>
                <w:color w:val="auto"/>
              </w:rPr>
            </w:pPr>
            <w:r>
              <w:rPr>
                <w:rFonts w:ascii="Arial" w:cs="Arial" w:eastAsia="Arial" w:hAnsi="Arial"/>
                <w:sz w:val="18"/>
                <w:szCs w:val="18"/>
                <w:color w:val="auto"/>
              </w:rPr>
              <w:t>2,000,000</w:t>
            </w:r>
          </w:p>
        </w:tc>
        <w:tc>
          <w:tcPr>
            <w:tcW w:w="1500" w:type="dxa"/>
            <w:vAlign w:val="bottom"/>
          </w:tcPr>
          <w:p>
            <w:pPr>
              <w:jc w:val="right"/>
              <w:spacing w:after="0"/>
              <w:rPr>
                <w:sz w:val="20"/>
                <w:szCs w:val="20"/>
                <w:color w:val="auto"/>
              </w:rPr>
            </w:pPr>
            <w:r>
              <w:rPr>
                <w:rFonts w:ascii="Arial" w:cs="Arial" w:eastAsia="Arial" w:hAnsi="Arial"/>
                <w:sz w:val="18"/>
                <w:szCs w:val="18"/>
                <w:color w:val="auto"/>
              </w:rPr>
              <w:t>7.84</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2040" w:type="dxa"/>
            <w:vAlign w:val="bottom"/>
            <w:gridSpan w:val="3"/>
          </w:tcPr>
          <w:p>
            <w:pPr>
              <w:jc w:val="right"/>
              <w:ind w:right="180"/>
              <w:spacing w:after="0"/>
              <w:rPr>
                <w:sz w:val="20"/>
                <w:szCs w:val="20"/>
                <w:color w:val="auto"/>
              </w:rPr>
            </w:pPr>
            <w:r>
              <w:rPr>
                <w:rFonts w:ascii="Arial" w:cs="Arial" w:eastAsia="Arial" w:hAnsi="Arial"/>
                <w:sz w:val="18"/>
                <w:szCs w:val="18"/>
                <w:color w:val="auto"/>
              </w:rPr>
              <w:t>2,000,000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 to $1.41</w:t>
            </w:r>
          </w:p>
        </w:tc>
        <w:tc>
          <w:tcPr>
            <w:tcW w:w="1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2,525,000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2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1,455,466</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1.50 to $1.52</w:t>
            </w:r>
          </w:p>
        </w:tc>
        <w:tc>
          <w:tcPr>
            <w:tcW w:w="1880" w:type="dxa"/>
            <w:vAlign w:val="bottom"/>
            <w:gridSpan w:val="3"/>
          </w:tcPr>
          <w:p>
            <w:pPr>
              <w:jc w:val="right"/>
              <w:ind w:right="380"/>
              <w:spacing w:after="0"/>
              <w:rPr>
                <w:sz w:val="20"/>
                <w:szCs w:val="20"/>
                <w:color w:val="auto"/>
              </w:rPr>
            </w:pPr>
            <w:r>
              <w:rPr>
                <w:rFonts w:ascii="Arial" w:cs="Arial" w:eastAsia="Arial" w:hAnsi="Arial"/>
                <w:sz w:val="18"/>
                <w:szCs w:val="18"/>
                <w:color w:val="auto"/>
              </w:rPr>
              <w:t>2,412,253</w:t>
            </w:r>
          </w:p>
        </w:tc>
        <w:tc>
          <w:tcPr>
            <w:tcW w:w="1500" w:type="dxa"/>
            <w:vAlign w:val="bottom"/>
          </w:tcPr>
          <w:p>
            <w:pPr>
              <w:jc w:val="right"/>
              <w:spacing w:after="0"/>
              <w:rPr>
                <w:sz w:val="20"/>
                <w:szCs w:val="20"/>
                <w:color w:val="auto"/>
              </w:rPr>
            </w:pPr>
            <w:r>
              <w:rPr>
                <w:rFonts w:ascii="Arial" w:cs="Arial" w:eastAsia="Arial" w:hAnsi="Arial"/>
                <w:sz w:val="18"/>
                <w:szCs w:val="18"/>
                <w:color w:val="auto"/>
              </w:rPr>
              <w:t>6.65</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2040" w:type="dxa"/>
            <w:vAlign w:val="bottom"/>
            <w:gridSpan w:val="3"/>
          </w:tcPr>
          <w:p>
            <w:pPr>
              <w:jc w:val="right"/>
              <w:ind w:right="180"/>
              <w:spacing w:after="0"/>
              <w:rPr>
                <w:sz w:val="20"/>
                <w:szCs w:val="20"/>
                <w:color w:val="auto"/>
              </w:rPr>
            </w:pPr>
            <w:r>
              <w:rPr>
                <w:rFonts w:ascii="Arial" w:cs="Arial" w:eastAsia="Arial" w:hAnsi="Arial"/>
                <w:sz w:val="18"/>
                <w:szCs w:val="18"/>
                <w:color w:val="auto"/>
              </w:rPr>
              <w:t>2,302,069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 to $1.99</w:t>
            </w:r>
          </w:p>
        </w:tc>
        <w:tc>
          <w:tcPr>
            <w:tcW w:w="1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1,115,000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2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1,017,082</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2.20 to $15.00</w:t>
            </w:r>
          </w:p>
        </w:tc>
        <w:tc>
          <w:tcPr>
            <w:tcW w:w="1880" w:type="dxa"/>
            <w:vAlign w:val="bottom"/>
            <w:gridSpan w:val="3"/>
          </w:tcPr>
          <w:p>
            <w:pPr>
              <w:jc w:val="right"/>
              <w:ind w:right="380"/>
              <w:spacing w:after="0"/>
              <w:rPr>
                <w:sz w:val="20"/>
                <w:szCs w:val="20"/>
                <w:color w:val="auto"/>
              </w:rPr>
            </w:pPr>
            <w:r>
              <w:rPr>
                <w:rFonts w:ascii="Arial" w:cs="Arial" w:eastAsia="Arial" w:hAnsi="Arial"/>
                <w:sz w:val="18"/>
                <w:szCs w:val="18"/>
                <w:color w:val="auto"/>
              </w:rPr>
              <w:t>135,835</w:t>
            </w:r>
          </w:p>
        </w:tc>
        <w:tc>
          <w:tcPr>
            <w:tcW w:w="1500" w:type="dxa"/>
            <w:vAlign w:val="bottom"/>
          </w:tcPr>
          <w:p>
            <w:pPr>
              <w:jc w:val="right"/>
              <w:spacing w:after="0"/>
              <w:rPr>
                <w:sz w:val="20"/>
                <w:szCs w:val="20"/>
                <w:color w:val="auto"/>
              </w:rPr>
            </w:pPr>
            <w:r>
              <w:rPr>
                <w:rFonts w:ascii="Arial" w:cs="Arial" w:eastAsia="Arial" w:hAnsi="Arial"/>
                <w:sz w:val="18"/>
                <w:szCs w:val="18"/>
                <w:color w:val="auto"/>
              </w:rPr>
              <w:t>6.28</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6.03</w:t>
            </w:r>
          </w:p>
        </w:tc>
        <w:tc>
          <w:tcPr>
            <w:tcW w:w="2040" w:type="dxa"/>
            <w:vAlign w:val="bottom"/>
            <w:gridSpan w:val="3"/>
          </w:tcPr>
          <w:p>
            <w:pPr>
              <w:jc w:val="right"/>
              <w:ind w:right="180"/>
              <w:spacing w:after="0"/>
              <w:rPr>
                <w:sz w:val="20"/>
                <w:szCs w:val="20"/>
                <w:color w:val="auto"/>
              </w:rPr>
            </w:pPr>
            <w:r>
              <w:rPr>
                <w:rFonts w:ascii="Arial" w:cs="Arial" w:eastAsia="Arial" w:hAnsi="Arial"/>
                <w:sz w:val="18"/>
                <w:szCs w:val="18"/>
                <w:color w:val="auto"/>
              </w:rPr>
              <w:t>121,251</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right"/>
              <w:ind w:right="380"/>
              <w:spacing w:after="0"/>
              <w:rPr>
                <w:sz w:val="20"/>
                <w:szCs w:val="20"/>
                <w:color w:val="auto"/>
              </w:rPr>
            </w:pPr>
            <w:r>
              <w:rPr>
                <w:rFonts w:ascii="Arial" w:cs="Arial" w:eastAsia="Arial" w:hAnsi="Arial"/>
                <w:sz w:val="18"/>
                <w:szCs w:val="18"/>
                <w:color w:val="auto"/>
              </w:rPr>
              <w:t>10,003,088</w:t>
            </w:r>
          </w:p>
        </w:tc>
        <w:tc>
          <w:tcPr>
            <w:tcW w:w="1500" w:type="dxa"/>
            <w:vAlign w:val="bottom"/>
          </w:tcPr>
          <w:p>
            <w:pPr>
              <w:jc w:val="right"/>
              <w:spacing w:after="0"/>
              <w:rPr>
                <w:sz w:val="20"/>
                <w:szCs w:val="20"/>
                <w:color w:val="auto"/>
              </w:rPr>
            </w:pPr>
            <w:r>
              <w:rPr>
                <w:rFonts w:ascii="Arial" w:cs="Arial" w:eastAsia="Arial" w:hAnsi="Arial"/>
                <w:sz w:val="18"/>
                <w:szCs w:val="18"/>
                <w:color w:val="auto"/>
              </w:rPr>
              <w:t>8.12</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2040" w:type="dxa"/>
            <w:vAlign w:val="bottom"/>
            <w:gridSpan w:val="3"/>
          </w:tcPr>
          <w:p>
            <w:pPr>
              <w:jc w:val="right"/>
              <w:ind w:right="180"/>
              <w:spacing w:after="0"/>
              <w:rPr>
                <w:sz w:val="20"/>
                <w:szCs w:val="20"/>
                <w:color w:val="auto"/>
              </w:rPr>
            </w:pPr>
            <w:r>
              <w:rPr>
                <w:rFonts w:ascii="Arial" w:cs="Arial" w:eastAsia="Arial" w:hAnsi="Arial"/>
                <w:sz w:val="18"/>
                <w:szCs w:val="18"/>
                <w:color w:val="auto"/>
              </w:rPr>
              <w:t>7,936,290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0"/>
              </w:rPr>
              <w:t>-120-</w:t>
            </w: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1" w:right="319" w:bottom="1440" w:gutter="0" w:footer="0" w:header="0"/>
        </w:sectPr>
      </w:pPr>
    </w:p>
    <w:bookmarkStart w:id="127" w:name="page128"/>
    <w:bookmarkEnd w:id="12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2020, there were 6,730,162 registered shares of our common stock remaining available for grant under the 2019 Plan. There were no option exercises during the fiscal year ended March 31, 2020. Two officers and a member of our Board exercised outstanding stock options to purchase an aggregate of 29,250 shares of our common stock during the fiscal year ended March 31, 2019.</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Aggregate intrinsic value is the sum of the amount by which the fair value of the underlying common stock exceeds the aggregate exercise price of the outstanding options (</w:t>
      </w:r>
      <w:r>
        <w:rPr>
          <w:rFonts w:ascii="Arial" w:cs="Arial" w:eastAsia="Arial" w:hAnsi="Arial"/>
          <w:sz w:val="18"/>
          <w:szCs w:val="18"/>
          <w:i w:val="1"/>
          <w:iCs w:val="1"/>
          <w:color w:val="auto"/>
        </w:rPr>
        <w:t>in-the-money-options</w:t>
      </w:r>
      <w:r>
        <w:rPr>
          <w:rFonts w:ascii="Arial" w:cs="Arial" w:eastAsia="Arial" w:hAnsi="Arial"/>
          <w:sz w:val="18"/>
          <w:szCs w:val="18"/>
          <w:color w:val="auto"/>
        </w:rPr>
        <w:t>). Based on the $0.44 per share quoted closing market price of our common stock on March 31, 2020, there was no intrinsic value in any of our outstanding options at that date.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2020, there was approximately $1,778,700 of unrecognized compensation cost related to non-vested share-based compensation awards from the 2019 Plan and the 2016 Plan, which cost is expected to be recognized through August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Our Board approved the VistaGen Therapeutics, Inc. 2019 Employee Stock Purchase Plan (the 2019 ESPP) on June 13, 2019. Our stockholders approved the 2019 ESPP at our annual meeting on September 5, 2019. The principal terms of our 2019 ESPP are summarized below.</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1,000,000 shares of our common stock may be purchased under the 2019 ESPP.</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2019 ESPP is generally expected to operate in consecutive semi-annual periods referred to as “option periods.” The first option period commenced on January 1, 2020 and will end on the last trading day in the semi-annual period ending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5 years or 27 months, depending on the terms of the offering. Generally, all full-time employees of the Company and its subsidiaries will be eligible to participate in an option period</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the first day of each option period (the </w:t>
      </w:r>
      <w:r>
        <w:rPr>
          <w:rFonts w:ascii="Arial" w:cs="Arial" w:eastAsia="Arial" w:hAnsi="Arial"/>
          <w:sz w:val="16"/>
          <w:szCs w:val="16"/>
          <w:i w:val="1"/>
          <w:iCs w:val="1"/>
          <w:color w:val="auto"/>
        </w:rPr>
        <w:t>Grant Date</w:t>
      </w:r>
      <w:r>
        <w:rPr>
          <w:rFonts w:ascii="Arial" w:cs="Arial" w:eastAsia="Arial" w:hAnsi="Arial"/>
          <w:sz w:val="16"/>
          <w:szCs w:val="16"/>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in his or her enrollment package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participant’s payroll deductions under the 2019 ESPP will be credited to a liability account in his or her name under the 2019 ESPP. The aggregate liability for participant payroll deductions at March 31, 2020 was $14,700, which is included in accrued expenses in the accompanying Consolidated Balance Sheet at that date.</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Each option granted under the 2019 ESPP will automatically be exercised on the last day of the respective option period (referred to as the </w:t>
      </w:r>
      <w:r>
        <w:rPr>
          <w:rFonts w:ascii="Arial" w:cs="Arial" w:eastAsia="Arial" w:hAnsi="Arial"/>
          <w:sz w:val="16"/>
          <w:szCs w:val="16"/>
          <w:i w:val="1"/>
          <w:iCs w:val="1"/>
          <w:color w:val="auto"/>
        </w:rPr>
        <w:t>Exercise Date</w:t>
      </w:r>
      <w:r>
        <w:rPr>
          <w:rFonts w:ascii="Arial" w:cs="Arial" w:eastAsia="Arial" w:hAnsi="Arial"/>
          <w:sz w:val="16"/>
          <w:szCs w:val="16"/>
          <w:color w:val="auto"/>
        </w:rPr>
        <w:t>). The number of shares acquired by a participant upon exercise of his or her option will be determined by dividing the participant’s 2019 ESPP account balance as of the Exercise Date for the option period by the purchase price of the option. The purchase price for each option is generally equal to the lesser of (i) 85% of the fair market value of a share of our common stock on the applicable Grant Date, or (ii) 85% of the fair market value of a share of our common stock on the applicable Exercise Date. A participant’s 2019 ESPP account will be reduced upon exercise of his or her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Participation in the 2019 ESPP is subject to the following limits:</w:t>
      </w:r>
    </w:p>
    <w:p>
      <w:pPr>
        <w:spacing w:after="0" w:line="225" w:lineRule="exact"/>
        <w:rPr>
          <w:sz w:val="20"/>
          <w:szCs w:val="20"/>
          <w:color w:val="auto"/>
        </w:rPr>
      </w:pPr>
    </w:p>
    <w:p>
      <w:pPr>
        <w:ind w:left="800" w:hanging="333"/>
        <w:spacing w:after="0" w:line="254"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participant cannot contribute less than 1% or more than 15% of his or her compensation to the purchase of stock under the 2019 ESPP in any one payroll period;</w:t>
      </w:r>
    </w:p>
    <w:p>
      <w:pPr>
        <w:ind w:left="800" w:hanging="333"/>
        <w:spacing w:after="0" w:line="281" w:lineRule="auto"/>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 w:lineRule="exact"/>
        <w:rPr>
          <w:rFonts w:ascii="Arial" w:cs="Arial" w:eastAsia="Arial" w:hAnsi="Arial"/>
          <w:sz w:val="16"/>
          <w:szCs w:val="16"/>
          <w:color w:val="auto"/>
        </w:rPr>
      </w:pPr>
    </w:p>
    <w:p>
      <w:pPr>
        <w:jc w:val="both"/>
        <w:ind w:left="800" w:hanging="333"/>
        <w:spacing w:after="0" w:line="302" w:lineRule="auto"/>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of its parent or one of its subsidiaries or to the extent it would exceed certain other limits under the Code.</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28" w:name="page129"/>
    <w:bookmarkEnd w:id="12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$25,000 annual purchase and the 5% ownership limitations referred to above are required under the Code.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is customary in stock incentive plans of this nature,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20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6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2019 ESPP became effective on January 1, 2020 and will continue in effect until the earlier of such time as all of the shares of the Company’s common stock subject to the 2019 ESPP have been sold under the 2019 ESPP or December 31, 2030, unless terminated earlier by the Board. At March 31, 2020, no option periods had been completed nor shares of common stock purchased by employees under the 2019 ESPP.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Cato Holding Company (</w:t>
      </w:r>
      <w:r>
        <w:rPr>
          <w:rFonts w:ascii="Arial" w:cs="Arial" w:eastAsia="Arial" w:hAnsi="Arial"/>
          <w:sz w:val="18"/>
          <w:szCs w:val="18"/>
          <w:i w:val="1"/>
          <w:iCs w:val="1"/>
          <w:color w:val="auto"/>
        </w:rPr>
        <w:t>CHC</w:t>
      </w:r>
      <w:r>
        <w:rPr>
          <w:rFonts w:ascii="Arial" w:cs="Arial" w:eastAsia="Arial" w:hAnsi="Arial"/>
          <w:sz w:val="18"/>
          <w:szCs w:val="18"/>
          <w:color w:val="auto"/>
        </w:rPr>
        <w:t>),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is the parent of Cato Research Ltd. (</w:t>
      </w:r>
      <w:r>
        <w:rPr>
          <w:rFonts w:ascii="Arial" w:cs="Arial" w:eastAsia="Arial" w:hAnsi="Arial"/>
          <w:sz w:val="18"/>
          <w:szCs w:val="18"/>
          <w:i w:val="1"/>
          <w:iCs w:val="1"/>
          <w:color w:val="auto"/>
        </w:rPr>
        <w:t>CRL</w:t>
      </w:r>
      <w:r>
        <w:rPr>
          <w:rFonts w:ascii="Arial" w:cs="Arial" w:eastAsia="Arial" w:hAnsi="Arial"/>
          <w:sz w:val="18"/>
          <w:szCs w:val="18"/>
          <w:color w:val="auto"/>
        </w:rPr>
        <w:t>), now known as Cato Research LLC. CRL is a contract research, development and regulatory services organization (</w:t>
      </w:r>
      <w:r>
        <w:rPr>
          <w:rFonts w:ascii="Arial" w:cs="Arial" w:eastAsia="Arial" w:hAnsi="Arial"/>
          <w:sz w:val="18"/>
          <w:szCs w:val="18"/>
          <w:i w:val="1"/>
          <w:iCs w:val="1"/>
          <w:color w:val="auto"/>
        </w:rPr>
        <w:t>CRO</w:t>
      </w:r>
      <w:r>
        <w:rPr>
          <w:rFonts w:ascii="Arial" w:cs="Arial" w:eastAsia="Arial" w:hAnsi="Arial"/>
          <w:sz w:val="18"/>
          <w:szCs w:val="18"/>
          <w:color w:val="auto"/>
        </w:rPr>
        <w:t>) that we have engaged for a wide range of material aspects related to the nonclinical and clinical development and regulatory affairs associated with our efforts to develop and commercialize AV-101 for MDD, including our ELEVATE Study, and other potential CNS indications, PH94B, PH10, and other potential product candidates. At March 31, 2020, CBV held approximately 2% of our outstanding common stock.</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2017, we entered into a Master Services Agreement (</w:t>
      </w:r>
      <w:r>
        <w:rPr>
          <w:rFonts w:ascii="Arial" w:cs="Arial" w:eastAsia="Arial" w:hAnsi="Arial"/>
          <w:sz w:val="18"/>
          <w:szCs w:val="18"/>
          <w:i w:val="1"/>
          <w:iCs w:val="1"/>
          <w:color w:val="auto"/>
        </w:rPr>
        <w:t>MSA</w:t>
      </w:r>
      <w:r>
        <w:rPr>
          <w:rFonts w:ascii="Arial" w:cs="Arial" w:eastAsia="Arial" w:hAnsi="Arial"/>
          <w:sz w:val="18"/>
          <w:szCs w:val="18"/>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we incurred expenses of $3,802,600 and $3,969,100 for the fiscal years ended March 31, 2020 and 2019, respectively. We anticipate periodic expenses for CRO services from CRL related to nonclinical and clinical development of, and regulatory affairs related to, PH94B, PH10, AV-101 and other potential product candidates will remain significant in future periods.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As disclosed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in September 2018, we issued an aggregate of 1,630,435 shares of our unregistered common stock having a fair market value of $2,250,000 to acquire an exclusive worldwide license to develop and commercialize PH94B and an option to acquire a similar license for PH10. In October 2018, we issued an additional 925,926 shares of our unregistered common stock having a fair market value of $2,000,000 to exercise the option to acquire an exclusive worldwide license to develop and commercialize PH10. The acquisition of the licenses and option was recorded as research and development expense. Additionally, under the terms of the PH94B license acquired in September 2018, we recorded as research and development expense $120,000 and $70,000 of monthly cash support payments to Pherin in the fiscal years ended March 31, 2020 and 2019 , respectively. At March 31, 2020, Pherin held approximately 3% of our outstanding Common Stock.</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engaged the consulting firm headed by one of the independent members of our Board to provide various market research studies and commercial modeling projects for certain of our CNS pipeline candidates and recorded research and development expense of $108,400 and $11,700 for the fiscal years ended March 31, 2020 and 2019, respectively, related to such studies. We recorded no amounts payable at March 31, 2020 or 2019 related to these studies.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29" w:name="page130"/>
    <w:bookmarkEnd w:id="12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Contingencies, Guarantees and Indemnifications</w:t>
      </w:r>
    </w:p>
    <w:p>
      <w:pPr>
        <w:spacing w:after="0" w:line="231"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our cash flows.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2020 or 2019.</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at March 31, 2020 or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Lease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and 2019, the following assets are subject to financing lease obligations and included in property and equipment: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52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Pr>
          <w:p>
            <w:pPr>
              <w:spacing w:after="0"/>
              <w:rPr>
                <w:sz w:val="21"/>
                <w:szCs w:val="21"/>
                <w:color w:val="auto"/>
              </w:rPr>
            </w:pPr>
          </w:p>
        </w:tc>
      </w:tr>
      <w:tr>
        <w:trPr>
          <w:trHeight w:val="243"/>
        </w:trPr>
        <w:tc>
          <w:tcPr>
            <w:tcW w:w="52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36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14,700</w:t>
            </w:r>
          </w:p>
        </w:tc>
      </w:tr>
      <w:tr>
        <w:trPr>
          <w:trHeight w:val="216"/>
        </w:trPr>
        <w:tc>
          <w:tcPr>
            <w:tcW w:w="52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(6,500)</w:t>
            </w:r>
          </w:p>
        </w:tc>
      </w:tr>
      <w:tr>
        <w:trPr>
          <w:trHeight w:val="216"/>
        </w:trPr>
        <w:tc>
          <w:tcPr>
            <w:tcW w:w="528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3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8,200</w:t>
            </w:r>
          </w:p>
        </w:tc>
      </w:tr>
      <w:tr>
        <w:trPr>
          <w:trHeight w:val="20"/>
        </w:trPr>
        <w:tc>
          <w:tcPr>
            <w:tcW w:w="528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Amortization expense for assets recorded under financing leases is included in depreciation expense. Future minimum payments, by year and in the aggregate, required under our financing lease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Years Ending March 31,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3,300</w:t>
            </w:r>
          </w:p>
        </w:tc>
      </w:tr>
      <w:tr>
        <w:trPr>
          <w:trHeight w:val="216"/>
        </w:trPr>
        <w:tc>
          <w:tcPr>
            <w:tcW w:w="9900" w:type="dxa"/>
            <w:vAlign w:val="bottom"/>
          </w:tcPr>
          <w:p>
            <w:pPr>
              <w:ind w:left="18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r>
      <w:tr>
        <w:trPr>
          <w:trHeight w:val="27"/>
        </w:trPr>
        <w:tc>
          <w:tcPr>
            <w:tcW w:w="9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Future minimum lease payments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6,300</w:t>
            </w:r>
          </w:p>
        </w:tc>
      </w:tr>
      <w:tr>
        <w:trPr>
          <w:trHeight w:val="216"/>
        </w:trPr>
        <w:tc>
          <w:tcPr>
            <w:tcW w:w="9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 included in minimum lease payments</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r>
      <w:tr>
        <w:trPr>
          <w:trHeight w:val="216"/>
        </w:trPr>
        <w:tc>
          <w:tcPr>
            <w:tcW w:w="9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5,600</w:t>
            </w:r>
          </w:p>
        </w:tc>
      </w:tr>
      <w:tr>
        <w:trPr>
          <w:trHeight w:val="216"/>
        </w:trPr>
        <w:tc>
          <w:tcPr>
            <w:tcW w:w="9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(3,300)</w:t>
            </w:r>
          </w:p>
        </w:tc>
      </w:tr>
      <w:tr>
        <w:trPr>
          <w:trHeight w:val="216"/>
        </w:trPr>
        <w:tc>
          <w:tcPr>
            <w:tcW w:w="9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Financing lease obligation - non-current portion</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2,300</w:t>
            </w:r>
          </w:p>
        </w:tc>
      </w:tr>
      <w:tr>
        <w:trPr>
          <w:trHeight w:val="20"/>
        </w:trPr>
        <w:tc>
          <w:tcPr>
            <w:tcW w:w="9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lease our headquarters office and laboratory space in South San Francisco, California under the terms of a lease that expires on July 31, 2022 and that provides an option to renew for an additional five years at then-current market rates. Consistent with the guidance in ASC 842, effective beginning April 1, 2019, we have recorded this lease in our Consolidated Balance Sheet as an operating lease. For the purpose of determining the right-of-use asset and associated lease liability, we determined that the renewal of this lease is reasonably probable. The lease of our South San Francisco facilities does not include any restrictions or covenants requiring special treatment under ASC 842.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0" w:name="page131"/>
    <w:bookmarkEnd w:id="130"/>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tcPr>
          <w:p>
            <w:pPr>
              <w:ind w:left="4240"/>
              <w:spacing w:after="0"/>
              <w:rPr>
                <w:sz w:val="20"/>
                <w:szCs w:val="20"/>
                <w:color w:val="auto"/>
              </w:rPr>
            </w:pPr>
            <w:r>
              <w:rPr>
                <w:rFonts w:ascii="Arial" w:cs="Arial" w:eastAsia="Arial" w:hAnsi="Arial"/>
                <w:sz w:val="18"/>
                <w:szCs w:val="18"/>
                <w:b w:val="1"/>
                <w:bCs w:val="1"/>
                <w:color w:val="auto"/>
              </w:rPr>
              <w:t>VISTAGEN THERAPEUTICS, INC.</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900" w:type="dxa"/>
            <w:vAlign w:val="bottom"/>
          </w:tcPr>
          <w:p>
            <w:pPr>
              <w:ind w:left="3320"/>
              <w:spacing w:after="0"/>
              <w:rPr>
                <w:sz w:val="20"/>
                <w:szCs w:val="20"/>
                <w:color w:val="auto"/>
              </w:rPr>
            </w:pPr>
            <w:r>
              <w:rPr>
                <w:rFonts w:ascii="Arial" w:cs="Arial" w:eastAsia="Arial" w:hAnsi="Arial"/>
                <w:sz w:val="18"/>
                <w:szCs w:val="18"/>
                <w:b w:val="1"/>
                <w:bCs w:val="1"/>
                <w:color w:val="auto"/>
              </w:rPr>
              <w:t>NOTES TO CONSOLIDATED FINANCIAL STATEMENTS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w w:val="89"/>
              </w:rPr>
              <w:t>The following table summarizes the presentation of the operating lease in our Condensed Consolidated Balance Sheet at March 31, 2020: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9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As of March</w:t>
            </w:r>
          </w:p>
        </w:tc>
        <w:tc>
          <w:tcPr>
            <w:tcW w:w="0" w:type="dxa"/>
            <w:vAlign w:val="bottom"/>
          </w:tcPr>
          <w:p>
            <w:pPr>
              <w:spacing w:after="0"/>
              <w:rPr>
                <w:sz w:val="1"/>
                <w:szCs w:val="1"/>
                <w:color w:val="auto"/>
              </w:rPr>
            </w:pPr>
          </w:p>
        </w:tc>
      </w:tr>
      <w:tr>
        <w:trPr>
          <w:trHeight w:val="237"/>
        </w:trPr>
        <w:tc>
          <w:tcPr>
            <w:tcW w:w="9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31, 2020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90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 of use asset – operating lease</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3,579,600</w:t>
            </w:r>
          </w:p>
        </w:tc>
        <w:tc>
          <w:tcPr>
            <w:tcW w:w="0" w:type="dxa"/>
            <w:vAlign w:val="bottom"/>
          </w:tcPr>
          <w:p>
            <w:pPr>
              <w:spacing w:after="0"/>
              <w:rPr>
                <w:sz w:val="1"/>
                <w:szCs w:val="1"/>
                <w:color w:val="auto"/>
              </w:rPr>
            </w:pPr>
          </w:p>
        </w:tc>
      </w:tr>
      <w:tr>
        <w:trPr>
          <w:trHeight w:val="210"/>
        </w:trPr>
        <w:tc>
          <w:tcPr>
            <w:tcW w:w="9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340"/>
              <w:spacing w:after="0"/>
              <w:rPr>
                <w:sz w:val="20"/>
                <w:szCs w:val="20"/>
                <w:color w:val="auto"/>
              </w:rPr>
            </w:pPr>
            <w:r>
              <w:rPr>
                <w:rFonts w:ascii="Arial" w:cs="Arial" w:eastAsia="Arial" w:hAnsi="Arial"/>
                <w:sz w:val="18"/>
                <w:szCs w:val="18"/>
                <w:color w:val="auto"/>
              </w:rPr>
              <w:t>Current operating lease obligation</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313,400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operating lease obligation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3,715,600</w:t>
            </w:r>
          </w:p>
        </w:tc>
        <w:tc>
          <w:tcPr>
            <w:tcW w:w="0" w:type="dxa"/>
            <w:vAlign w:val="bottom"/>
          </w:tcPr>
          <w:p>
            <w:pPr>
              <w:spacing w:after="0"/>
              <w:rPr>
                <w:sz w:val="1"/>
                <w:szCs w:val="1"/>
                <w:color w:val="auto"/>
              </w:rPr>
            </w:pPr>
          </w:p>
        </w:tc>
      </w:tr>
      <w:tr>
        <w:trPr>
          <w:trHeight w:val="27"/>
        </w:trPr>
        <w:tc>
          <w:tcPr>
            <w:tcW w:w="9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Total operating lease liability</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4,029,000</w:t>
            </w:r>
          </w:p>
        </w:tc>
        <w:tc>
          <w:tcPr>
            <w:tcW w:w="0" w:type="dxa"/>
            <w:vAlign w:val="bottom"/>
          </w:tcPr>
          <w:p>
            <w:pPr>
              <w:spacing w:after="0"/>
              <w:rPr>
                <w:sz w:val="1"/>
                <w:szCs w:val="1"/>
                <w:color w:val="auto"/>
              </w:rPr>
            </w:pPr>
          </w:p>
        </w:tc>
      </w:tr>
      <w:tr>
        <w:trPr>
          <w:trHeight w:val="21"/>
        </w:trPr>
        <w:tc>
          <w:tcPr>
            <w:tcW w:w="9900" w:type="dxa"/>
            <w:vAlign w:val="bottom"/>
            <w:vMerge w:val="restart"/>
          </w:tcPr>
          <w:p>
            <w:pPr>
              <w:spacing w:after="0"/>
              <w:rPr>
                <w:sz w:val="20"/>
                <w:szCs w:val="20"/>
                <w:color w:val="auto"/>
              </w:rPr>
            </w:pPr>
            <w:r>
              <w:rPr>
                <w:rFonts w:ascii="Arial" w:cs="Arial" w:eastAsia="Arial" w:hAnsi="Arial"/>
                <w:sz w:val="18"/>
                <w:szCs w:val="18"/>
                <w:color w:val="auto"/>
              </w:rPr>
              <w:t>The following table summarizes the effect of operating lease costs in our consolidated statements of operations:</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9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For the Fiscal</w:t>
            </w:r>
          </w:p>
        </w:tc>
        <w:tc>
          <w:tcPr>
            <w:tcW w:w="0" w:type="dxa"/>
            <w:vAlign w:val="bottom"/>
          </w:tcPr>
          <w:p>
            <w:pPr>
              <w:spacing w:after="0"/>
              <w:rPr>
                <w:sz w:val="1"/>
                <w:szCs w:val="1"/>
                <w:color w:val="auto"/>
              </w:rPr>
            </w:pPr>
          </w:p>
        </w:tc>
      </w:tr>
      <w:tr>
        <w:trPr>
          <w:trHeight w:val="204"/>
        </w:trPr>
        <w:tc>
          <w:tcPr>
            <w:tcW w:w="9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7"/>
        </w:trPr>
        <w:tc>
          <w:tcPr>
            <w:tcW w:w="9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692,300</w:t>
            </w:r>
          </w:p>
        </w:tc>
        <w:tc>
          <w:tcPr>
            <w:tcW w:w="0" w:type="dxa"/>
            <w:vAlign w:val="bottom"/>
          </w:tcPr>
          <w:p>
            <w:pPr>
              <w:spacing w:after="0"/>
              <w:rPr>
                <w:sz w:val="1"/>
                <w:szCs w:val="1"/>
                <w:color w:val="auto"/>
              </w:rPr>
            </w:pPr>
          </w:p>
        </w:tc>
      </w:tr>
      <w:tr>
        <w:trPr>
          <w:trHeight w:val="430"/>
        </w:trPr>
        <w:tc>
          <w:tcPr>
            <w:tcW w:w="9900" w:type="dxa"/>
            <w:vAlign w:val="bottom"/>
          </w:tcPr>
          <w:p>
            <w:pPr>
              <w:spacing w:after="0"/>
              <w:rPr>
                <w:sz w:val="20"/>
                <w:szCs w:val="20"/>
                <w:color w:val="auto"/>
              </w:rPr>
            </w:pPr>
            <w:r>
              <w:rPr>
                <w:rFonts w:ascii="Arial" w:cs="Arial" w:eastAsia="Arial" w:hAnsi="Arial"/>
                <w:sz w:val="18"/>
                <w:szCs w:val="18"/>
                <w:color w:val="auto"/>
                <w:w w:val="98"/>
              </w:rPr>
              <w:t>The minimum (base rental) lease payments related to our South San Francisco operating lease are expected to be as follows: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 Ending March 31,</w:t>
            </w: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645,800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668,400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726,000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766,000</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789,000</w:t>
            </w:r>
          </w:p>
        </w:tc>
        <w:tc>
          <w:tcPr>
            <w:tcW w:w="0" w:type="dxa"/>
            <w:vAlign w:val="bottom"/>
          </w:tcPr>
          <w:p>
            <w:pPr>
              <w:spacing w:after="0"/>
              <w:rPr>
                <w:sz w:val="1"/>
                <w:szCs w:val="1"/>
                <w:color w:val="auto"/>
              </w:rPr>
            </w:pPr>
          </w:p>
        </w:tc>
      </w:tr>
      <w:tr>
        <w:trPr>
          <w:trHeight w:val="27"/>
        </w:trPr>
        <w:tc>
          <w:tcPr>
            <w:tcW w:w="9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1,931,400</w:t>
            </w:r>
          </w:p>
        </w:tc>
        <w:tc>
          <w:tcPr>
            <w:tcW w:w="0" w:type="dxa"/>
            <w:vAlign w:val="bottom"/>
          </w:tcPr>
          <w:p>
            <w:pPr>
              <w:spacing w:after="0"/>
              <w:rPr>
                <w:sz w:val="1"/>
                <w:szCs w:val="1"/>
                <w:color w:val="auto"/>
              </w:rPr>
            </w:pPr>
          </w:p>
        </w:tc>
      </w:tr>
      <w:tr>
        <w:trPr>
          <w:trHeight w:val="27"/>
        </w:trPr>
        <w:tc>
          <w:tcPr>
            <w:tcW w:w="9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lease expense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5,526,600</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(1,497,600)</w:t>
            </w:r>
          </w:p>
        </w:tc>
        <w:tc>
          <w:tcPr>
            <w:tcW w:w="0" w:type="dxa"/>
            <w:vAlign w:val="bottom"/>
          </w:tcPr>
          <w:p>
            <w:pPr>
              <w:spacing w:after="0"/>
              <w:rPr>
                <w:sz w:val="1"/>
                <w:szCs w:val="1"/>
                <w:color w:val="auto"/>
              </w:rPr>
            </w:pPr>
          </w:p>
        </w:tc>
      </w:tr>
      <w:tr>
        <w:trPr>
          <w:trHeight w:val="27"/>
        </w:trPr>
        <w:tc>
          <w:tcPr>
            <w:tcW w:w="9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operating lease liabilities</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4,029,000</w:t>
            </w: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remaining lease term, including the assumed five-year extension at the expiration of the current lease period, and the discount rate assumption for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operating lease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As of March</w:t>
            </w:r>
          </w:p>
        </w:tc>
      </w:tr>
      <w:tr>
        <w:trPr>
          <w:trHeight w:val="237"/>
        </w:trPr>
        <w:tc>
          <w:tcPr>
            <w:tcW w:w="10040" w:type="dxa"/>
            <w:vAlign w:val="bottom"/>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31, 2020</w:t>
            </w:r>
          </w:p>
        </w:tc>
        <w:tc>
          <w:tcPr>
            <w:tcW w:w="140" w:type="dxa"/>
            <w:vAlign w:val="bottom"/>
          </w:tcPr>
          <w:p>
            <w:pPr>
              <w:spacing w:after="0"/>
              <w:rPr>
                <w:sz w:val="20"/>
                <w:szCs w:val="20"/>
                <w:color w:val="auto"/>
              </w:rPr>
            </w:pP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Assumed remaining lease term in years</w:t>
            </w: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CEEFF"/>
          </w:tcPr>
          <w:p>
            <w:pPr>
              <w:spacing w:after="0"/>
              <w:rPr>
                <w:sz w:val="18"/>
                <w:szCs w:val="18"/>
                <w:color w:val="auto"/>
              </w:rPr>
            </w:pPr>
          </w:p>
        </w:tc>
      </w:tr>
      <w:tr>
        <w:trPr>
          <w:trHeight w:val="222"/>
        </w:trPr>
        <w:tc>
          <w:tcPr>
            <w:tcW w:w="10040" w:type="dxa"/>
            <w:vAlign w:val="bottom"/>
          </w:tcPr>
          <w:p>
            <w:pPr>
              <w:spacing w:after="0"/>
              <w:rPr>
                <w:sz w:val="20"/>
                <w:szCs w:val="20"/>
                <w:color w:val="auto"/>
              </w:rPr>
            </w:pPr>
            <w:r>
              <w:rPr>
                <w:rFonts w:ascii="Arial" w:cs="Arial" w:eastAsia="Arial" w:hAnsi="Arial"/>
                <w:sz w:val="18"/>
                <w:szCs w:val="18"/>
                <w:color w:val="auto"/>
              </w:rPr>
              <w:t>Assumed discount rate</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19"/>
                <w:szCs w:val="19"/>
                <w:color w:val="auto"/>
              </w:rPr>
            </w:pP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Supplemental disclosure of cash flow information related to our operating leases included in cash flows used by operating activities in the consolidated statements of cash flows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For the Fiscal</w:t>
            </w:r>
          </w:p>
        </w:tc>
      </w:tr>
      <w:tr>
        <w:trPr>
          <w:trHeight w:val="216"/>
        </w:trPr>
        <w:tc>
          <w:tcPr>
            <w:tcW w:w="7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7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r>
      <w:tr>
        <w:trPr>
          <w:trHeight w:val="237"/>
        </w:trPr>
        <w:tc>
          <w:tcPr>
            <w:tcW w:w="7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r>
      <w:tr>
        <w:trPr>
          <w:trHeight w:val="243"/>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76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   753,900</w:t>
            </w: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During the fiscal year end March 31, 2020, other than the initial adoption of ASC 842 that required right of use assets and lease liabilities to be recorded, we recorded no new right of use assets arising from new lease liabilities.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31" w:name="page132"/>
    <w:bookmarkEnd w:id="131"/>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$14,000 and $13,200 for the fiscal years ended March 31, 2020 and 2019, respectively, attributable to this 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Repayment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2020, future minimum principal payments on an outstanding note related to an insurance premium financing arrangement in the remaining principal amount of $56,500, which will be repaid in monthly principal and interest installments of $6,500 through December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evaluated subsequent events through the date of this Annual Report and have identified the following material events and transactions that occurred after March 31,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 under the LPC Agreement</w:t>
      </w:r>
    </w:p>
    <w:p>
      <w:pPr>
        <w:spacing w:after="0" w:line="225" w:lineRule="exact"/>
        <w:rPr>
          <w:sz w:val="20"/>
          <w:szCs w:val="20"/>
          <w:color w:val="auto"/>
        </w:rPr>
      </w:pPr>
    </w:p>
    <w:p>
      <w:pPr>
        <w:ind w:right="620"/>
        <w:spacing w:after="0" w:line="331" w:lineRule="auto"/>
        <w:rPr>
          <w:sz w:val="20"/>
          <w:szCs w:val="20"/>
          <w:color w:val="auto"/>
        </w:rPr>
      </w:pPr>
      <w:r>
        <w:rPr>
          <w:rFonts w:ascii="Arial" w:cs="Arial" w:eastAsia="Arial" w:hAnsi="Arial"/>
          <w:sz w:val="16"/>
          <w:szCs w:val="16"/>
          <w:color w:val="auto"/>
        </w:rPr>
        <w:t>Subsequent to the effectiveness of the LPC Registration Statement on April 14, 2020, and through June 26, 2020, we have sold an additional 6,201,995 registered shares of our common stock to Lincoln Park and have received aggregate cash proceeds of $2,840,200.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Stock Options from the 2019 Stock Incentive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23, 2020, when the quoted market price of our common stock was $0.398 per share, the Compensation Committee of the Board granted options from our 2019 Plan to our independent directors, officers and employees and to certain consultants to purchase an aggregate of 1,555,000 shares of our common stock at an exercise price of $0.398 per share. The options were vested 25% upon grant with the remaining shares vesting over two years. On April 24, 2020, when the quoted market price of our common stock was also $0.398 per share, we granted options from our 2019 Plan to purchase 25,000 shares of our common stock to another consultant. Those options were also vested 25% upon grant with the remaining shares vesting over two years. On May 8, 2020, when the quoted market price of our common stock was $0.42 per share, the Board granted options from our 2019 Plan to additional consultants to purchase an aggregate of 225,000 shares of our common stock at an exercise price of $0.42 per share. The options were vested 25% upon grant with the remaining shares vesting over one year. On June 19, 2020 and June 24, 2020, when the quoted market price of our common stock was $0.5124 per share and $0.535 per share, respectively, we also granted options from our 2019 Plan to additional consultants to purchase 60,000 shares at $0.5124 per share on June 19, 2020 and 80,000 shares at $0.55 per share on June 24, 2020. In each of the June 2020 grants, the options were vested 25% upon grant with the remaining shares vesting over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Common Stock and Warrants in the Spring 2020 Private Placement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2020, in a self-directed private placement, we sold to an accredited investor units to purchase an aggregate of 125,000 unregistered shares of our common stock and four-year warrants to purchase 125,000 shares of our common stock at an exercise price of $0.50 per share and we received cash proceeds of $50,000 (the </w:t>
      </w:r>
      <w:r>
        <w:rPr>
          <w:rFonts w:ascii="Arial" w:cs="Arial" w:eastAsia="Arial" w:hAnsi="Arial"/>
          <w:sz w:val="18"/>
          <w:szCs w:val="18"/>
          <w:i w:val="1"/>
          <w:iCs w:val="1"/>
          <w:color w:val="auto"/>
        </w:rPr>
        <w:t>Spring 2020 Private Placement</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 Agreement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April 22, 2020, we entered into a note payable agreement with Silicon Valley Bank as lender (the </w:t>
      </w:r>
      <w:r>
        <w:rPr>
          <w:rFonts w:ascii="Arial" w:cs="Arial" w:eastAsia="Arial" w:hAnsi="Arial"/>
          <w:sz w:val="16"/>
          <w:szCs w:val="16"/>
          <w:i w:val="1"/>
          <w:iCs w:val="1"/>
          <w:color w:val="auto"/>
        </w:rPr>
        <w:t>Lender</w:t>
      </w:r>
      <w:r>
        <w:rPr>
          <w:rFonts w:ascii="Arial" w:cs="Arial" w:eastAsia="Arial" w:hAnsi="Arial"/>
          <w:sz w:val="16"/>
          <w:szCs w:val="16"/>
          <w:color w:val="auto"/>
        </w:rPr>
        <w:t xml:space="preserve">) (the </w:t>
      </w:r>
      <w:r>
        <w:rPr>
          <w:rFonts w:ascii="Arial" w:cs="Arial" w:eastAsia="Arial" w:hAnsi="Arial"/>
          <w:sz w:val="16"/>
          <w:szCs w:val="16"/>
          <w:i w:val="1"/>
          <w:iCs w:val="1"/>
          <w:color w:val="auto"/>
        </w:rPr>
        <w:t>PPP Loan Agreement</w:t>
      </w:r>
      <w:r>
        <w:rPr>
          <w:rFonts w:ascii="Arial" w:cs="Arial" w:eastAsia="Arial" w:hAnsi="Arial"/>
          <w:sz w:val="16"/>
          <w:szCs w:val="16"/>
          <w:color w:val="auto"/>
        </w:rPr>
        <w:t>), pursuant to which we received net proceeds of approximately $224,000 from a potentially forgivable loan from the U. S. Small Business Administration (</w:t>
      </w:r>
      <w:r>
        <w:rPr>
          <w:rFonts w:ascii="Arial" w:cs="Arial" w:eastAsia="Arial" w:hAnsi="Arial"/>
          <w:sz w:val="16"/>
          <w:szCs w:val="16"/>
          <w:i w:val="1"/>
          <w:iCs w:val="1"/>
          <w:color w:val="auto"/>
        </w:rPr>
        <w:t>SBA</w:t>
      </w:r>
      <w:r>
        <w:rPr>
          <w:rFonts w:ascii="Arial" w:cs="Arial" w:eastAsia="Arial" w:hAnsi="Arial"/>
          <w:sz w:val="16"/>
          <w:szCs w:val="16"/>
          <w:color w:val="auto"/>
        </w:rPr>
        <w:t>) pursuant to the Paycheck Protection Program (</w:t>
      </w:r>
      <w:r>
        <w:rPr>
          <w:rFonts w:ascii="Arial" w:cs="Arial" w:eastAsia="Arial" w:hAnsi="Arial"/>
          <w:sz w:val="16"/>
          <w:szCs w:val="16"/>
          <w:i w:val="1"/>
          <w:iCs w:val="1"/>
          <w:color w:val="auto"/>
        </w:rPr>
        <w:t>PPP</w:t>
      </w:r>
      <w:r>
        <w:rPr>
          <w:rFonts w:ascii="Arial" w:cs="Arial" w:eastAsia="Arial" w:hAnsi="Arial"/>
          <w:sz w:val="16"/>
          <w:szCs w:val="16"/>
          <w:color w:val="auto"/>
        </w:rPr>
        <w:t xml:space="preserve">) enacted by Congress under the Coronavirus Aid, Relief, and Economic Security Act (the </w:t>
      </w:r>
      <w:r>
        <w:rPr>
          <w:rFonts w:ascii="Arial" w:cs="Arial" w:eastAsia="Arial" w:hAnsi="Arial"/>
          <w:sz w:val="16"/>
          <w:szCs w:val="16"/>
          <w:i w:val="1"/>
          <w:iCs w:val="1"/>
          <w:color w:val="auto"/>
        </w:rPr>
        <w:t>CARES Act</w:t>
      </w:r>
      <w:r>
        <w:rPr>
          <w:rFonts w:ascii="Arial" w:cs="Arial" w:eastAsia="Arial" w:hAnsi="Arial"/>
          <w:sz w:val="16"/>
          <w:szCs w:val="16"/>
          <w:color w:val="auto"/>
        </w:rPr>
        <w:t>) administered by the SBA (the “</w:t>
      </w:r>
      <w:r>
        <w:rPr>
          <w:rFonts w:ascii="Arial" w:cs="Arial" w:eastAsia="Arial" w:hAnsi="Arial"/>
          <w:sz w:val="16"/>
          <w:szCs w:val="16"/>
          <w:i w:val="1"/>
          <w:iCs w:val="1"/>
          <w:color w:val="auto"/>
        </w:rPr>
        <w:t>PPP Loan</w:t>
      </w:r>
      <w:r>
        <w:rPr>
          <w:rFonts w:ascii="Arial" w:cs="Arial" w:eastAsia="Arial" w:hAnsi="Arial"/>
          <w:sz w:val="16"/>
          <w:szCs w:val="16"/>
          <w:color w:val="auto"/>
        </w:rPr>
        <w:t>”). The PPP Loan provides for working capital to the Company and matures on April 22, 2022. Under the CARES Act and the PPP Loan Agreement, all payments of both principal and interest are deferred until at least October 22, 2020. The PPP Loan will accrue interest at a rate of 1.00% per annum, and interest will continue to accrue throughout the period the PPP Loan is outstanding, or until it is forgiven. The CARES Act (including subsequent guidance issued by SBA and U.S. Department of the Treasury related thereto) provides that all or a portion of the PPP Loan may be forgiven upon our request to the Lender, subject to requirements in the PPP Loan Agreement and the CARES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 for shares underlying warrants issued in Private Placements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 2020, we filed a registration statement on Form S-3 (Registration No. 333-237968) to register approximately 12.1 million shares of common stock underlying outstanding warrants that we had issued in earlier private placement offerings, including the Summer 2018 Private Placement, the Fall 2018 Private Placement, the Fall 2019 Private Placement, the Winter 2019 Warrant Offering, the January 2020 Warrants and the Spring 2020 Private Placement, as well as common stock underlying warrants that had been previously issued to various consultants as full or partial compensation for their services. We also registered approximately 0.8 million shares of unregistered outstanding common stock held by former holders of warrants who had exercised such warrants subsequent to the Winter 2019 Warrant Modification. Further, we registered the approximately 0.1 million shares of common stock issued in the Spring 2020 Private Placement. The SEC declared the registration statement effective on May 13, 2020. As a result of the effectiveness of this registration statement, the shares of common stock underlying essentially all of our outstanding warrants has been registered.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Sublicense Agreement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June 24, 2020, we entered into a strategic licensing and collaboration agreement for the clinical development and commercialization of PH94B with EverInsight Therapeutics Inc., a biopharmaceutical company focused on developing and commercializing transformative pharmaceutical products for patients in Greater China and other parts of Asia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Under the terms of the EverInsight Agreement, EverInsight will be responsible for clinical development, regulatory submissions and commercialization of PH94B for treatment of SAD, and potentially other anxiety-related indications, in markets in Greater China, South Korea and Southeast Asia. EverInsight will make a non-dilutive upfront payment of $5.0 million to us, and we are eligible to receive additional development and commercial milestone payments in the future, upon successful attainment of specific milestones. We expect to receive net cash proceeds of approximately $4.475 million, after sublicense and consulting payments which we are obligated to make pursuant to our PH94B license from</w:t>
      </w:r>
    </w:p>
    <w:p>
      <w:pPr>
        <w:sectPr>
          <w:pgSz w:w="11900" w:h="16838" w:orient="portrait"/>
          <w:cols w:equalWidth="0" w:num="1">
            <w:col w:w="11240"/>
          </w:cols>
          <w:pgMar w:left="320" w:top="131" w:right="339" w:bottom="0" w:gutter="0" w:footer="0" w:header="0"/>
        </w:sectPr>
      </w:pPr>
    </w:p>
    <w:bookmarkStart w:id="132" w:name="page133"/>
    <w:bookmarkEnd w:id="132"/>
    <w:p>
      <w:pPr>
        <w:spacing w:after="0" w:line="268" w:lineRule="auto"/>
        <w:rPr>
          <w:sz w:val="20"/>
          <w:szCs w:val="20"/>
          <w:color w:val="auto"/>
        </w:rPr>
      </w:pPr>
      <w:r>
        <w:rPr>
          <w:rFonts w:ascii="Arial" w:cs="Arial" w:eastAsia="Arial" w:hAnsi="Arial"/>
          <w:sz w:val="18"/>
          <w:szCs w:val="18"/>
          <w:color w:val="auto"/>
        </w:rPr>
        <w:t>Pherin and other consulting agreements. On June 24, 2020, we issued 233,645 unregistered shares of our common stock, valued at $125,000, as partial compensation to a consultant for services related to the EverInsight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3" w:name="page134"/>
    <w:bookmarkEnd w:id="133"/>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Information (Unaudited)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table presents the unaudited statements of operations data for each of the eight quarters in the period ended March 31, 2020.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6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02"/>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80"/>
              <w:spacing w:after="0" w:line="201" w:lineRule="exact"/>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7"/>
                <w:szCs w:val="17"/>
                <w:color w:val="auto"/>
              </w:rPr>
            </w:pPr>
          </w:p>
        </w:tc>
        <w:tc>
          <w:tcPr>
            <w:tcW w:w="126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7"/>
                <w:szCs w:val="17"/>
                <w:color w:val="auto"/>
              </w:rPr>
            </w:pPr>
          </w:p>
        </w:tc>
        <w:tc>
          <w:tcPr>
            <w:tcW w:w="1240" w:type="dxa"/>
            <w:vAlign w:val="bottom"/>
            <w:gridSpan w:val="3"/>
          </w:tcPr>
          <w:p>
            <w:pPr>
              <w:jc w:val="right"/>
              <w:ind w:right="180"/>
              <w:spacing w:after="0" w:line="20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52"/>
              <w:spacing w:after="0" w:line="201" w:lineRule="exact"/>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b w:val="1"/>
                <w:bCs w:val="1"/>
                <w:color w:val="auto"/>
                <w:w w:val="86"/>
              </w:rPr>
              <w:t>Fiscal Year</w:t>
            </w:r>
          </w:p>
        </w:tc>
      </w:tr>
      <w:tr>
        <w:trPr>
          <w:trHeight w:val="237"/>
        </w:trPr>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Pr>
          <w:p>
            <w:pPr>
              <w:spacing w:after="0"/>
              <w:rPr>
                <w:sz w:val="20"/>
                <w:szCs w:val="20"/>
                <w:color w:val="auto"/>
              </w:rPr>
            </w:pPr>
          </w:p>
        </w:tc>
      </w:tr>
      <w:tr>
        <w:trPr>
          <w:trHeight w:val="242"/>
        </w:trPr>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13,374</w:t>
            </w:r>
          </w:p>
        </w:tc>
      </w:tr>
      <w:tr>
        <w:trPr>
          <w:trHeight w:val="216"/>
        </w:trPr>
        <w:tc>
          <w:tcPr>
            <w:tcW w:w="45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7,427</w:t>
            </w:r>
          </w:p>
        </w:tc>
      </w:tr>
      <w:tr>
        <w:trPr>
          <w:trHeight w:val="27"/>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20,801</w:t>
            </w:r>
          </w:p>
        </w:tc>
      </w:tr>
      <w:tr>
        <w:trPr>
          <w:trHeight w:val="27"/>
        </w:trPr>
        <w:tc>
          <w:tcPr>
            <w:tcW w:w="45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(20,801)</w:t>
            </w:r>
          </w:p>
        </w:tc>
      </w:tr>
      <w:tr>
        <w:trPr>
          <w:trHeight w:val="216"/>
        </w:trPr>
        <w:tc>
          <w:tcPr>
            <w:tcW w:w="4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 expenses,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income (expense), net</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r>
      <w:tr>
        <w:trPr>
          <w:trHeight w:val="216"/>
        </w:trPr>
        <w:tc>
          <w:tcPr>
            <w:tcW w:w="4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(20,771)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7"/>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(20,774)</w:t>
            </w:r>
          </w:p>
        </w:tc>
      </w:tr>
      <w:tr>
        <w:trPr>
          <w:trHeight w:val="216"/>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dividend on Series B Preferred stock</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w:t>
            </w:r>
          </w:p>
        </w:tc>
      </w:tr>
      <w:tr>
        <w:trPr>
          <w:trHeight w:val="27"/>
        </w:trPr>
        <w:tc>
          <w:tcPr>
            <w:tcW w:w="45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(6,512)</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(5,650)</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(6,283)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(22,038)</w:t>
            </w: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4500" w:type="dxa"/>
            <w:vAlign w:val="bottom"/>
          </w:tcPr>
          <w:p>
            <w:pPr>
              <w:ind w:left="180"/>
              <w:spacing w:after="0"/>
              <w:rPr>
                <w:sz w:val="20"/>
                <w:szCs w:val="20"/>
                <w:color w:val="auto"/>
              </w:rPr>
            </w:pPr>
            <w:r>
              <w:rPr>
                <w:rFonts w:ascii="Arial" w:cs="Arial" w:eastAsia="Arial" w:hAnsi="Arial"/>
                <w:sz w:val="18"/>
                <w:szCs w:val="18"/>
                <w:color w:val="auto"/>
              </w:rPr>
              <w:t>attributable to common stockholders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r>
      <w:tr>
        <w:trPr>
          <w:trHeight w:val="22"/>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 average shares used in computing basic and diluted</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8"/>
        </w:trPr>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 per common share attributable to common</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5"/>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42,622,965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42,622,965</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43,158,889</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47,094,781</w:t>
            </w:r>
          </w:p>
        </w:tc>
        <w:tc>
          <w:tcPr>
            <w:tcW w:w="1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43,869,523</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02"/>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80"/>
              <w:spacing w:after="0" w:line="201" w:lineRule="exact"/>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7"/>
                <w:szCs w:val="17"/>
                <w:color w:val="auto"/>
              </w:rPr>
            </w:pPr>
          </w:p>
        </w:tc>
        <w:tc>
          <w:tcPr>
            <w:tcW w:w="126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17"/>
                <w:szCs w:val="17"/>
                <w:color w:val="auto"/>
              </w:rPr>
            </w:pPr>
          </w:p>
        </w:tc>
        <w:tc>
          <w:tcPr>
            <w:tcW w:w="1240" w:type="dxa"/>
            <w:vAlign w:val="bottom"/>
            <w:gridSpan w:val="3"/>
          </w:tcPr>
          <w:p>
            <w:pPr>
              <w:jc w:val="right"/>
              <w:ind w:right="180"/>
              <w:spacing w:after="0" w:line="20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52"/>
              <w:spacing w:after="0" w:line="201" w:lineRule="exact"/>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b w:val="1"/>
                <w:bCs w:val="1"/>
                <w:color w:val="auto"/>
                <w:w w:val="86"/>
              </w:rPr>
              <w:t>Fiscal Year</w:t>
            </w:r>
          </w:p>
        </w:tc>
      </w:tr>
      <w:tr>
        <w:trPr>
          <w:trHeight w:val="237"/>
        </w:trPr>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tcPr>
          <w:p>
            <w:pPr>
              <w:spacing w:after="0"/>
              <w:rPr>
                <w:sz w:val="20"/>
                <w:szCs w:val="20"/>
                <w:color w:val="auto"/>
              </w:rPr>
            </w:pPr>
          </w:p>
        </w:tc>
      </w:tr>
      <w:tr>
        <w:trPr>
          <w:trHeight w:val="242"/>
        </w:trPr>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17,098</w:t>
            </w: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7,458</w:t>
            </w:r>
          </w:p>
        </w:tc>
      </w:tr>
      <w:tr>
        <w:trPr>
          <w:trHeight w:val="27"/>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24,556</w:t>
            </w:r>
          </w:p>
        </w:tc>
      </w:tr>
      <w:tr>
        <w:trPr>
          <w:trHeight w:val="27"/>
        </w:trPr>
        <w:tc>
          <w:tcPr>
            <w:tcW w:w="45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(7,432)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(24,556)</w:t>
            </w:r>
          </w:p>
        </w:tc>
      </w:tr>
      <w:tr>
        <w:trPr>
          <w:trHeight w:val="216"/>
        </w:trPr>
        <w:tc>
          <w:tcPr>
            <w:tcW w:w="4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Other expenses,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Loss on extinguishment of accounts payable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4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(24,587)</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7"/>
        </w:trPr>
        <w:tc>
          <w:tcPr>
            <w:tcW w:w="45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(24,589)</w:t>
            </w:r>
          </w:p>
        </w:tc>
      </w:tr>
      <w:tr>
        <w:trPr>
          <w:trHeight w:val="216"/>
        </w:trPr>
        <w:tc>
          <w:tcPr>
            <w:tcW w:w="4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4500" w:type="dxa"/>
            <w:vAlign w:val="bottom"/>
          </w:tcPr>
          <w:p>
            <w:pPr>
              <w:ind w:left="380"/>
              <w:spacing w:after="0"/>
              <w:rPr>
                <w:sz w:val="20"/>
                <w:szCs w:val="20"/>
                <w:color w:val="auto"/>
              </w:rPr>
            </w:pPr>
            <w:r>
              <w:rPr>
                <w:rFonts w:ascii="Arial" w:cs="Arial" w:eastAsia="Arial" w:hAnsi="Arial"/>
                <w:sz w:val="18"/>
                <w:szCs w:val="18"/>
                <w:color w:val="auto"/>
              </w:rPr>
              <w:t>Accrued dividend on Series B Preferred stock</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(1,140)</w:t>
            </w:r>
          </w:p>
        </w:tc>
      </w:tr>
      <w:tr>
        <w:trPr>
          <w:trHeight w:val="216"/>
        </w:trPr>
        <w:tc>
          <w:tcPr>
            <w:tcW w:w="4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7"/>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(7,719)</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(25,729)</w:t>
            </w:r>
          </w:p>
        </w:tc>
      </w:tr>
      <w:tr>
        <w:trPr>
          <w:trHeight w:val="209"/>
        </w:trPr>
        <w:tc>
          <w:tcPr>
            <w:tcW w:w="4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6"/>
        </w:trPr>
        <w:tc>
          <w:tcPr>
            <w:tcW w:w="4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attributable to common stockholders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(0.90)</w:t>
            </w:r>
          </w:p>
        </w:tc>
      </w:tr>
      <w:tr>
        <w:trPr>
          <w:trHeight w:val="201"/>
        </w:trPr>
        <w:tc>
          <w:tcPr>
            <w:tcW w:w="4500" w:type="dxa"/>
            <w:vAlign w:val="bottom"/>
            <w:tcBorders>
              <w:top w:val="single" w:sz="8" w:color="CCEEFF"/>
            </w:tcBorders>
          </w:tcPr>
          <w:p>
            <w:pPr>
              <w:ind w:left="180"/>
              <w:spacing w:after="0" w:line="201" w:lineRule="exact"/>
              <w:rPr>
                <w:sz w:val="20"/>
                <w:szCs w:val="20"/>
                <w:color w:val="auto"/>
              </w:rPr>
            </w:pPr>
            <w:r>
              <w:rPr>
                <w:rFonts w:ascii="Arial" w:cs="Arial" w:eastAsia="Arial" w:hAnsi="Arial"/>
                <w:sz w:val="18"/>
                <w:szCs w:val="18"/>
                <w:color w:val="auto"/>
                <w:w w:val="86"/>
              </w:rPr>
              <w:t>Weighted average shares used in computing basic and diluted</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16"/>
        </w:trPr>
        <w:tc>
          <w:tcPr>
            <w:tcW w:w="4500" w:type="dxa"/>
            <w:vAlign w:val="bottom"/>
          </w:tcPr>
          <w:p>
            <w:pPr>
              <w:ind w:left="500"/>
              <w:spacing w:after="0"/>
              <w:rPr>
                <w:sz w:val="20"/>
                <w:szCs w:val="20"/>
                <w:color w:val="auto"/>
              </w:rPr>
            </w:pPr>
            <w:r>
              <w:rPr>
                <w:rFonts w:ascii="Arial" w:cs="Arial" w:eastAsia="Arial" w:hAnsi="Arial"/>
                <w:sz w:val="18"/>
                <w:szCs w:val="18"/>
                <w:color w:val="auto"/>
              </w:rPr>
              <w:t>net loss per comon share attributable to common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45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22,987,066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25,815,245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30,696,312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35,113,753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28,562,490</w:t>
            </w:r>
          </w:p>
        </w:tc>
      </w:tr>
      <w:tr>
        <w:trPr>
          <w:trHeight w:val="22"/>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type w:val="continuous"/>
        </w:sectPr>
      </w:pPr>
    </w:p>
    <w:bookmarkStart w:id="134" w:name="page135"/>
    <w:bookmarkEnd w:id="134"/>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As required by Rule 13a-15(b) under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and our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conducted an evaluation as of the end of the period covered by this Annual Report on Form 10-K, of the effectiveness of our disclosure controls and procedures as defined in Rules 13a-15(e) and 15d-15(e) under the Exchange Act. Based on that evaluation, our CEO and our CFO each concluded that our disclosure controls and procedures are effective to provide reasonable assurance that information required to be disclosed in the reports that we file or submit under the Exchange Act, (i) is recorded, processed, summarized and reported within the time periods specified in the Securities and Exchange Commission's rules and forms and (ii) is accumulated and communicated to our management, including our CEO and our CFO, as appropriate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Our internal control system is designed to provide reasonable assurance to our management and Board of Directors regarding the reliability of financial reporting and the preparation and fair presentation of financial statements for external purposes in accordance with U.S. generally accepted accounting principles.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Smaller reporting companies may face additional limitations in achieving control objectives. Smaller reporting companies typically employ fewer individuals who are often tasked with a wide range of responsibilities, making it difficult to segregate duties. Often, one or two individuals control many, or all, aspects of the smaller reporting company’s general and financial operations, placing such individual(s) in a position to override any system of internal control. Additionally, projections of an evaluation of current effectiveness to future periods are subject to the risk that controls may become inadequate because of changes in conditions, or that the degree of compliance with the controls may deteriorate.</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Management has assessed the effectiveness of our internal control over financial reporting for our fiscal year ended March 31, 2020. Management's assessment was based on criteria set forth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issued by the Committee of Sponsoring Organizations of the Treadway Commission (</w:t>
      </w:r>
      <w:r>
        <w:rPr>
          <w:rFonts w:ascii="Arial" w:cs="Arial" w:eastAsia="Arial" w:hAnsi="Arial"/>
          <w:sz w:val="16"/>
          <w:szCs w:val="16"/>
          <w:i w:val="1"/>
          <w:iCs w:val="1"/>
          <w:color w:val="auto"/>
        </w:rPr>
        <w:t>COSO</w:t>
      </w:r>
      <w:r>
        <w:rPr>
          <w:rFonts w:ascii="Arial" w:cs="Arial" w:eastAsia="Arial" w:hAnsi="Arial"/>
          <w:sz w:val="16"/>
          <w:szCs w:val="16"/>
          <w:color w:val="auto"/>
        </w:rPr>
        <w:t>). Based upon this assessment, management concluded that, as of March 31, 2020, our internal control over financial reporting was not effective, based upon those criteria, as a result of the material weaknesses identified below.</w:t>
      </w:r>
    </w:p>
    <w:p>
      <w:pPr>
        <w:spacing w:after="0" w:line="16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Specifically, management identified the following control weaknesses: (i) the size of the Company’s staff does not permit appropriate segregation of duties to</w:t>
      </w:r>
    </w:p>
    <w:p>
      <w:pPr>
        <w:spacing w:after="0" w:line="38" w:lineRule="exact"/>
        <w:rPr>
          <w:sz w:val="20"/>
          <w:szCs w:val="20"/>
          <w:color w:val="auto"/>
        </w:rPr>
      </w:pPr>
    </w:p>
    <w:p>
      <w:pPr>
        <w:jc w:val="both"/>
        <w:ind w:firstLine="8"/>
        <w:spacing w:after="0" w:line="288" w:lineRule="auto"/>
        <w:tabs>
          <w:tab w:leader="none" w:pos="256" w:val="left"/>
        </w:tabs>
        <w:numPr>
          <w:ilvl w:val="0"/>
          <w:numId w:val="56"/>
        </w:numPr>
        <w:rPr>
          <w:rFonts w:ascii="Arial" w:cs="Arial" w:eastAsia="Arial" w:hAnsi="Arial"/>
          <w:sz w:val="16"/>
          <w:szCs w:val="16"/>
          <w:color w:val="auto"/>
        </w:rPr>
      </w:pPr>
      <w:r>
        <w:rPr>
          <w:rFonts w:ascii="Arial" w:cs="Arial" w:eastAsia="Arial" w:hAnsi="Arial"/>
          <w:sz w:val="16"/>
          <w:szCs w:val="16"/>
          <w:color w:val="auto"/>
        </w:rPr>
        <w:t>permit appropriate review of accounting transactions and/or accounting treatment by multiple qualified individuals, and (b)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 trail of entries made in the accounting software. The Company does not believe that these control weaknesses have resulted in any deficient financial reporting because each of our CEO and CFO is aware of his responsibilities under the SEC's reporting requirements and personally certifies our financial reports. Further, the Company has implemented a series of manual checks and balances to verify that no previous reporting period has been improperly modified and that no unauthorized entries have been made in the current reporting period.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Accordingly, while the Company has identified certain material weaknesses in its system of internal control over financial reporting, it believes that it has taken reasonable and sufficient steps to ascertain that the financial information contained in this Annual Report is in accordance with U.S. generally accepted accounting principles. Management has determined that current resources would be more appropriately applied elsewhere and when resources permit, they will alleviate the material weaknesses through various steps, which may include the addition of qualified financial personnel and/or the acquisition and implementation of alternative accounting software.</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enactment of the Dodd-Frank Wall Street Reform and Consumer Protection Act of 2010, and the resulting amendment of Section 404 of the Sarbanes-Oxley Act of 2002, as a smaller reporting company, we are not required to provide an attestation report by our independent registered public accounting firm regarding internal control over financial reporting for the fiscal year ended March 31, 2020 or thereafter, until such time as we are no longer eligible for the exemption for smaller issuers set forth within the Sarbanes-Oxley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35" w:name="page136"/>
    <w:bookmarkEnd w:id="135"/>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which we intend to file with the Securities and Exchange Commission on or before July 29, 2020 pursuant to General Instruction G(3) of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which we intend to file with the Securities and Exchange Commission on or before July 29, 2020 pursuant to General Instruction G(3) of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which we intend to file with the Securities and Exchange Commission on or before July 29, 2020 pursuant to General Instruction G(3) of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which we intend to file with the Securities and Exchange Commission on or before July 29, 2020 pursuant to General Instruction G(3) of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which we intend to file with the Securities and Exchange Commission on or before July 29, 2020 pursuant to General Instruction G(3) of Form 10-K.</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6" w:name="page137"/>
    <w:bookmarkEnd w:id="136"/>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under Item 8 on page 90.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Consolidated Financial Statement Schedules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Exhibit Index below are filed or incorporated by reference as part of this report.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left="220"/>
        <w:spacing w:after="0"/>
        <w:tabs>
          <w:tab w:leader="none" w:pos="12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5"/>
          <w:szCs w:val="15"/>
          <w:u w:val="single" w:color="auto"/>
          <w:color w:val="auto"/>
        </w:rPr>
        <w:t>Description</w:t>
      </w:r>
    </w:p>
    <w:p>
      <w:pPr>
        <w:spacing w:after="0" w:line="15" w:lineRule="exact"/>
        <w:rPr>
          <w:sz w:val="20"/>
          <w:szCs w:val="20"/>
          <w:color w:val="auto"/>
        </w:rPr>
      </w:pPr>
    </w:p>
    <w:p>
      <w:pPr>
        <w:ind w:left="520"/>
        <w:spacing w:after="0"/>
        <w:tabs>
          <w:tab w:leader="none" w:pos="1240" w:val="left"/>
        </w:tabs>
        <w:rPr>
          <w:rFonts w:ascii="Arial" w:cs="Arial" w:eastAsia="Arial" w:hAnsi="Arial"/>
          <w:sz w:val="18"/>
          <w:szCs w:val="18"/>
          <w:color w:val="0000EE"/>
        </w:rPr>
      </w:pPr>
      <w:hyperlink r:id="rId151">
        <w:r>
          <w:rPr>
            <w:rFonts w:ascii="Arial" w:cs="Arial" w:eastAsia="Arial" w:hAnsi="Arial"/>
            <w:sz w:val="18"/>
            <w:szCs w:val="18"/>
            <w:u w:val="single" w:color="auto"/>
            <w:color w:val="0000EE"/>
          </w:rPr>
          <w:t>2.1*</w:t>
        </w:r>
      </w:hyperlink>
      <w:r>
        <w:rPr>
          <w:rFonts w:ascii="Arial" w:cs="Arial" w:eastAsia="Arial" w:hAnsi="Arial"/>
          <w:sz w:val="18"/>
          <w:szCs w:val="18"/>
          <w:color w:val="0000EE"/>
        </w:rPr>
        <w:tab/>
      </w:r>
      <w:r>
        <w:rPr>
          <w:rFonts w:ascii="Arial" w:cs="Arial" w:eastAsia="Arial" w:hAnsi="Arial"/>
          <w:sz w:val="15"/>
          <w:szCs w:val="15"/>
          <w:color w:val="0000EE"/>
        </w:rPr>
        <w:t>Agreement and Plan of Merger by and among Excaliber Enterprises, Ltd., VistaGen Therapeutics, Inc. and Excaliber Merger Subsidiary,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both"/>
        <w:ind w:left="1260" w:hanging="730"/>
        <w:spacing w:after="0" w:line="250" w:lineRule="auto"/>
        <w:tabs>
          <w:tab w:leader="none" w:pos="1240" w:val="left"/>
        </w:tabs>
        <w:rPr>
          <w:rFonts w:ascii="Arial" w:cs="Arial" w:eastAsia="Arial" w:hAnsi="Arial"/>
          <w:sz w:val="18"/>
          <w:szCs w:val="18"/>
          <w:color w:val="0000EE"/>
        </w:rPr>
      </w:pPr>
      <w:hyperlink r:id="rId153">
        <w:r>
          <w:rPr>
            <w:rFonts w:ascii="Arial" w:cs="Arial" w:eastAsia="Arial" w:hAnsi="Arial"/>
            <w:sz w:val="18"/>
            <w:szCs w:val="18"/>
            <w:u w:val="single" w:color="auto"/>
            <w:color w:val="0000EE"/>
          </w:rPr>
          <w:t>3.4</w:t>
        </w:r>
      </w:hyperlink>
      <w:r>
        <w:rPr>
          <w:rFonts w:ascii="Arial" w:cs="Arial" w:eastAsia="Arial" w:hAnsi="Arial"/>
          <w:sz w:val="18"/>
          <w:szCs w:val="18"/>
          <w:color w:val="0000EE"/>
        </w:rPr>
        <w:tab/>
        <w:t>Articles of Merger filed with the Nevada Secretary of State on May 24, 2011, incorporated by reference from Exhibit 3.1 to the Company’s Current Report on Form 8-K filed on May 31, 2011.</w:t>
      </w:r>
    </w:p>
    <w:p>
      <w:pPr>
        <w:spacing w:after="0" w:line="1" w:lineRule="exact"/>
        <w:rPr>
          <w:sz w:val="20"/>
          <w:szCs w:val="20"/>
          <w:color w:val="auto"/>
        </w:rPr>
      </w:pPr>
    </w:p>
    <w:p>
      <w:pPr>
        <w:jc w:val="both"/>
        <w:ind w:left="1260" w:hanging="730"/>
        <w:spacing w:after="0" w:line="250" w:lineRule="auto"/>
        <w:tabs>
          <w:tab w:leader="none" w:pos="1240" w:val="left"/>
        </w:tabs>
        <w:rPr>
          <w:rFonts w:ascii="Arial" w:cs="Arial" w:eastAsia="Arial" w:hAnsi="Arial"/>
          <w:sz w:val="18"/>
          <w:szCs w:val="18"/>
          <w:color w:val="0000EE"/>
        </w:rPr>
      </w:pPr>
      <w:hyperlink r:id="rId154">
        <w:r>
          <w:rPr>
            <w:rFonts w:ascii="Arial" w:cs="Arial" w:eastAsia="Arial" w:hAnsi="Arial"/>
            <w:sz w:val="18"/>
            <w:szCs w:val="18"/>
            <w:u w:val="single" w:color="auto"/>
            <w:color w:val="0000EE"/>
          </w:rPr>
          <w:t>3.5</w:t>
        </w:r>
      </w:hyperlink>
      <w:r>
        <w:rPr>
          <w:rFonts w:ascii="Arial" w:cs="Arial" w:eastAsia="Arial" w:hAnsi="Arial"/>
          <w:sz w:val="18"/>
          <w:szCs w:val="18"/>
          <w:color w:val="0000EE"/>
        </w:rPr>
        <w:tab/>
        <w:t>Certificate of Designations Series A Preferred, incorporated by reference from Exhibit 3.1 to the Company’s Current Report on Form 8-K filed on December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right="20" w:hanging="730"/>
        <w:spacing w:after="0" w:line="250" w:lineRule="auto"/>
        <w:tabs>
          <w:tab w:leader="none" w:pos="1240" w:val="left"/>
        </w:tabs>
        <w:rPr>
          <w:rFonts w:ascii="Arial" w:cs="Arial" w:eastAsia="Arial" w:hAnsi="Arial"/>
          <w:sz w:val="18"/>
          <w:szCs w:val="18"/>
          <w:color w:val="0000EE"/>
        </w:rPr>
      </w:pPr>
      <w:hyperlink r:id="rId156">
        <w:r>
          <w:rPr>
            <w:rFonts w:ascii="Arial" w:cs="Arial" w:eastAsia="Arial" w:hAnsi="Arial"/>
            <w:sz w:val="18"/>
            <w:szCs w:val="18"/>
            <w:u w:val="single" w:color="auto"/>
            <w:color w:val="0000EE"/>
          </w:rPr>
          <w:t>3.6</w:t>
        </w:r>
      </w:hyperlink>
      <w:r>
        <w:rPr>
          <w:rFonts w:ascii="Arial" w:cs="Arial" w:eastAsia="Arial" w:hAnsi="Arial"/>
          <w:sz w:val="18"/>
          <w:szCs w:val="18"/>
          <w:color w:val="0000EE"/>
        </w:rPr>
        <w:tab/>
        <w:t>Certificate of Change filed with the Nevada Secretary of State on August 11, 2014 incorporated by reference from Exhibit 3.1 to the Company’s Current Report on Form 8-K filed on August 14, 2014.</w:t>
      </w:r>
    </w:p>
    <w:p>
      <w:pPr>
        <w:spacing w:after="0" w:line="1" w:lineRule="exact"/>
        <w:rPr>
          <w:sz w:val="20"/>
          <w:szCs w:val="20"/>
          <w:color w:val="auto"/>
        </w:rPr>
      </w:pPr>
    </w:p>
    <w:p>
      <w:pPr>
        <w:jc w:val="both"/>
        <w:ind w:left="1260" w:hanging="730"/>
        <w:spacing w:after="0" w:line="250" w:lineRule="auto"/>
        <w:tabs>
          <w:tab w:leader="none" w:pos="1240" w:val="left"/>
        </w:tabs>
        <w:rPr>
          <w:rFonts w:ascii="Arial" w:cs="Arial" w:eastAsia="Arial" w:hAnsi="Arial"/>
          <w:sz w:val="18"/>
          <w:szCs w:val="18"/>
          <w:color w:val="0000EE"/>
        </w:rPr>
      </w:pPr>
      <w:hyperlink r:id="rId157">
        <w:r>
          <w:rPr>
            <w:rFonts w:ascii="Arial" w:cs="Arial" w:eastAsia="Arial" w:hAnsi="Arial"/>
            <w:sz w:val="18"/>
            <w:szCs w:val="18"/>
            <w:u w:val="single" w:color="auto"/>
            <w:color w:val="0000EE"/>
          </w:rPr>
          <w:t>3.7</w:t>
        </w:r>
      </w:hyperlink>
      <w:r>
        <w:rPr>
          <w:rFonts w:ascii="Arial" w:cs="Arial" w:eastAsia="Arial" w:hAnsi="Arial"/>
          <w:sz w:val="18"/>
          <w:szCs w:val="18"/>
          <w:color w:val="0000EE"/>
        </w:rPr>
        <w:tab/>
        <w:t>Certificate of Designation of the Relative Rights and Preferences of the Series B 10% Convertible Preferred Stock of VistaGen Therapeutics, Inc., filed with the Nevada Secretary of State on May 7, 2015, incorporated by reference from Exhibit 3.1 to the Company’s Current Report on Form 8-K filed on May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730"/>
        <w:spacing w:after="0" w:line="281" w:lineRule="auto"/>
        <w:tabs>
          <w:tab w:leader="none" w:pos="1240" w:val="left"/>
        </w:tabs>
        <w:rPr>
          <w:rFonts w:ascii="Arial" w:cs="Arial" w:eastAsia="Arial" w:hAnsi="Arial"/>
          <w:sz w:val="18"/>
          <w:szCs w:val="18"/>
          <w:color w:val="0000EE"/>
        </w:rPr>
      </w:pPr>
      <w:hyperlink r:id="rId159">
        <w:r>
          <w:rPr>
            <w:rFonts w:ascii="Arial" w:cs="Arial" w:eastAsia="Arial" w:hAnsi="Arial"/>
            <w:sz w:val="18"/>
            <w:szCs w:val="18"/>
            <w:u w:val="single" w:color="auto"/>
            <w:color w:val="0000EE"/>
          </w:rPr>
          <w:t>3.9</w:t>
        </w:r>
      </w:hyperlink>
      <w:r>
        <w:rPr>
          <w:rFonts w:ascii="Arial" w:cs="Arial" w:eastAsia="Arial" w:hAnsi="Arial"/>
          <w:sz w:val="18"/>
          <w:szCs w:val="18"/>
          <w:color w:val="0000EE"/>
        </w:rPr>
        <w:tab/>
      </w:r>
      <w:r>
        <w:rPr>
          <w:rFonts w:ascii="Arial" w:cs="Arial" w:eastAsia="Arial" w:hAnsi="Arial"/>
          <w:sz w:val="16"/>
          <w:szCs w:val="16"/>
          <w:color w:val="0000EE"/>
        </w:rPr>
        <w:t>Certificate of Designation of the Relative Rights and Preferences of the Series C Convertible Preferred Stock of VistaGen Therapeutics, Inc., dated January 25, 2016, incorporated by reference from Exhibit 3.1 to the Company’s Current Report on Form 8-K filed on January 29, 2016.</w:t>
      </w:r>
    </w:p>
    <w:p>
      <w:pPr>
        <w:spacing w:after="0" w:line="1" w:lineRule="exact"/>
        <w:rPr>
          <w:sz w:val="20"/>
          <w:szCs w:val="20"/>
          <w:color w:val="auto"/>
        </w:rPr>
      </w:pPr>
    </w:p>
    <w:p>
      <w:pPr>
        <w:ind w:left="1260" w:hanging="774"/>
        <w:spacing w:after="0" w:line="250" w:lineRule="auto"/>
        <w:tabs>
          <w:tab w:leader="none" w:pos="1240" w:val="left"/>
        </w:tabs>
        <w:rPr>
          <w:rFonts w:ascii="Arial" w:cs="Arial" w:eastAsia="Arial" w:hAnsi="Arial"/>
          <w:sz w:val="18"/>
          <w:szCs w:val="18"/>
          <w:color w:val="0000EE"/>
        </w:rPr>
      </w:pPr>
      <w:hyperlink r:id="rId160">
        <w:r>
          <w:rPr>
            <w:rFonts w:ascii="Arial" w:cs="Arial" w:eastAsia="Arial" w:hAnsi="Arial"/>
            <w:sz w:val="18"/>
            <w:szCs w:val="18"/>
            <w:u w:val="single" w:color="auto"/>
            <w:color w:val="0000EE"/>
          </w:rPr>
          <w:t>3.10</w:t>
        </w:r>
      </w:hyperlink>
      <w:r>
        <w:rPr>
          <w:rFonts w:ascii="Arial" w:cs="Arial" w:eastAsia="Arial" w:hAnsi="Arial"/>
          <w:sz w:val="18"/>
          <w:szCs w:val="18"/>
          <w:color w:val="0000EE"/>
        </w:rPr>
        <w:tab/>
        <w:t>Restated Articles of Incorporation of VistaGen Therapeutics, Inc., dated August 16, 2016, incorporated by reference from Exhibit 3.1 to the Company’s Current Report on Form 8-K, filed on August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770"/>
        <w:spacing w:after="0" w:line="250" w:lineRule="auto"/>
        <w:tabs>
          <w:tab w:leader="none" w:pos="1240" w:val="left"/>
        </w:tabs>
        <w:rPr>
          <w:rFonts w:ascii="Arial" w:cs="Arial" w:eastAsia="Arial" w:hAnsi="Arial"/>
          <w:sz w:val="18"/>
          <w:szCs w:val="18"/>
          <w:color w:val="0000EE"/>
        </w:rPr>
      </w:pPr>
      <w:hyperlink r:id="rId162">
        <w:r>
          <w:rPr>
            <w:rFonts w:ascii="Arial" w:cs="Arial" w:eastAsia="Arial" w:hAnsi="Arial"/>
            <w:sz w:val="18"/>
            <w:szCs w:val="18"/>
            <w:u w:val="single" w:color="auto"/>
            <w:color w:val="0000EE"/>
          </w:rPr>
          <w:t>3.11</w:t>
        </w:r>
      </w:hyperlink>
      <w:r>
        <w:rPr>
          <w:rFonts w:ascii="Arial" w:cs="Arial" w:eastAsia="Arial" w:hAnsi="Arial"/>
          <w:sz w:val="18"/>
          <w:szCs w:val="18"/>
          <w:color w:val="0000EE"/>
        </w:rPr>
        <w:tab/>
        <w:t>Second Amended and Restated Bylaws of VistaGen Therapeutics, Inc., dated August 16, 2016, incorporated by reference from Exhibit 3.2 to the Company’s Current Report on Form 8-K, filed on August 16, 2016.</w:t>
      </w:r>
    </w:p>
    <w:p>
      <w:pPr>
        <w:spacing w:after="0" w:line="1" w:lineRule="exact"/>
        <w:rPr>
          <w:sz w:val="20"/>
          <w:szCs w:val="20"/>
          <w:color w:val="auto"/>
        </w:rPr>
      </w:pPr>
    </w:p>
    <w:p>
      <w:pPr>
        <w:ind w:left="1260" w:hanging="774"/>
        <w:spacing w:after="0" w:line="281" w:lineRule="auto"/>
        <w:tabs>
          <w:tab w:leader="none" w:pos="1240" w:val="left"/>
        </w:tabs>
        <w:rPr>
          <w:rFonts w:ascii="Arial" w:cs="Arial" w:eastAsia="Arial" w:hAnsi="Arial"/>
          <w:sz w:val="18"/>
          <w:szCs w:val="18"/>
          <w:color w:val="0000EE"/>
        </w:rPr>
      </w:pPr>
      <w:hyperlink r:id="rId163">
        <w:r>
          <w:rPr>
            <w:rFonts w:ascii="Arial" w:cs="Arial" w:eastAsia="Arial" w:hAnsi="Arial"/>
            <w:sz w:val="18"/>
            <w:szCs w:val="18"/>
            <w:u w:val="single" w:color="auto"/>
            <w:color w:val="0000EE"/>
          </w:rPr>
          <w:t>3.12</w:t>
        </w:r>
      </w:hyperlink>
      <w:r>
        <w:rPr>
          <w:rFonts w:ascii="Arial" w:cs="Arial" w:eastAsia="Arial" w:hAnsi="Arial"/>
          <w:sz w:val="18"/>
          <w:szCs w:val="18"/>
          <w:color w:val="0000EE"/>
        </w:rPr>
        <w:tab/>
      </w:r>
      <w:r>
        <w:rPr>
          <w:rFonts w:ascii="Arial" w:cs="Arial" w:eastAsia="Arial" w:hAnsi="Arial"/>
          <w:sz w:val="16"/>
          <w:szCs w:val="16"/>
          <w:color w:val="0000EE"/>
        </w:rPr>
        <w:t>Certificate of Amendment to the Restated and Amended Articles of Incorporation of VistaGen Therapeutics, Inc., dated September 15, 2017; incorporated by reference from Exhibit 3.1 to the Company’s Current Report on Form 8-K, filed on September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right="20" w:hanging="774"/>
        <w:spacing w:after="0" w:line="281" w:lineRule="auto"/>
        <w:tabs>
          <w:tab w:leader="none" w:pos="1240" w:val="left"/>
        </w:tabs>
        <w:rPr>
          <w:rFonts w:ascii="Arial" w:cs="Arial" w:eastAsia="Arial" w:hAnsi="Arial"/>
          <w:sz w:val="18"/>
          <w:szCs w:val="18"/>
          <w:color w:val="0000EE"/>
        </w:rPr>
      </w:pPr>
      <w:hyperlink r:id="rId165">
        <w:r>
          <w:rPr>
            <w:rFonts w:ascii="Arial" w:cs="Arial" w:eastAsia="Arial" w:hAnsi="Arial"/>
            <w:sz w:val="18"/>
            <w:szCs w:val="18"/>
            <w:u w:val="single" w:color="auto"/>
            <w:color w:val="0000EE"/>
          </w:rPr>
          <w:t>3.13</w:t>
        </w:r>
      </w:hyperlink>
      <w:r>
        <w:rPr>
          <w:rFonts w:ascii="Arial" w:cs="Arial" w:eastAsia="Arial" w:hAnsi="Arial"/>
          <w:sz w:val="18"/>
          <w:szCs w:val="18"/>
          <w:color w:val="0000EE"/>
        </w:rPr>
        <w:tab/>
      </w:r>
      <w:r>
        <w:rPr>
          <w:rFonts w:ascii="Arial" w:cs="Arial" w:eastAsia="Arial" w:hAnsi="Arial"/>
          <w:sz w:val="16"/>
          <w:szCs w:val="16"/>
          <w:color w:val="0000EE"/>
        </w:rPr>
        <w:t>Certificate of Amendment to the Restated and Amended Articles of Incorporation, as amended, of VistaGen Therapeutics, Inc., dated September 6 ,2019; incorporated by reference from Exhibit 3.1 to the Company’s Current Report on Form 8-K, filed on September 6, 2019.</w:t>
      </w:r>
    </w:p>
    <w:p>
      <w:pPr>
        <w:spacing w:after="0" w:line="1" w:lineRule="exact"/>
        <w:rPr>
          <w:sz w:val="20"/>
          <w:szCs w:val="20"/>
          <w:color w:val="auto"/>
        </w:rPr>
      </w:pPr>
    </w:p>
    <w:p>
      <w:pPr>
        <w:ind w:left="380"/>
        <w:spacing w:after="0"/>
        <w:tabs>
          <w:tab w:leader="none" w:pos="1240" w:val="left"/>
        </w:tabs>
        <w:rPr>
          <w:rFonts w:ascii="Arial" w:cs="Arial" w:eastAsia="Arial" w:hAnsi="Arial"/>
          <w:sz w:val="18"/>
          <w:szCs w:val="18"/>
          <w:color w:val="0000EE"/>
        </w:rPr>
      </w:pPr>
      <w:hyperlink r:id="rId166">
        <w:r>
          <w:rPr>
            <w:rFonts w:ascii="Arial" w:cs="Arial" w:eastAsia="Arial" w:hAnsi="Arial"/>
            <w:sz w:val="18"/>
            <w:szCs w:val="18"/>
            <w:u w:val="single" w:color="auto"/>
            <w:color w:val="0000EE"/>
          </w:rPr>
          <w:t>10.22*</w:t>
        </w:r>
      </w:hyperlink>
      <w:r>
        <w:rPr>
          <w:rFonts w:ascii="Arial" w:cs="Arial" w:eastAsia="Arial" w:hAnsi="Arial"/>
          <w:sz w:val="18"/>
          <w:szCs w:val="18"/>
          <w:color w:val="0000EE"/>
        </w:rPr>
        <w:tab/>
      </w:r>
      <w:r>
        <w:rPr>
          <w:rFonts w:ascii="Arial" w:cs="Arial" w:eastAsia="Arial" w:hAnsi="Arial"/>
          <w:sz w:val="16"/>
          <w:szCs w:val="16"/>
          <w:color w:val="0000EE"/>
        </w:rPr>
        <w:t>License Agreement by and between Mount Sinai School of Medicine of New York University and the Company, dated October 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861"/>
        <w:spacing w:after="0" w:line="250" w:lineRule="auto"/>
        <w:tabs>
          <w:tab w:leader="none" w:pos="1240" w:val="left"/>
        </w:tabs>
        <w:rPr>
          <w:rFonts w:ascii="Arial" w:cs="Arial" w:eastAsia="Arial" w:hAnsi="Arial"/>
          <w:sz w:val="18"/>
          <w:szCs w:val="18"/>
          <w:color w:val="0000EE"/>
        </w:rPr>
      </w:pPr>
      <w:hyperlink r:id="rId168">
        <w:r>
          <w:rPr>
            <w:rFonts w:ascii="Arial" w:cs="Arial" w:eastAsia="Arial" w:hAnsi="Arial"/>
            <w:sz w:val="18"/>
            <w:szCs w:val="18"/>
            <w:u w:val="single" w:color="auto"/>
            <w:color w:val="0000EE"/>
          </w:rPr>
          <w:t>10.26*</w:t>
        </w:r>
      </w:hyperlink>
      <w:r>
        <w:rPr>
          <w:rFonts w:ascii="Arial" w:cs="Arial" w:eastAsia="Arial" w:hAnsi="Arial"/>
          <w:sz w:val="18"/>
          <w:szCs w:val="18"/>
          <w:color w:val="0000EE"/>
        </w:rPr>
        <w:tab/>
        <w:t>License Agreement, dated October 24, 2001, by and between the University of Maryland, Baltimore, Cornell Research Foundation and Artemis Neuroscience, Inc.</w:t>
      </w:r>
    </w:p>
    <w:p>
      <w:pPr>
        <w:spacing w:after="0" w:line="1" w:lineRule="exact"/>
        <w:rPr>
          <w:sz w:val="20"/>
          <w:szCs w:val="20"/>
          <w:color w:val="auto"/>
        </w:rPr>
      </w:pPr>
    </w:p>
    <w:p>
      <w:pPr>
        <w:ind w:left="380"/>
        <w:spacing w:after="0"/>
        <w:tabs>
          <w:tab w:leader="none" w:pos="1240" w:val="left"/>
        </w:tabs>
        <w:rPr>
          <w:rFonts w:ascii="Arial" w:cs="Arial" w:eastAsia="Arial" w:hAnsi="Arial"/>
          <w:sz w:val="18"/>
          <w:szCs w:val="18"/>
          <w:color w:val="0000EE"/>
        </w:rPr>
      </w:pPr>
      <w:hyperlink r:id="rId169">
        <w:r>
          <w:rPr>
            <w:rFonts w:ascii="Arial" w:cs="Arial" w:eastAsia="Arial" w:hAnsi="Arial"/>
            <w:sz w:val="18"/>
            <w:szCs w:val="18"/>
            <w:u w:val="single" w:color="auto"/>
            <w:color w:val="0000EE"/>
          </w:rPr>
          <w:t>10.40*</w:t>
        </w:r>
      </w:hyperlink>
      <w:r>
        <w:rPr>
          <w:rFonts w:ascii="Arial" w:cs="Arial" w:eastAsia="Arial" w:hAnsi="Arial"/>
          <w:sz w:val="18"/>
          <w:szCs w:val="18"/>
          <w:color w:val="0000EE"/>
        </w:rPr>
        <w:tab/>
      </w:r>
      <w:r>
        <w:rPr>
          <w:rFonts w:ascii="Arial" w:cs="Arial" w:eastAsia="Arial" w:hAnsi="Arial"/>
          <w:sz w:val="15"/>
          <w:szCs w:val="15"/>
          <w:color w:val="0000EE"/>
        </w:rPr>
        <w:t>Employment Agreement, by and between, VistaGen and Shawn K. Singh, dated April 28, 2010, as amended May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spacing w:after="0"/>
        <w:tabs>
          <w:tab w:leader="none" w:pos="1240" w:val="left"/>
        </w:tabs>
        <w:rPr>
          <w:rFonts w:ascii="Arial" w:cs="Arial" w:eastAsia="Arial" w:hAnsi="Arial"/>
          <w:sz w:val="18"/>
          <w:szCs w:val="18"/>
          <w:color w:val="0000EE"/>
        </w:rPr>
      </w:pPr>
      <w:hyperlink r:id="rId171">
        <w:r>
          <w:rPr>
            <w:rFonts w:ascii="Arial" w:cs="Arial" w:eastAsia="Arial" w:hAnsi="Arial"/>
            <w:sz w:val="18"/>
            <w:szCs w:val="18"/>
            <w:u w:val="single" w:color="auto"/>
            <w:color w:val="0000EE"/>
          </w:rPr>
          <w:t>10.41*</w:t>
        </w:r>
      </w:hyperlink>
      <w:r>
        <w:rPr>
          <w:rFonts w:ascii="Arial" w:cs="Arial" w:eastAsia="Arial" w:hAnsi="Arial"/>
          <w:sz w:val="18"/>
          <w:szCs w:val="18"/>
          <w:color w:val="0000EE"/>
        </w:rPr>
        <w:tab/>
      </w:r>
      <w:r>
        <w:rPr>
          <w:rFonts w:ascii="Arial" w:cs="Arial" w:eastAsia="Arial" w:hAnsi="Arial"/>
          <w:sz w:val="15"/>
          <w:szCs w:val="15"/>
          <w:color w:val="0000EE"/>
        </w:rPr>
        <w:t>Employment Agreement, by and between, VistaGen and H. Ralph Snodgrass, PhD, dated April 28, 2010, as amended May 9, 2011.</w:t>
      </w:r>
    </w:p>
    <w:p>
      <w:pPr>
        <w:spacing w:after="0" w:line="9" w:lineRule="exact"/>
        <w:rPr>
          <w:sz w:val="20"/>
          <w:szCs w:val="20"/>
          <w:color w:val="auto"/>
        </w:rPr>
      </w:pPr>
    </w:p>
    <w:p>
      <w:pPr>
        <w:jc w:val="both"/>
        <w:ind w:left="1260" w:right="20" w:hanging="817"/>
        <w:spacing w:after="0" w:line="250" w:lineRule="auto"/>
        <w:tabs>
          <w:tab w:leader="none" w:pos="1240" w:val="left"/>
        </w:tabs>
        <w:rPr>
          <w:rFonts w:ascii="Arial" w:cs="Arial" w:eastAsia="Arial" w:hAnsi="Arial"/>
          <w:sz w:val="18"/>
          <w:szCs w:val="18"/>
          <w:color w:val="0000EE"/>
        </w:rPr>
      </w:pPr>
      <w:hyperlink r:id="rId172">
        <w:r>
          <w:rPr>
            <w:rFonts w:ascii="Arial" w:cs="Arial" w:eastAsia="Arial" w:hAnsi="Arial"/>
            <w:sz w:val="18"/>
            <w:szCs w:val="18"/>
            <w:u w:val="single" w:color="auto"/>
            <w:color w:val="0000EE"/>
          </w:rPr>
          <w:t>10.49</w:t>
        </w:r>
      </w:hyperlink>
      <w:r>
        <w:rPr>
          <w:rFonts w:ascii="Arial" w:cs="Arial" w:eastAsia="Arial" w:hAnsi="Arial"/>
          <w:sz w:val="18"/>
          <w:szCs w:val="18"/>
          <w:color w:val="0000EE"/>
        </w:rPr>
        <w:tab/>
        <w:t>License Agreement No. 1, dated as of October 24, 2011 between University Health Network and VistaGen Therapeutics, Inc., incorporated by reference from Exhibit 10.1 to the Company’s Current Report on Form 8-K filed on November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hanging="817"/>
        <w:spacing w:after="0" w:line="250" w:lineRule="auto"/>
        <w:tabs>
          <w:tab w:leader="none" w:pos="1240" w:val="left"/>
        </w:tabs>
        <w:rPr>
          <w:rFonts w:ascii="Arial" w:cs="Arial" w:eastAsia="Arial" w:hAnsi="Arial"/>
          <w:sz w:val="18"/>
          <w:szCs w:val="18"/>
          <w:color w:val="0000EE"/>
        </w:rPr>
      </w:pPr>
      <w:hyperlink r:id="rId174">
        <w:r>
          <w:rPr>
            <w:rFonts w:ascii="Arial" w:cs="Arial" w:eastAsia="Arial" w:hAnsi="Arial"/>
            <w:sz w:val="18"/>
            <w:szCs w:val="18"/>
            <w:u w:val="single" w:color="auto"/>
            <w:color w:val="0000EE"/>
          </w:rPr>
          <w:t>10.57</w:t>
        </w:r>
      </w:hyperlink>
      <w:r>
        <w:rPr>
          <w:rFonts w:ascii="Arial" w:cs="Arial" w:eastAsia="Arial" w:hAnsi="Arial"/>
          <w:sz w:val="18"/>
          <w:szCs w:val="18"/>
          <w:color w:val="0000EE"/>
        </w:rPr>
        <w:tab/>
        <w:t>License Agreement No. 2, dated as of March 19, 2012 between University Health Network and VistaGen Therapeutics, Inc., incorporated by reference from Exhibit 10.57 to the Company’s Annual Report on Form 10-K filed on July 2, 2012.</w:t>
      </w:r>
    </w:p>
    <w:p>
      <w:pPr>
        <w:spacing w:after="0" w:line="1" w:lineRule="exact"/>
        <w:rPr>
          <w:sz w:val="20"/>
          <w:szCs w:val="20"/>
          <w:color w:val="auto"/>
        </w:rPr>
      </w:pPr>
    </w:p>
    <w:p>
      <w:pPr>
        <w:jc w:val="both"/>
        <w:ind w:left="1260" w:hanging="817"/>
        <w:spacing w:after="0" w:line="281" w:lineRule="auto"/>
        <w:tabs>
          <w:tab w:leader="none" w:pos="1240" w:val="left"/>
        </w:tabs>
        <w:rPr>
          <w:rFonts w:ascii="Arial" w:cs="Arial" w:eastAsia="Arial" w:hAnsi="Arial"/>
          <w:sz w:val="18"/>
          <w:szCs w:val="18"/>
          <w:color w:val="0000EE"/>
        </w:rPr>
      </w:pPr>
      <w:hyperlink r:id="rId175">
        <w:r>
          <w:rPr>
            <w:rFonts w:ascii="Arial" w:cs="Arial" w:eastAsia="Arial" w:hAnsi="Arial"/>
            <w:sz w:val="18"/>
            <w:szCs w:val="18"/>
            <w:u w:val="single" w:color="auto"/>
            <w:color w:val="0000EE"/>
          </w:rPr>
          <w:t>10.67</w:t>
        </w:r>
      </w:hyperlink>
      <w:r>
        <w:rPr>
          <w:rFonts w:ascii="Arial" w:cs="Arial" w:eastAsia="Arial" w:hAnsi="Arial"/>
          <w:sz w:val="18"/>
          <w:szCs w:val="18"/>
          <w:color w:val="0000EE"/>
        </w:rPr>
        <w:tab/>
      </w:r>
      <w:r>
        <w:rPr>
          <w:rFonts w:ascii="Arial" w:cs="Arial" w:eastAsia="Arial" w:hAnsi="Arial"/>
          <w:sz w:val="16"/>
          <w:szCs w:val="16"/>
          <w:color w:val="0000EE"/>
        </w:rPr>
        <w:t>Note Exchange and Purchase Agreement dated as of October 11, 2012 by and between VistaGen Therapeutics, Inc. and Platinum Long Term Growth VII, LLP, incorporated by reference from Exhibit 10.1 to the Company’s Current Report on Form 8-K filed on October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hanging="817"/>
        <w:spacing w:after="0" w:line="255" w:lineRule="auto"/>
        <w:tabs>
          <w:tab w:leader="none" w:pos="1240" w:val="left"/>
        </w:tabs>
        <w:rPr>
          <w:rFonts w:ascii="Arial" w:cs="Arial" w:eastAsia="Arial" w:hAnsi="Arial"/>
          <w:sz w:val="18"/>
          <w:szCs w:val="18"/>
          <w:color w:val="0000EE"/>
        </w:rPr>
      </w:pPr>
      <w:hyperlink r:id="rId177">
        <w:r>
          <w:rPr>
            <w:rFonts w:ascii="Arial" w:cs="Arial" w:eastAsia="Arial" w:hAnsi="Arial"/>
            <w:sz w:val="18"/>
            <w:szCs w:val="18"/>
            <w:u w:val="single" w:color="auto"/>
            <w:color w:val="0000EE"/>
          </w:rPr>
          <w:t>10.73</w:t>
        </w:r>
      </w:hyperlink>
      <w:r>
        <w:rPr>
          <w:rFonts w:ascii="Arial" w:cs="Arial" w:eastAsia="Arial" w:hAnsi="Arial"/>
          <w:sz w:val="18"/>
          <w:szCs w:val="18"/>
          <w:color w:val="0000EE"/>
        </w:rPr>
        <w:tab/>
        <w:t>Amendment to Note Exchange and Purchase Agreement as of November 14, 2012 between VistaGen Therapeutics Inc. and Platinum Long Term Growth VII, LLP, incorporated by reference from Exhibit 10.1 to the Company’s Current Report on Form 8-K filed on November 20, 2012.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7" w:name="page138"/>
    <w:bookmarkEnd w:id="137"/>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1260" w:hanging="817"/>
        <w:spacing w:after="0" w:line="252" w:lineRule="auto"/>
        <w:tabs>
          <w:tab w:leader="none" w:pos="1240" w:val="left"/>
        </w:tabs>
        <w:rPr>
          <w:rFonts w:ascii="Arial" w:cs="Arial" w:eastAsia="Arial" w:hAnsi="Arial"/>
          <w:sz w:val="18"/>
          <w:szCs w:val="18"/>
          <w:color w:val="0000EE"/>
        </w:rPr>
      </w:pPr>
      <w:hyperlink r:id="rId179">
        <w:r>
          <w:rPr>
            <w:rFonts w:ascii="Arial" w:cs="Arial" w:eastAsia="Arial" w:hAnsi="Arial"/>
            <w:sz w:val="18"/>
            <w:szCs w:val="18"/>
            <w:u w:val="single" w:color="auto"/>
            <w:color w:val="0000EE"/>
          </w:rPr>
          <w:t>10.75</w:t>
        </w:r>
      </w:hyperlink>
      <w:r>
        <w:rPr>
          <w:rFonts w:ascii="Arial" w:cs="Arial" w:eastAsia="Arial" w:hAnsi="Arial"/>
          <w:sz w:val="18"/>
          <w:szCs w:val="18"/>
          <w:color w:val="0000EE"/>
        </w:rPr>
        <w:tab/>
        <w:t>Amendment No. 2 to Note Exchange and Purchase Agreement as of January 31, 2013 between VistaGen Therapeutics Inc. and Platinum Long Term Growth VII, LLP, incorporated by reference from Exhibit 10.1 to the Company’s Quarterly Report on Form 10-Q filed on February 14,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411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1260" w:hanging="817"/>
        <w:spacing w:after="0" w:line="250" w:lineRule="auto"/>
        <w:tabs>
          <w:tab w:leader="none" w:pos="1240" w:val="left"/>
        </w:tabs>
        <w:rPr>
          <w:rFonts w:ascii="Arial" w:cs="Arial" w:eastAsia="Arial" w:hAnsi="Arial"/>
          <w:sz w:val="18"/>
          <w:szCs w:val="18"/>
          <w:color w:val="0000EE"/>
        </w:rPr>
      </w:pPr>
      <w:hyperlink r:id="rId181">
        <w:r>
          <w:rPr>
            <w:rFonts w:ascii="Arial" w:cs="Arial" w:eastAsia="Arial" w:hAnsi="Arial"/>
            <w:sz w:val="18"/>
            <w:szCs w:val="18"/>
            <w:u w:val="single" w:color="auto"/>
            <w:color w:val="0000EE"/>
          </w:rPr>
          <w:t>10.76</w:t>
        </w:r>
      </w:hyperlink>
      <w:r>
        <w:rPr>
          <w:rFonts w:ascii="Arial" w:cs="Arial" w:eastAsia="Arial" w:hAnsi="Arial"/>
          <w:sz w:val="18"/>
          <w:szCs w:val="18"/>
          <w:color w:val="0000EE"/>
        </w:rPr>
        <w:tab/>
        <w:t>Amendment No. 3 to Note Exchange and Purchase Agreement as of February 22, 2013 between VistaGen Therapeutics Inc. and Platinum Long Term Growth VII, LLP, incorporated by reference from Exhibit 10.1 to the Company’s Current Report on Form 8-K filed on February 28, 2013.</w:t>
      </w:r>
    </w:p>
    <w:p>
      <w:pPr>
        <w:spacing w:after="0" w:line="1" w:lineRule="exact"/>
        <w:rPr>
          <w:sz w:val="20"/>
          <w:szCs w:val="20"/>
          <w:color w:val="auto"/>
        </w:rPr>
      </w:pPr>
    </w:p>
    <w:p>
      <w:pPr>
        <w:jc w:val="both"/>
        <w:ind w:left="1260" w:hanging="817"/>
        <w:spacing w:after="0" w:line="281" w:lineRule="auto"/>
        <w:tabs>
          <w:tab w:leader="none" w:pos="1240" w:val="left"/>
        </w:tabs>
        <w:rPr>
          <w:rFonts w:ascii="Arial" w:cs="Arial" w:eastAsia="Arial" w:hAnsi="Arial"/>
          <w:sz w:val="18"/>
          <w:szCs w:val="18"/>
          <w:color w:val="0000EE"/>
        </w:rPr>
      </w:pPr>
      <w:hyperlink r:id="rId182">
        <w:r>
          <w:rPr>
            <w:rFonts w:ascii="Arial" w:cs="Arial" w:eastAsia="Arial" w:hAnsi="Arial"/>
            <w:sz w:val="18"/>
            <w:szCs w:val="18"/>
            <w:u w:val="single" w:color="auto"/>
            <w:color w:val="0000EE"/>
          </w:rPr>
          <w:t>10.77</w:t>
        </w:r>
      </w:hyperlink>
      <w:r>
        <w:rPr>
          <w:rFonts w:ascii="Arial" w:cs="Arial" w:eastAsia="Arial" w:hAnsi="Arial"/>
          <w:sz w:val="18"/>
          <w:szCs w:val="18"/>
          <w:color w:val="0000EE"/>
        </w:rPr>
        <w:tab/>
      </w:r>
      <w:r>
        <w:rPr>
          <w:rFonts w:ascii="Arial" w:cs="Arial" w:eastAsia="Arial" w:hAnsi="Arial"/>
          <w:sz w:val="16"/>
          <w:szCs w:val="16"/>
          <w:color w:val="0000EE"/>
        </w:rPr>
        <w:t>Form of Warrant to Purchase Common Stock issued to independent members of the Company’s Board of Directors and its executive officers on March 3, 2013, incorporated by reference from Exhibit 10.1 to the Company’s Current Report on Form 8-K filed on March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right="20" w:hanging="817"/>
        <w:spacing w:after="0" w:line="250" w:lineRule="auto"/>
        <w:tabs>
          <w:tab w:leader="none" w:pos="1240" w:val="left"/>
        </w:tabs>
        <w:rPr>
          <w:rFonts w:ascii="Arial" w:cs="Arial" w:eastAsia="Arial" w:hAnsi="Arial"/>
          <w:sz w:val="18"/>
          <w:szCs w:val="18"/>
          <w:color w:val="0000EE"/>
        </w:rPr>
      </w:pPr>
      <w:hyperlink r:id="rId184">
        <w:r>
          <w:rPr>
            <w:rFonts w:ascii="Arial" w:cs="Arial" w:eastAsia="Arial" w:hAnsi="Arial"/>
            <w:sz w:val="18"/>
            <w:szCs w:val="18"/>
            <w:u w:val="single" w:color="auto"/>
            <w:color w:val="0000EE"/>
          </w:rPr>
          <w:t>10.83</w:t>
        </w:r>
      </w:hyperlink>
      <w:r>
        <w:rPr>
          <w:rFonts w:ascii="Arial" w:cs="Arial" w:eastAsia="Arial" w:hAnsi="Arial"/>
          <w:sz w:val="18"/>
          <w:szCs w:val="18"/>
          <w:color w:val="0000EE"/>
        </w:rPr>
        <w:tab/>
        <w:t>Lease between Bayside Area Development, LLC and VistaGen Therapeutics, Inc. (California) dated April 24, 2013, incorporated by reference from Exhibit 10.83 to the Company’s Annual Report on Form 10-K filed July 18, 2013.</w:t>
      </w:r>
    </w:p>
    <w:p>
      <w:pPr>
        <w:spacing w:after="0" w:line="1" w:lineRule="exact"/>
        <w:rPr>
          <w:sz w:val="20"/>
          <w:szCs w:val="20"/>
          <w:color w:val="auto"/>
        </w:rPr>
      </w:pPr>
    </w:p>
    <w:p>
      <w:pPr>
        <w:jc w:val="both"/>
        <w:ind w:left="1260" w:hanging="817"/>
        <w:spacing w:after="0" w:line="250" w:lineRule="auto"/>
        <w:tabs>
          <w:tab w:leader="none" w:pos="1240" w:val="left"/>
        </w:tabs>
        <w:rPr>
          <w:rFonts w:ascii="Arial" w:cs="Arial" w:eastAsia="Arial" w:hAnsi="Arial"/>
          <w:sz w:val="18"/>
          <w:szCs w:val="18"/>
          <w:color w:val="0000EE"/>
        </w:rPr>
      </w:pPr>
      <w:hyperlink r:id="rId185">
        <w:r>
          <w:rPr>
            <w:rFonts w:ascii="Arial" w:cs="Arial" w:eastAsia="Arial" w:hAnsi="Arial"/>
            <w:sz w:val="18"/>
            <w:szCs w:val="18"/>
            <w:u w:val="single" w:color="auto"/>
            <w:color w:val="0000EE"/>
          </w:rPr>
          <w:t>10.84</w:t>
        </w:r>
      </w:hyperlink>
      <w:r>
        <w:rPr>
          <w:rFonts w:ascii="Arial" w:cs="Arial" w:eastAsia="Arial" w:hAnsi="Arial"/>
          <w:sz w:val="18"/>
          <w:szCs w:val="18"/>
          <w:color w:val="0000EE"/>
        </w:rPr>
        <w:tab/>
        <w:t>Indemnification Agreement effective May 20, 2013 between the Company and Jon S. Saxe, incorporated by reference from Exhibit 10.84 to the Company’s Annual Report on Form 10-K filed on 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hanging="817"/>
        <w:spacing w:after="0" w:line="250" w:lineRule="auto"/>
        <w:tabs>
          <w:tab w:leader="none" w:pos="1240" w:val="left"/>
        </w:tabs>
        <w:rPr>
          <w:rFonts w:ascii="Arial" w:cs="Arial" w:eastAsia="Arial" w:hAnsi="Arial"/>
          <w:sz w:val="18"/>
          <w:szCs w:val="18"/>
          <w:color w:val="0000EE"/>
        </w:rPr>
      </w:pPr>
      <w:hyperlink r:id="rId187">
        <w:r>
          <w:rPr>
            <w:rFonts w:ascii="Arial" w:cs="Arial" w:eastAsia="Arial" w:hAnsi="Arial"/>
            <w:sz w:val="18"/>
            <w:szCs w:val="18"/>
            <w:u w:val="single" w:color="auto"/>
            <w:color w:val="0000EE"/>
          </w:rPr>
          <w:t>10.85</w:t>
        </w:r>
      </w:hyperlink>
      <w:r>
        <w:rPr>
          <w:rFonts w:ascii="Arial" w:cs="Arial" w:eastAsia="Arial" w:hAnsi="Arial"/>
          <w:sz w:val="18"/>
          <w:szCs w:val="18"/>
          <w:color w:val="0000EE"/>
        </w:rPr>
        <w:tab/>
        <w:t>Indemnification Agreement effective May 20, 2013 between the Company and Shawn K. Singh, incorporated by reference from Exhibit 10.85 to the Company’s Annual Report on Form 10-K filed on July 18, 2013.</w:t>
      </w:r>
    </w:p>
    <w:p>
      <w:pPr>
        <w:spacing w:after="0" w:line="1" w:lineRule="exact"/>
        <w:rPr>
          <w:sz w:val="20"/>
          <w:szCs w:val="20"/>
          <w:color w:val="auto"/>
        </w:rPr>
      </w:pPr>
    </w:p>
    <w:p>
      <w:pPr>
        <w:ind w:left="440"/>
        <w:spacing w:after="0"/>
        <w:tabs>
          <w:tab w:leader="none" w:pos="1240" w:val="left"/>
        </w:tabs>
        <w:rPr>
          <w:rFonts w:ascii="Arial" w:cs="Arial" w:eastAsia="Arial" w:hAnsi="Arial"/>
          <w:sz w:val="18"/>
          <w:szCs w:val="18"/>
          <w:color w:val="0000EE"/>
        </w:rPr>
      </w:pPr>
      <w:hyperlink r:id="rId188">
        <w:r>
          <w:rPr>
            <w:rFonts w:ascii="Arial" w:cs="Arial" w:eastAsia="Arial" w:hAnsi="Arial"/>
            <w:sz w:val="18"/>
            <w:szCs w:val="18"/>
            <w:u w:val="single" w:color="auto"/>
            <w:color w:val="0000EE"/>
          </w:rPr>
          <w:t>10.86</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H. Ralph Snodgrass,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10.86 to the Company’s Annual Report on Form 10-K filed on July 18, 2013.</w:t>
      </w:r>
    </w:p>
    <w:p>
      <w:pPr>
        <w:spacing w:after="0" w:line="9" w:lineRule="exact"/>
        <w:rPr>
          <w:sz w:val="20"/>
          <w:szCs w:val="20"/>
          <w:color w:val="auto"/>
        </w:rPr>
      </w:pPr>
    </w:p>
    <w:p>
      <w:pPr>
        <w:ind w:left="440"/>
        <w:spacing w:after="0"/>
        <w:tabs>
          <w:tab w:leader="none" w:pos="1240" w:val="left"/>
        </w:tabs>
        <w:rPr>
          <w:rFonts w:ascii="Arial" w:cs="Arial" w:eastAsia="Arial" w:hAnsi="Arial"/>
          <w:sz w:val="18"/>
          <w:szCs w:val="18"/>
          <w:color w:val="0000EE"/>
        </w:rPr>
      </w:pPr>
      <w:hyperlink r:id="rId190">
        <w:r>
          <w:rPr>
            <w:rFonts w:ascii="Arial" w:cs="Arial" w:eastAsia="Arial" w:hAnsi="Arial"/>
            <w:sz w:val="18"/>
            <w:szCs w:val="18"/>
            <w:u w:val="single" w:color="auto"/>
            <w:color w:val="0000EE"/>
          </w:rPr>
          <w:t>10.87</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Brian J. Underdown, incorporated by reference from Exhibit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10.87 to the Company’s Annual Report on Form 10-K filed on July 18, 2013.</w:t>
      </w:r>
    </w:p>
    <w:p>
      <w:pPr>
        <w:spacing w:after="0" w:line="9" w:lineRule="exact"/>
        <w:rPr>
          <w:sz w:val="20"/>
          <w:szCs w:val="20"/>
          <w:color w:val="auto"/>
        </w:rPr>
      </w:pPr>
    </w:p>
    <w:p>
      <w:pPr>
        <w:ind w:left="440"/>
        <w:spacing w:after="0"/>
        <w:tabs>
          <w:tab w:leader="none" w:pos="1240" w:val="left"/>
        </w:tabs>
        <w:rPr>
          <w:rFonts w:ascii="Arial" w:cs="Arial" w:eastAsia="Arial" w:hAnsi="Arial"/>
          <w:sz w:val="18"/>
          <w:szCs w:val="18"/>
          <w:color w:val="0000EE"/>
        </w:rPr>
      </w:pPr>
      <w:hyperlink r:id="rId191">
        <w:r>
          <w:rPr>
            <w:rFonts w:ascii="Arial" w:cs="Arial" w:eastAsia="Arial" w:hAnsi="Arial"/>
            <w:sz w:val="18"/>
            <w:szCs w:val="18"/>
            <w:u w:val="single" w:color="auto"/>
            <w:color w:val="0000EE"/>
          </w:rPr>
          <w:t>10.88</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May 20, 2013 between the Company and Jerrold D. Dotson, incorporated by reference from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10.88 to the Company’s Annual Report on Form 10-K filed on July 18, 2013.</w:t>
      </w:r>
    </w:p>
    <w:p>
      <w:pPr>
        <w:spacing w:after="0" w:line="9" w:lineRule="exact"/>
        <w:rPr>
          <w:sz w:val="20"/>
          <w:szCs w:val="20"/>
          <w:color w:val="auto"/>
        </w:rPr>
      </w:pPr>
    </w:p>
    <w:p>
      <w:pPr>
        <w:jc w:val="both"/>
        <w:ind w:left="1260" w:hanging="855"/>
        <w:spacing w:after="0" w:line="250" w:lineRule="auto"/>
        <w:tabs>
          <w:tab w:leader="none" w:pos="1240" w:val="left"/>
        </w:tabs>
        <w:rPr>
          <w:rFonts w:ascii="Arial" w:cs="Arial" w:eastAsia="Arial" w:hAnsi="Arial"/>
          <w:sz w:val="18"/>
          <w:szCs w:val="18"/>
          <w:color w:val="0000EE"/>
        </w:rPr>
      </w:pPr>
      <w:hyperlink r:id="rId193">
        <w:r>
          <w:rPr>
            <w:rFonts w:ascii="Arial" w:cs="Arial" w:eastAsia="Arial" w:hAnsi="Arial"/>
            <w:sz w:val="18"/>
            <w:szCs w:val="18"/>
            <w:u w:val="single" w:color="auto"/>
            <w:color w:val="0000EE"/>
          </w:rPr>
          <w:t>10.111</w:t>
        </w:r>
      </w:hyperlink>
      <w:r>
        <w:rPr>
          <w:rFonts w:ascii="Arial" w:cs="Arial" w:eastAsia="Arial" w:hAnsi="Arial"/>
          <w:sz w:val="18"/>
          <w:szCs w:val="18"/>
          <w:color w:val="0000EE"/>
        </w:rPr>
        <w:tab/>
        <w:t>Exchange Agreement, by and between VistaGen Therapeutics, Inc., and Platinum Long Term Growth VII, LLC and Montsant Partners, LLC, dated January 25, 2016, incorporated by reference from Exhibit 10.1 to the Company’s Current Report on Form 8-K filed on January 29, 2016.</w:t>
      </w:r>
    </w:p>
    <w:p>
      <w:pPr>
        <w:spacing w:after="0" w:line="1" w:lineRule="exact"/>
        <w:rPr>
          <w:sz w:val="20"/>
          <w:szCs w:val="20"/>
          <w:color w:val="auto"/>
        </w:rPr>
      </w:pPr>
    </w:p>
    <w:p>
      <w:pPr>
        <w:jc w:val="both"/>
        <w:ind w:left="1260" w:hanging="858"/>
        <w:spacing w:after="0" w:line="250" w:lineRule="auto"/>
        <w:tabs>
          <w:tab w:leader="none" w:pos="1240" w:val="left"/>
        </w:tabs>
        <w:rPr>
          <w:rFonts w:ascii="Arial" w:cs="Arial" w:eastAsia="Arial" w:hAnsi="Arial"/>
          <w:sz w:val="18"/>
          <w:szCs w:val="18"/>
          <w:color w:val="0000EE"/>
        </w:rPr>
      </w:pPr>
      <w:hyperlink r:id="rId194">
        <w:r>
          <w:rPr>
            <w:rFonts w:ascii="Arial" w:cs="Arial" w:eastAsia="Arial" w:hAnsi="Arial"/>
            <w:sz w:val="18"/>
            <w:szCs w:val="18"/>
            <w:u w:val="single" w:color="auto"/>
            <w:color w:val="0000EE"/>
          </w:rPr>
          <w:t>10.112</w:t>
        </w:r>
      </w:hyperlink>
      <w:r>
        <w:rPr>
          <w:rFonts w:ascii="Arial" w:cs="Arial" w:eastAsia="Arial" w:hAnsi="Arial"/>
          <w:sz w:val="18"/>
          <w:szCs w:val="18"/>
          <w:color w:val="0000EE"/>
        </w:rPr>
        <w:tab/>
        <w:t>Indemnification Agreement effective April 8, 2016 between the Company and Jerry B. Gin, incorporated by reference from Exhibit 10.112 to the Company’s Annual Report on Form 10-K filed on June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1260" w:hanging="858"/>
        <w:spacing w:after="0" w:line="250" w:lineRule="auto"/>
        <w:tabs>
          <w:tab w:leader="none" w:pos="1240" w:val="left"/>
        </w:tabs>
        <w:rPr>
          <w:rFonts w:ascii="Arial" w:cs="Arial" w:eastAsia="Arial" w:hAnsi="Arial"/>
          <w:sz w:val="18"/>
          <w:szCs w:val="18"/>
          <w:color w:val="0000EE"/>
        </w:rPr>
      </w:pPr>
      <w:hyperlink r:id="rId196">
        <w:r>
          <w:rPr>
            <w:rFonts w:ascii="Arial" w:cs="Arial" w:eastAsia="Arial" w:hAnsi="Arial"/>
            <w:sz w:val="18"/>
            <w:szCs w:val="18"/>
            <w:u w:val="single" w:color="auto"/>
            <w:color w:val="0000EE"/>
          </w:rPr>
          <w:t>10.113</w:t>
        </w:r>
      </w:hyperlink>
      <w:r>
        <w:rPr>
          <w:rFonts w:ascii="Arial" w:cs="Arial" w:eastAsia="Arial" w:hAnsi="Arial"/>
          <w:sz w:val="18"/>
          <w:szCs w:val="18"/>
          <w:color w:val="0000EE"/>
        </w:rPr>
        <w:tab/>
        <w:t>Underwriting Agreement, by and between Chardan Capital Markets, LLC and WallachBeth Capital, LLC, as representatives of the several underwriters, and VistaGen Therapeutics, Inc., dated May 10, 2016, incorporated by reference from Exhibit 1.1 to the Company’s Current Report on Form 8-K filed on May 16, 2016.</w:t>
      </w:r>
    </w:p>
    <w:p>
      <w:pPr>
        <w:spacing w:after="0" w:line="1" w:lineRule="exact"/>
        <w:rPr>
          <w:sz w:val="20"/>
          <w:szCs w:val="20"/>
          <w:color w:val="auto"/>
        </w:rPr>
      </w:pPr>
    </w:p>
    <w:p>
      <w:pPr>
        <w:jc w:val="both"/>
        <w:ind w:left="1260" w:hanging="858"/>
        <w:spacing w:after="0" w:line="250" w:lineRule="auto"/>
        <w:tabs>
          <w:tab w:leader="none" w:pos="1240" w:val="left"/>
        </w:tabs>
        <w:rPr>
          <w:rFonts w:ascii="Arial" w:cs="Arial" w:eastAsia="Arial" w:hAnsi="Arial"/>
          <w:sz w:val="18"/>
          <w:szCs w:val="18"/>
          <w:color w:val="0000EE"/>
        </w:rPr>
      </w:pPr>
      <w:hyperlink r:id="rId197">
        <w:r>
          <w:rPr>
            <w:rFonts w:ascii="Arial" w:cs="Arial" w:eastAsia="Arial" w:hAnsi="Arial"/>
            <w:sz w:val="18"/>
            <w:szCs w:val="18"/>
            <w:u w:val="single" w:color="auto"/>
            <w:color w:val="0000EE"/>
          </w:rPr>
          <w:t>10.114</w:t>
        </w:r>
      </w:hyperlink>
      <w:r>
        <w:rPr>
          <w:rFonts w:ascii="Arial" w:cs="Arial" w:eastAsia="Arial" w:hAnsi="Arial"/>
          <w:sz w:val="18"/>
          <w:szCs w:val="18"/>
          <w:color w:val="0000EE"/>
        </w:rPr>
        <w:tab/>
        <w:t>Warrant Agency Agreement, by and between Computershare, Inc. and VistaGen Therapeutics, Inc., dated May 16, 2016, incorporated by reference from Exhibit 4.1 to the Company’s Current Report on Form 8-K filed on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400"/>
        <w:spacing w:after="0"/>
        <w:tabs>
          <w:tab w:leader="none" w:pos="1240" w:val="left"/>
        </w:tabs>
        <w:rPr>
          <w:rFonts w:ascii="Arial" w:cs="Arial" w:eastAsia="Arial" w:hAnsi="Arial"/>
          <w:sz w:val="18"/>
          <w:szCs w:val="18"/>
          <w:color w:val="0000EE"/>
        </w:rPr>
      </w:pPr>
      <w:hyperlink r:id="rId199">
        <w:r>
          <w:rPr>
            <w:rFonts w:ascii="Arial" w:cs="Arial" w:eastAsia="Arial" w:hAnsi="Arial"/>
            <w:sz w:val="18"/>
            <w:szCs w:val="18"/>
            <w:u w:val="single" w:color="auto"/>
            <w:color w:val="0000EE"/>
          </w:rPr>
          <w:t>10.115</w:t>
        </w:r>
      </w:hyperlink>
      <w:r>
        <w:rPr>
          <w:rFonts w:ascii="Arial" w:cs="Arial" w:eastAsia="Arial" w:hAnsi="Arial"/>
          <w:sz w:val="18"/>
          <w:szCs w:val="18"/>
          <w:color w:val="0000EE"/>
        </w:rPr>
        <w:tab/>
      </w:r>
      <w:r>
        <w:rPr>
          <w:rFonts w:ascii="Arial" w:cs="Arial" w:eastAsia="Arial" w:hAnsi="Arial"/>
          <w:sz w:val="16"/>
          <w:szCs w:val="16"/>
          <w:color w:val="0000EE"/>
        </w:rPr>
        <w:t>Form of Warrant; incorporated by reference from Exhibit 4.2 to the Company’s Current Report on Form 8-K filed on May 16, 2016.</w:t>
      </w:r>
    </w:p>
    <w:p>
      <w:pPr>
        <w:spacing w:after="0" w:line="9" w:lineRule="exact"/>
        <w:rPr>
          <w:sz w:val="20"/>
          <w:szCs w:val="20"/>
          <w:color w:val="auto"/>
        </w:rPr>
      </w:pPr>
    </w:p>
    <w:p>
      <w:pPr>
        <w:jc w:val="both"/>
        <w:ind w:left="1260" w:hanging="858"/>
        <w:spacing w:after="0" w:line="281" w:lineRule="auto"/>
        <w:tabs>
          <w:tab w:leader="none" w:pos="1240" w:val="left"/>
        </w:tabs>
        <w:rPr>
          <w:rFonts w:ascii="Arial" w:cs="Arial" w:eastAsia="Arial" w:hAnsi="Arial"/>
          <w:sz w:val="18"/>
          <w:szCs w:val="18"/>
          <w:color w:val="0000EE"/>
        </w:rPr>
      </w:pPr>
      <w:hyperlink r:id="rId200">
        <w:r>
          <w:rPr>
            <w:rFonts w:ascii="Arial" w:cs="Arial" w:eastAsia="Arial" w:hAnsi="Arial"/>
            <w:sz w:val="18"/>
            <w:szCs w:val="18"/>
            <w:u w:val="single" w:color="auto"/>
            <w:color w:val="0000EE"/>
          </w:rPr>
          <w:t>10.116</w:t>
        </w:r>
      </w:hyperlink>
      <w:r>
        <w:rPr>
          <w:rFonts w:ascii="Arial" w:cs="Arial" w:eastAsia="Arial" w:hAnsi="Arial"/>
          <w:sz w:val="18"/>
          <w:szCs w:val="18"/>
          <w:color w:val="0000EE"/>
        </w:rPr>
        <w:tab/>
      </w:r>
      <w:r>
        <w:rPr>
          <w:rFonts w:ascii="Arial" w:cs="Arial" w:eastAsia="Arial" w:hAnsi="Arial"/>
          <w:sz w:val="16"/>
          <w:szCs w:val="16"/>
          <w:color w:val="0000EE"/>
        </w:rPr>
        <w:t>Second Amendment to Employment Agreement by and between VistaGen Therapeutics, Inc. and Shawn K. Singh, dated June 22, 2016, incorporated by reference from Exhibit 10.116 to the Company’s Annual Report on Form 10-K filed on June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400"/>
        <w:spacing w:after="0"/>
        <w:tabs>
          <w:tab w:leader="none" w:pos="1240" w:val="left"/>
        </w:tabs>
        <w:rPr>
          <w:rFonts w:ascii="Arial" w:cs="Arial" w:eastAsia="Arial" w:hAnsi="Arial"/>
          <w:sz w:val="18"/>
          <w:szCs w:val="18"/>
          <w:color w:val="0000EE"/>
        </w:rPr>
      </w:pPr>
      <w:hyperlink r:id="rId202">
        <w:r>
          <w:rPr>
            <w:rFonts w:ascii="Arial" w:cs="Arial" w:eastAsia="Arial" w:hAnsi="Arial"/>
            <w:sz w:val="18"/>
            <w:szCs w:val="18"/>
            <w:u w:val="single" w:color="auto"/>
            <w:color w:val="0000EE"/>
          </w:rPr>
          <w:t>10.117</w:t>
        </w:r>
      </w:hyperlink>
      <w:r>
        <w:rPr>
          <w:rFonts w:ascii="Arial" w:cs="Arial" w:eastAsia="Arial" w:hAnsi="Arial"/>
          <w:sz w:val="18"/>
          <w:szCs w:val="18"/>
          <w:color w:val="0000EE"/>
        </w:rPr>
        <w:tab/>
      </w:r>
      <w:r>
        <w:rPr>
          <w:rFonts w:ascii="Arial" w:cs="Arial" w:eastAsia="Arial" w:hAnsi="Arial"/>
          <w:sz w:val="15"/>
          <w:szCs w:val="15"/>
          <w:color w:val="0000EE"/>
        </w:rPr>
        <w:t>Second Amendment to Employment Agreement by and between VistaGen Therapeutics, Inc. and H. Ralph Snodgrass, Ph.D., dated June 22,</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2016, incorporated by reference from Exhibit 10.117 to the Company’s Annual Report on Form 10-K filed on June 24, 2016.</w:t>
      </w:r>
    </w:p>
    <w:p>
      <w:pPr>
        <w:spacing w:after="0" w:line="9" w:lineRule="exact"/>
        <w:rPr>
          <w:sz w:val="20"/>
          <w:szCs w:val="20"/>
          <w:color w:val="auto"/>
        </w:rPr>
      </w:pPr>
    </w:p>
    <w:p>
      <w:pPr>
        <w:jc w:val="both"/>
        <w:ind w:left="1260" w:right="20" w:hanging="858"/>
        <w:spacing w:after="0" w:line="250" w:lineRule="auto"/>
        <w:tabs>
          <w:tab w:leader="none" w:pos="1240" w:val="left"/>
        </w:tabs>
        <w:rPr>
          <w:rFonts w:ascii="Arial" w:cs="Arial" w:eastAsia="Arial" w:hAnsi="Arial"/>
          <w:sz w:val="18"/>
          <w:szCs w:val="18"/>
          <w:color w:val="0000EE"/>
        </w:rPr>
      </w:pPr>
      <w:hyperlink r:id="rId203">
        <w:r>
          <w:rPr>
            <w:rFonts w:ascii="Arial" w:cs="Arial" w:eastAsia="Arial" w:hAnsi="Arial"/>
            <w:sz w:val="18"/>
            <w:szCs w:val="18"/>
            <w:u w:val="single" w:color="auto"/>
            <w:color w:val="0000EE"/>
          </w:rPr>
          <w:t>10.118</w:t>
        </w:r>
      </w:hyperlink>
      <w:r>
        <w:rPr>
          <w:rFonts w:ascii="Arial" w:cs="Arial" w:eastAsia="Arial" w:hAnsi="Arial"/>
          <w:sz w:val="18"/>
          <w:szCs w:val="18"/>
          <w:color w:val="0000EE"/>
        </w:rPr>
        <w:tab/>
        <w:t>Second Amendment to Lease between Bayside Area Development and the Company, effective November 10, 2016, incorporated by reference from Exhibit 10.1 to the Company’s Quarterly report on Form 10-Q filed on 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400"/>
        <w:spacing w:after="0"/>
        <w:tabs>
          <w:tab w:leader="none" w:pos="1240" w:val="left"/>
        </w:tabs>
        <w:rPr>
          <w:rFonts w:ascii="Arial" w:cs="Arial" w:eastAsia="Arial" w:hAnsi="Arial"/>
          <w:sz w:val="18"/>
          <w:szCs w:val="18"/>
          <w:color w:val="0000EE"/>
        </w:rPr>
      </w:pPr>
      <w:hyperlink r:id="rId205">
        <w:r>
          <w:rPr>
            <w:rFonts w:ascii="Arial" w:cs="Arial" w:eastAsia="Arial" w:hAnsi="Arial"/>
            <w:sz w:val="18"/>
            <w:szCs w:val="18"/>
            <w:u w:val="single" w:color="auto"/>
            <w:color w:val="0000EE"/>
          </w:rPr>
          <w:t>10.119</w:t>
        </w:r>
      </w:hyperlink>
      <w:r>
        <w:rPr>
          <w:rFonts w:ascii="Arial" w:cs="Arial" w:eastAsia="Arial" w:hAnsi="Arial"/>
          <w:sz w:val="18"/>
          <w:szCs w:val="18"/>
          <w:color w:val="0000EE"/>
        </w:rPr>
        <w:tab/>
      </w:r>
      <w:r>
        <w:rPr>
          <w:rFonts w:ascii="Arial" w:cs="Arial" w:eastAsia="Arial" w:hAnsi="Arial"/>
          <w:sz w:val="16"/>
          <w:szCs w:val="16"/>
          <w:color w:val="0000EE"/>
        </w:rPr>
        <w:t>Indemnification Agreement effective November 10, 2016 between the Company and Mark A. Smith, incorporated by reference from Exhibit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10.2 to the Company’s Quarterly report on Form 10-Q filed on November 15, 2016.</w:t>
      </w:r>
    </w:p>
    <w:p>
      <w:pPr>
        <w:spacing w:after="0" w:line="9" w:lineRule="exact"/>
        <w:rPr>
          <w:sz w:val="20"/>
          <w:szCs w:val="20"/>
          <w:color w:val="auto"/>
        </w:rPr>
      </w:pPr>
    </w:p>
    <w:p>
      <w:pPr>
        <w:ind w:left="340"/>
        <w:spacing w:after="0"/>
        <w:tabs>
          <w:tab w:leader="none" w:pos="1240" w:val="left"/>
        </w:tabs>
        <w:rPr>
          <w:rFonts w:ascii="Arial" w:cs="Arial" w:eastAsia="Arial" w:hAnsi="Arial"/>
          <w:sz w:val="18"/>
          <w:szCs w:val="18"/>
          <w:color w:val="0000EE"/>
        </w:rPr>
      </w:pPr>
      <w:hyperlink r:id="rId206">
        <w:r>
          <w:rPr>
            <w:rFonts w:ascii="Arial" w:cs="Arial" w:eastAsia="Arial" w:hAnsi="Arial"/>
            <w:sz w:val="18"/>
            <w:szCs w:val="18"/>
            <w:u w:val="single" w:color="auto"/>
            <w:color w:val="0000EE"/>
          </w:rPr>
          <w:t>10.120+</w:t>
        </w:r>
      </w:hyperlink>
      <w:r>
        <w:rPr>
          <w:rFonts w:ascii="Arial" w:cs="Arial" w:eastAsia="Arial" w:hAnsi="Arial"/>
          <w:sz w:val="18"/>
          <w:szCs w:val="18"/>
          <w:color w:val="0000EE"/>
        </w:rPr>
        <w:tab/>
      </w:r>
      <w:r>
        <w:rPr>
          <w:rFonts w:ascii="Arial" w:cs="Arial" w:eastAsia="Arial" w:hAnsi="Arial"/>
          <w:sz w:val="16"/>
          <w:szCs w:val="16"/>
          <w:color w:val="0000EE"/>
        </w:rPr>
        <w:t>Exclusive License and Sublicense Agreement by and between VistaGen Therapeutics, Inc. and Apollo Biologics LP, effective December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2016, incorporated by reference from Exhibit 10.1 to the Company’s Quarterly Report on Form 10-Q filed on May 11, 2017.</w:t>
      </w:r>
    </w:p>
    <w:p>
      <w:pPr>
        <w:spacing w:after="0" w:line="9" w:lineRule="exact"/>
        <w:rPr>
          <w:sz w:val="20"/>
          <w:szCs w:val="20"/>
          <w:color w:val="auto"/>
        </w:rPr>
      </w:pPr>
    </w:p>
    <w:p>
      <w:pPr>
        <w:ind w:left="1260" w:hanging="911"/>
        <w:spacing w:after="0" w:line="281" w:lineRule="auto"/>
        <w:tabs>
          <w:tab w:leader="none" w:pos="1240" w:val="left"/>
        </w:tabs>
        <w:rPr>
          <w:rFonts w:ascii="Arial" w:cs="Arial" w:eastAsia="Arial" w:hAnsi="Arial"/>
          <w:sz w:val="18"/>
          <w:szCs w:val="18"/>
          <w:color w:val="0000EE"/>
        </w:rPr>
      </w:pPr>
      <w:hyperlink r:id="rId208">
        <w:r>
          <w:rPr>
            <w:rFonts w:ascii="Arial" w:cs="Arial" w:eastAsia="Arial" w:hAnsi="Arial"/>
            <w:sz w:val="18"/>
            <w:szCs w:val="18"/>
            <w:u w:val="single" w:color="auto"/>
            <w:color w:val="0000EE"/>
          </w:rPr>
          <w:t>10.121+</w:t>
        </w:r>
      </w:hyperlink>
      <w:r>
        <w:rPr>
          <w:rFonts w:ascii="Arial" w:cs="Arial" w:eastAsia="Arial" w:hAnsi="Arial"/>
          <w:sz w:val="18"/>
          <w:szCs w:val="18"/>
          <w:color w:val="0000EE"/>
        </w:rPr>
        <w:tab/>
      </w:r>
      <w:r>
        <w:rPr>
          <w:rFonts w:ascii="Arial" w:cs="Arial" w:eastAsia="Arial" w:hAnsi="Arial"/>
          <w:sz w:val="16"/>
          <w:szCs w:val="16"/>
          <w:color w:val="0000EE"/>
        </w:rPr>
        <w:t>Patent License Amendment Agreement between VistaGen Therapeutics Inc. and University Health Network effective December 9, 2016, incorporated by reference from Exhibit 10.2 to the Company’s Quarterly Report on Form 10-Q/A filed on May 1, 2017.</w:t>
      </w:r>
    </w:p>
    <w:p>
      <w:pPr>
        <w:spacing w:after="0" w:line="1" w:lineRule="exact"/>
        <w:rPr>
          <w:sz w:val="20"/>
          <w:szCs w:val="20"/>
          <w:color w:val="auto"/>
        </w:rPr>
      </w:pPr>
    </w:p>
    <w:p>
      <w:pPr>
        <w:ind w:left="1260" w:hanging="861"/>
        <w:spacing w:after="0" w:line="250" w:lineRule="auto"/>
        <w:tabs>
          <w:tab w:leader="none" w:pos="1240" w:val="left"/>
        </w:tabs>
        <w:rPr>
          <w:rFonts w:ascii="Arial" w:cs="Arial" w:eastAsia="Arial" w:hAnsi="Arial"/>
          <w:sz w:val="18"/>
          <w:szCs w:val="18"/>
          <w:color w:val="0000EE"/>
        </w:rPr>
      </w:pPr>
      <w:hyperlink r:id="rId209">
        <w:r>
          <w:rPr>
            <w:rFonts w:ascii="Arial" w:cs="Arial" w:eastAsia="Arial" w:hAnsi="Arial"/>
            <w:sz w:val="18"/>
            <w:szCs w:val="18"/>
            <w:u w:val="single" w:color="auto"/>
            <w:color w:val="0000EE"/>
          </w:rPr>
          <w:t>10.122</w:t>
        </w:r>
      </w:hyperlink>
      <w:r>
        <w:rPr>
          <w:rFonts w:ascii="Arial" w:cs="Arial" w:eastAsia="Arial" w:hAnsi="Arial"/>
          <w:sz w:val="18"/>
          <w:szCs w:val="18"/>
          <w:color w:val="0000EE"/>
        </w:rPr>
        <w:tab/>
        <w:t>Amended and Restated 2016 Stock Incentive Plan (formerly the VistaGen Therapeutics, Inc. 2008 Stock Incentive Plan), incorporated by reference from Exhibit 10.122 to the Company’s Annual Report on Form 10-K filed on June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right="20" w:hanging="861"/>
        <w:spacing w:after="0" w:line="250" w:lineRule="auto"/>
        <w:tabs>
          <w:tab w:leader="none" w:pos="1240" w:val="left"/>
        </w:tabs>
        <w:rPr>
          <w:rFonts w:ascii="Arial" w:cs="Arial" w:eastAsia="Arial" w:hAnsi="Arial"/>
          <w:sz w:val="18"/>
          <w:szCs w:val="18"/>
          <w:color w:val="0000EE"/>
        </w:rPr>
      </w:pPr>
      <w:hyperlink r:id="rId211">
        <w:r>
          <w:rPr>
            <w:rFonts w:ascii="Arial" w:cs="Arial" w:eastAsia="Arial" w:hAnsi="Arial"/>
            <w:sz w:val="18"/>
            <w:szCs w:val="18"/>
            <w:u w:val="single" w:color="auto"/>
            <w:color w:val="0000EE"/>
          </w:rPr>
          <w:t>10.123</w:t>
        </w:r>
      </w:hyperlink>
      <w:r>
        <w:rPr>
          <w:rFonts w:ascii="Arial" w:cs="Arial" w:eastAsia="Arial" w:hAnsi="Arial"/>
          <w:sz w:val="18"/>
          <w:szCs w:val="18"/>
          <w:color w:val="0000EE"/>
        </w:rPr>
        <w:tab/>
        <w:t>Underwriting Agreement, dated as of August 31, 2017, by and between VistaGen Therapeutics, Inc. and Oppenheimer &amp; Co. Inc., incorporated by reference from Exhibit 1.1 to the Company’s Current Report on Form 8-K filed on August 31, 2017.</w:t>
      </w:r>
    </w:p>
    <w:p>
      <w:pPr>
        <w:spacing w:after="0" w:line="1" w:lineRule="exact"/>
        <w:rPr>
          <w:sz w:val="20"/>
          <w:szCs w:val="20"/>
          <w:color w:val="auto"/>
        </w:rPr>
      </w:pPr>
    </w:p>
    <w:p>
      <w:pPr>
        <w:ind w:left="380"/>
        <w:spacing w:after="0"/>
        <w:tabs>
          <w:tab w:leader="none" w:pos="1240" w:val="left"/>
        </w:tabs>
        <w:rPr>
          <w:rFonts w:ascii="Arial" w:cs="Arial" w:eastAsia="Arial" w:hAnsi="Arial"/>
          <w:sz w:val="18"/>
          <w:szCs w:val="18"/>
          <w:color w:val="0000EE"/>
        </w:rPr>
      </w:pPr>
      <w:hyperlink r:id="rId212">
        <w:r>
          <w:rPr>
            <w:rFonts w:ascii="Arial" w:cs="Arial" w:eastAsia="Arial" w:hAnsi="Arial"/>
            <w:sz w:val="18"/>
            <w:szCs w:val="18"/>
            <w:u w:val="single" w:color="auto"/>
            <w:color w:val="0000EE"/>
          </w:rPr>
          <w:t>10.124</w:t>
        </w:r>
      </w:hyperlink>
      <w:r>
        <w:rPr>
          <w:rFonts w:ascii="Arial" w:cs="Arial" w:eastAsia="Arial" w:hAnsi="Arial"/>
          <w:sz w:val="18"/>
          <w:szCs w:val="18"/>
          <w:color w:val="0000EE"/>
        </w:rPr>
        <w:tab/>
      </w:r>
      <w:r>
        <w:rPr>
          <w:rFonts w:ascii="Arial" w:cs="Arial" w:eastAsia="Arial" w:hAnsi="Arial"/>
          <w:sz w:val="16"/>
          <w:szCs w:val="16"/>
          <w:color w:val="0000EE"/>
        </w:rPr>
        <w:t>Form of Series A1 Warrant, incorporated by reference from Exhibit 4.1 to the Company’s Current Report on Form 8-K filed on August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274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ind w:left="1260" w:hanging="861"/>
        <w:spacing w:after="0" w:line="323" w:lineRule="auto"/>
        <w:tabs>
          <w:tab w:leader="none" w:pos="1240" w:val="left"/>
        </w:tabs>
        <w:rPr>
          <w:rFonts w:ascii="Arial" w:cs="Arial" w:eastAsia="Arial" w:hAnsi="Arial"/>
          <w:sz w:val="18"/>
          <w:szCs w:val="18"/>
          <w:color w:val="0000EE"/>
        </w:rPr>
      </w:pPr>
      <w:hyperlink r:id="rId214">
        <w:r>
          <w:rPr>
            <w:rFonts w:ascii="Arial" w:cs="Arial" w:eastAsia="Arial" w:hAnsi="Arial"/>
            <w:sz w:val="18"/>
            <w:szCs w:val="18"/>
            <w:u w:val="single" w:color="auto"/>
            <w:color w:val="0000EE"/>
          </w:rPr>
          <w:t>10.126</w:t>
        </w:r>
      </w:hyperlink>
      <w:r>
        <w:rPr>
          <w:rFonts w:ascii="Arial" w:cs="Arial" w:eastAsia="Arial" w:hAnsi="Arial"/>
          <w:sz w:val="18"/>
          <w:szCs w:val="18"/>
          <w:color w:val="0000EE"/>
        </w:rPr>
        <w:tab/>
      </w:r>
      <w:r>
        <w:rPr>
          <w:rFonts w:ascii="Arial" w:cs="Arial" w:eastAsia="Arial" w:hAnsi="Arial"/>
          <w:sz w:val="16"/>
          <w:szCs w:val="16"/>
          <w:color w:val="0000EE"/>
        </w:rPr>
        <w:t>Underwriting Agreement, dated as of December 11, 2017, by and between VistaGen Therapeutics, Inc. and Oppenheimer &amp; Co. Inc., incorporated by reference from Exhibit 1.1 to the Company’s Current Report on Form 8-K filed on December 13, 2017.</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8" w:name="page139"/>
    <w:bookmarkEnd w:id="138"/>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90"/>
              </w:rPr>
            </w:pPr>
            <w:hyperlink r:id="rId214">
              <w:r>
                <w:rPr>
                  <w:rFonts w:ascii="Arial" w:cs="Arial" w:eastAsia="Arial" w:hAnsi="Arial"/>
                  <w:sz w:val="18"/>
                  <w:szCs w:val="18"/>
                  <w:u w:val="single" w:color="auto"/>
                  <w:color w:val="0000EE"/>
                  <w:w w:val="90"/>
                </w:rPr>
                <w:t>10.127</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Form of Warrant, incorporated by reference from Exhibit 4.1 to the Company’s Current Report on Form 8-K filed on December 13, 2017.</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90"/>
              </w:rPr>
            </w:pPr>
            <w:hyperlink r:id="rId216">
              <w:r>
                <w:rPr>
                  <w:rFonts w:ascii="Arial" w:cs="Arial" w:eastAsia="Arial" w:hAnsi="Arial"/>
                  <w:sz w:val="18"/>
                  <w:szCs w:val="18"/>
                  <w:u w:val="single" w:color="auto"/>
                  <w:color w:val="0000EE"/>
                  <w:w w:val="90"/>
                </w:rPr>
                <w:t>10.128</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88"/>
              </w:rPr>
              <w:t>Form of Summer 2018 Private Placement Subscription Agreement, incorporated by reference from the Company’s Current Report on Form 8-</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K filed on August 9, 2018.</w:t>
            </w:r>
          </w:p>
        </w:tc>
      </w:tr>
      <w:tr>
        <w:trPr>
          <w:trHeight w:val="210"/>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90"/>
              </w:rPr>
            </w:pPr>
            <w:hyperlink r:id="rId217">
              <w:r>
                <w:rPr>
                  <w:rFonts w:ascii="Arial" w:cs="Arial" w:eastAsia="Arial" w:hAnsi="Arial"/>
                  <w:sz w:val="18"/>
                  <w:szCs w:val="18"/>
                  <w:u w:val="single" w:color="auto"/>
                  <w:color w:val="0000EE"/>
                  <w:w w:val="90"/>
                </w:rPr>
                <w:t>10.129</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Form of Summer 2018 Private Placement Warrant, incorporated by reference from the Company’s Current Report on Form 8-K filed on</w:t>
            </w:r>
          </w:p>
        </w:tc>
      </w:tr>
      <w:tr>
        <w:trPr>
          <w:trHeight w:val="224"/>
        </w:trPr>
        <w:tc>
          <w:tcPr>
            <w:tcW w:w="1100" w:type="dxa"/>
            <w:vAlign w:val="bottom"/>
            <w:shd w:val="clear" w:color="auto" w:fill="CCEEFF"/>
          </w:tcPr>
          <w:p>
            <w:pPr>
              <w:spacing w:after="0"/>
              <w:rPr>
                <w:sz w:val="19"/>
                <w:szCs w:val="19"/>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August 9, 2018.</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88"/>
              </w:rPr>
            </w:pPr>
            <w:hyperlink r:id="rId218">
              <w:r>
                <w:rPr>
                  <w:rFonts w:ascii="Arial" w:cs="Arial" w:eastAsia="Arial" w:hAnsi="Arial"/>
                  <w:sz w:val="18"/>
                  <w:szCs w:val="18"/>
                  <w:u w:val="single" w:color="auto"/>
                  <w:color w:val="0000EE"/>
                  <w:w w:val="88"/>
                </w:rPr>
                <w:t>10.130+</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91"/>
              </w:rPr>
              <w:t>License Agreement (PH94B), by and between VistaGen Therapeutics, Inc. and Pherin Pharmaceuticals, Inc., dated September 11, 2018,</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incorporated by reference from Exhibit 10.1 to the Company’s Current Report on Form 8-K filed on September 13, 2018</w:t>
            </w:r>
          </w:p>
        </w:tc>
      </w:tr>
      <w:tr>
        <w:trPr>
          <w:trHeight w:val="210"/>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88"/>
              </w:rPr>
            </w:pPr>
            <w:hyperlink r:id="rId219">
              <w:r>
                <w:rPr>
                  <w:rFonts w:ascii="Arial" w:cs="Arial" w:eastAsia="Arial" w:hAnsi="Arial"/>
                  <w:sz w:val="18"/>
                  <w:szCs w:val="18"/>
                  <w:u w:val="single" w:color="auto"/>
                  <w:color w:val="0000EE"/>
                  <w:w w:val="88"/>
                </w:rPr>
                <w:t>10.131+</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7"/>
              </w:rPr>
              <w:t>Option Agreement, by and between VistaGen Therapeutics, Inc. and Pherin Pharmaceuticals, Inc., dated September 11, 2018, incorporated by</w:t>
            </w:r>
          </w:p>
        </w:tc>
      </w:tr>
      <w:tr>
        <w:trPr>
          <w:trHeight w:val="224"/>
        </w:trPr>
        <w:tc>
          <w:tcPr>
            <w:tcW w:w="1100" w:type="dxa"/>
            <w:vAlign w:val="bottom"/>
            <w:shd w:val="clear" w:color="auto" w:fill="CCEEFF"/>
          </w:tcPr>
          <w:p>
            <w:pPr>
              <w:spacing w:after="0"/>
              <w:rPr>
                <w:sz w:val="19"/>
                <w:szCs w:val="19"/>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reference from Exhibit 10.2 to the Company’s Current Report on Form 8-K filed on September 13, 2018.</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88"/>
              </w:rPr>
            </w:pPr>
            <w:hyperlink r:id="rId220">
              <w:r>
                <w:rPr>
                  <w:rFonts w:ascii="Arial" w:cs="Arial" w:eastAsia="Arial" w:hAnsi="Arial"/>
                  <w:sz w:val="18"/>
                  <w:szCs w:val="18"/>
                  <w:u w:val="single" w:color="auto"/>
                  <w:color w:val="0000EE"/>
                  <w:w w:val="88"/>
                </w:rPr>
                <w:t>10.132+</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94"/>
              </w:rPr>
              <w:t>License Agreement (PH10), by and between VistaGen Therapeutics, Inc. and Pherin Pharmaceuticals, Inc., dated October 24, 2018,</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incorporated by reference from Exhibit 10.3 to the Company’s Quarterly Report on Form 10-Q/A filed on October 30, 2018.</w:t>
            </w:r>
          </w:p>
        </w:tc>
      </w:tr>
      <w:tr>
        <w:trPr>
          <w:trHeight w:val="210"/>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90"/>
              </w:rPr>
            </w:pPr>
            <w:hyperlink r:id="rId221">
              <w:r>
                <w:rPr>
                  <w:rFonts w:ascii="Arial" w:cs="Arial" w:eastAsia="Arial" w:hAnsi="Arial"/>
                  <w:sz w:val="18"/>
                  <w:szCs w:val="18"/>
                  <w:u w:val="single" w:color="auto"/>
                  <w:color w:val="0000EE"/>
                  <w:w w:val="90"/>
                </w:rPr>
                <w:t>10.133</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Form of Fall 2018 Private Placement Subscription Agreement, incorporated by reference from Exhibit 10.4 to the Company’s Quarterly</w:t>
            </w:r>
          </w:p>
        </w:tc>
      </w:tr>
      <w:tr>
        <w:trPr>
          <w:trHeight w:val="224"/>
        </w:trPr>
        <w:tc>
          <w:tcPr>
            <w:tcW w:w="1100" w:type="dxa"/>
            <w:vAlign w:val="bottom"/>
            <w:shd w:val="clear" w:color="auto" w:fill="CCEEFF"/>
          </w:tcPr>
          <w:p>
            <w:pPr>
              <w:spacing w:after="0"/>
              <w:rPr>
                <w:sz w:val="19"/>
                <w:szCs w:val="19"/>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Report on Form 10-Q filed on October 29, 2018.</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90"/>
              </w:rPr>
            </w:pPr>
            <w:hyperlink r:id="rId222">
              <w:r>
                <w:rPr>
                  <w:rFonts w:ascii="Arial" w:cs="Arial" w:eastAsia="Arial" w:hAnsi="Arial"/>
                  <w:sz w:val="18"/>
                  <w:szCs w:val="18"/>
                  <w:u w:val="single" w:color="auto"/>
                  <w:color w:val="0000EE"/>
                  <w:w w:val="90"/>
                </w:rPr>
                <w:t>10.134</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89"/>
              </w:rPr>
              <w:t>Form of Fall 2018 Private Placement Warrant, incorporated by reference from Exhibit 10.5 to the Company’s Quarterly Report on Form 10-Q</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filed on October 29, 2018.</w:t>
            </w:r>
          </w:p>
        </w:tc>
      </w:tr>
      <w:tr>
        <w:trPr>
          <w:trHeight w:val="210"/>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90"/>
              </w:rPr>
            </w:pPr>
            <w:hyperlink r:id="rId223">
              <w:r>
                <w:rPr>
                  <w:rFonts w:ascii="Arial" w:cs="Arial" w:eastAsia="Arial" w:hAnsi="Arial"/>
                  <w:sz w:val="18"/>
                  <w:szCs w:val="18"/>
                  <w:u w:val="single" w:color="auto"/>
                  <w:color w:val="0000EE"/>
                  <w:w w:val="90"/>
                </w:rPr>
                <w:t>10.135</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Indemnification Agreement, dated January 10, 2019, by and between VistaGen Therapeutics, Inc. and Ann Cunningham, incorporated by</w:t>
            </w:r>
          </w:p>
        </w:tc>
      </w:tr>
      <w:tr>
        <w:trPr>
          <w:trHeight w:val="224"/>
        </w:trPr>
        <w:tc>
          <w:tcPr>
            <w:tcW w:w="1100" w:type="dxa"/>
            <w:vAlign w:val="bottom"/>
            <w:shd w:val="clear" w:color="auto" w:fill="CCEEFF"/>
          </w:tcPr>
          <w:p>
            <w:pPr>
              <w:spacing w:after="0"/>
              <w:rPr>
                <w:sz w:val="19"/>
                <w:szCs w:val="19"/>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reference from Exhibit 10.1 to the Company’s Current Report on Form 8-K filed on January 15, 2019.</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90"/>
              </w:rPr>
            </w:pPr>
            <w:hyperlink r:id="rId224">
              <w:r>
                <w:rPr>
                  <w:rFonts w:ascii="Arial" w:cs="Arial" w:eastAsia="Arial" w:hAnsi="Arial"/>
                  <w:sz w:val="18"/>
                  <w:szCs w:val="18"/>
                  <w:u w:val="single" w:color="auto"/>
                  <w:color w:val="0000EE"/>
                  <w:w w:val="90"/>
                </w:rPr>
                <w:t>10.136</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90"/>
              </w:rPr>
              <w:t>Indemnification Agreement, dated November 10, 2016, by and between VistaGen Therapeutics, Inc. and Mark A. McPartland, incorporated</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by reference from Exhibit 10.136 to the Company’s Annual Report on Form 10-K filed on June 25, 2019.</w:t>
            </w:r>
          </w:p>
        </w:tc>
      </w:tr>
      <w:tr>
        <w:trPr>
          <w:trHeight w:val="210"/>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90"/>
              </w:rPr>
            </w:pPr>
            <w:hyperlink r:id="rId225">
              <w:r>
                <w:rPr>
                  <w:rFonts w:ascii="Arial" w:cs="Arial" w:eastAsia="Arial" w:hAnsi="Arial"/>
                  <w:sz w:val="18"/>
                  <w:szCs w:val="18"/>
                  <w:u w:val="single" w:color="auto"/>
                  <w:color w:val="0000EE"/>
                  <w:w w:val="90"/>
                </w:rPr>
                <w:t>10.137</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Underwriting Agreement, dated as of February 26, 2019, by and between VistaGen Therapeutics, Inc. and William Blair &amp; Company, LLC,</w:t>
            </w:r>
          </w:p>
        </w:tc>
      </w:tr>
      <w:tr>
        <w:trPr>
          <w:trHeight w:val="224"/>
        </w:trPr>
        <w:tc>
          <w:tcPr>
            <w:tcW w:w="1100" w:type="dxa"/>
            <w:vAlign w:val="bottom"/>
            <w:shd w:val="clear" w:color="auto" w:fill="CCEEFF"/>
          </w:tcPr>
          <w:p>
            <w:pPr>
              <w:spacing w:after="0"/>
              <w:rPr>
                <w:sz w:val="19"/>
                <w:szCs w:val="19"/>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incorporated by reference from Exhibit 1.1 to the Company’s Current Report on Form 8-K filed on March 4, 2019.</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90"/>
              </w:rPr>
            </w:pPr>
            <w:hyperlink r:id="rId226">
              <w:r>
                <w:rPr>
                  <w:rFonts w:ascii="Arial" w:cs="Arial" w:eastAsia="Arial" w:hAnsi="Arial"/>
                  <w:sz w:val="18"/>
                  <w:szCs w:val="18"/>
                  <w:u w:val="single" w:color="auto"/>
                  <w:color w:val="0000EE"/>
                  <w:w w:val="90"/>
                </w:rPr>
                <w:t>10.138</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92"/>
              </w:rPr>
              <w:t>Master Services Agreement, dated July 11, 2017, by and between VistaGen Therapeutics, Inc. and Cato Research Ltd., incorporated by</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reference from Exhibit 10.138 to the Company’s Annual Report on Form 10-K filed on June 25, 2019.</w:t>
            </w:r>
          </w:p>
        </w:tc>
      </w:tr>
      <w:tr>
        <w:trPr>
          <w:trHeight w:val="210"/>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90"/>
              </w:rPr>
            </w:pPr>
            <w:hyperlink r:id="rId227">
              <w:r>
                <w:rPr>
                  <w:rFonts w:ascii="Arial" w:cs="Arial" w:eastAsia="Arial" w:hAnsi="Arial"/>
                  <w:sz w:val="18"/>
                  <w:szCs w:val="18"/>
                  <w:u w:val="single" w:color="auto"/>
                  <w:color w:val="0000EE"/>
                  <w:w w:val="90"/>
                </w:rPr>
                <w:t>10.139</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VistaGen Therapeutics, Inc. 2019 Omnibus Equity Incentive Plan, incorporated by reference from Exhibit 99.1 to the Company’s Registration</w:t>
            </w:r>
          </w:p>
        </w:tc>
      </w:tr>
      <w:tr>
        <w:trPr>
          <w:trHeight w:val="224"/>
        </w:trPr>
        <w:tc>
          <w:tcPr>
            <w:tcW w:w="1100" w:type="dxa"/>
            <w:vAlign w:val="bottom"/>
            <w:shd w:val="clear" w:color="auto" w:fill="CCEEFF"/>
          </w:tcPr>
          <w:p>
            <w:pPr>
              <w:spacing w:after="0"/>
              <w:rPr>
                <w:sz w:val="19"/>
                <w:szCs w:val="19"/>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Statement on Form S-8 filed on October 1, 2019.</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90"/>
              </w:rPr>
            </w:pPr>
            <w:hyperlink r:id="rId227">
              <w:r>
                <w:rPr>
                  <w:rFonts w:ascii="Arial" w:cs="Arial" w:eastAsia="Arial" w:hAnsi="Arial"/>
                  <w:sz w:val="18"/>
                  <w:szCs w:val="18"/>
                  <w:u w:val="single" w:color="auto"/>
                  <w:color w:val="0000EE"/>
                  <w:w w:val="90"/>
                </w:rPr>
                <w:t>10.140</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88"/>
              </w:rPr>
              <w:t>VistaGen Therapeutics, Inc. 2019 Employee Stock Purchase Plan, incorporated by reference from Exhibit 99.2 to the Company’s Registration</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Statement on Form S-8 filed on October 1, 2019.</w:t>
            </w:r>
          </w:p>
        </w:tc>
      </w:tr>
      <w:tr>
        <w:trPr>
          <w:trHeight w:val="210"/>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90"/>
              </w:rPr>
            </w:pPr>
            <w:hyperlink r:id="rId228">
              <w:r>
                <w:rPr>
                  <w:rFonts w:ascii="Arial" w:cs="Arial" w:eastAsia="Arial" w:hAnsi="Arial"/>
                  <w:sz w:val="18"/>
                  <w:szCs w:val="18"/>
                  <w:u w:val="single" w:color="auto"/>
                  <w:color w:val="0000EE"/>
                  <w:w w:val="90"/>
                </w:rPr>
                <w:t>10.141</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Form of Fall 2019 Private Placement Subscription Agreement, incorporated by reference from Exhibit 10.1 to the Company’s Quarterly</w:t>
            </w:r>
          </w:p>
        </w:tc>
      </w:tr>
      <w:tr>
        <w:trPr>
          <w:trHeight w:val="224"/>
        </w:trPr>
        <w:tc>
          <w:tcPr>
            <w:tcW w:w="1100" w:type="dxa"/>
            <w:vAlign w:val="bottom"/>
            <w:shd w:val="clear" w:color="auto" w:fill="CCEEFF"/>
          </w:tcPr>
          <w:p>
            <w:pPr>
              <w:spacing w:after="0"/>
              <w:rPr>
                <w:sz w:val="19"/>
                <w:szCs w:val="19"/>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Report on Form 10-Q filed on November 7, 2019.</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90"/>
              </w:rPr>
            </w:pPr>
            <w:hyperlink r:id="rId229">
              <w:r>
                <w:rPr>
                  <w:rFonts w:ascii="Arial" w:cs="Arial" w:eastAsia="Arial" w:hAnsi="Arial"/>
                  <w:sz w:val="18"/>
                  <w:szCs w:val="18"/>
                  <w:u w:val="single" w:color="auto"/>
                  <w:color w:val="0000EE"/>
                  <w:w w:val="90"/>
                </w:rPr>
                <w:t>10.142</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89"/>
              </w:rPr>
              <w:t>Form of Fall 2019 Private Placement Warrant, incorporated by reference from Exhibit 10.2 to the Company’s Quarterly Report on Form 10-Q</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filed on November 7, 2019.</w:t>
            </w:r>
          </w:p>
        </w:tc>
      </w:tr>
      <w:tr>
        <w:trPr>
          <w:trHeight w:val="210"/>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90"/>
              </w:rPr>
            </w:pPr>
            <w:hyperlink r:id="rId230">
              <w:r>
                <w:rPr>
                  <w:rFonts w:ascii="Arial" w:cs="Arial" w:eastAsia="Arial" w:hAnsi="Arial"/>
                  <w:sz w:val="18"/>
                  <w:szCs w:val="18"/>
                  <w:u w:val="single" w:color="auto"/>
                  <w:color w:val="0000EE"/>
                  <w:w w:val="90"/>
                </w:rPr>
                <w:t>10.143</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Form of Securities Purchase Agreement, dated January 24, 2020 between the Company and each purchaser named in the signature pages</w:t>
            </w:r>
          </w:p>
        </w:tc>
      </w:tr>
      <w:tr>
        <w:trPr>
          <w:trHeight w:val="224"/>
        </w:trPr>
        <w:tc>
          <w:tcPr>
            <w:tcW w:w="1100" w:type="dxa"/>
            <w:vAlign w:val="bottom"/>
            <w:shd w:val="clear" w:color="auto" w:fill="CCEEFF"/>
          </w:tcPr>
          <w:p>
            <w:pPr>
              <w:spacing w:after="0"/>
              <w:rPr>
                <w:sz w:val="19"/>
                <w:szCs w:val="19"/>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thereto, incorporated by reference from Exhibit 10.1 to the Company’s Current Report on Form 8-K filed on January 27, 2020.</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90"/>
              </w:rPr>
            </w:pPr>
            <w:hyperlink r:id="rId231">
              <w:r>
                <w:rPr>
                  <w:rFonts w:ascii="Arial" w:cs="Arial" w:eastAsia="Arial" w:hAnsi="Arial"/>
                  <w:sz w:val="18"/>
                  <w:szCs w:val="18"/>
                  <w:u w:val="single" w:color="auto"/>
                  <w:color w:val="0000EE"/>
                  <w:w w:val="90"/>
                </w:rPr>
                <w:t>10.144</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90"/>
              </w:rPr>
              <w:t>Form of Warrant, dated January 24, 2020, incorporated by reference from Exhibit 10.2 to the Company’s Current Report on Form 8-K filed</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on January 27, 2020.</w:t>
            </w:r>
          </w:p>
        </w:tc>
      </w:tr>
      <w:tr>
        <w:trPr>
          <w:trHeight w:val="210"/>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90"/>
              </w:rPr>
            </w:pPr>
            <w:hyperlink r:id="rId232">
              <w:r>
                <w:rPr>
                  <w:rFonts w:ascii="Arial" w:cs="Arial" w:eastAsia="Arial" w:hAnsi="Arial"/>
                  <w:sz w:val="18"/>
                  <w:szCs w:val="18"/>
                  <w:u w:val="single" w:color="auto"/>
                  <w:color w:val="0000EE"/>
                  <w:w w:val="90"/>
                </w:rPr>
                <w:t>10.145</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Purchase Agreement, by and between VistaGen Therapeutics, Inc. and Lincoln Park Capital Fund, LLC, dated March 24, 2020, incorporated</w:t>
            </w:r>
          </w:p>
        </w:tc>
      </w:tr>
      <w:tr>
        <w:trPr>
          <w:trHeight w:val="224"/>
        </w:trPr>
        <w:tc>
          <w:tcPr>
            <w:tcW w:w="1100" w:type="dxa"/>
            <w:vAlign w:val="bottom"/>
            <w:shd w:val="clear" w:color="auto" w:fill="CCEEFF"/>
          </w:tcPr>
          <w:p>
            <w:pPr>
              <w:spacing w:after="0"/>
              <w:rPr>
                <w:sz w:val="19"/>
                <w:szCs w:val="19"/>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by reference from Exhibit 10.1 to the Company's Current Report on Form 8-K, filed March 26, 2020.</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90"/>
              </w:rPr>
            </w:pPr>
            <w:hyperlink r:id="rId233">
              <w:r>
                <w:rPr>
                  <w:rFonts w:ascii="Arial" w:cs="Arial" w:eastAsia="Arial" w:hAnsi="Arial"/>
                  <w:sz w:val="18"/>
                  <w:szCs w:val="18"/>
                  <w:u w:val="single" w:color="auto"/>
                  <w:color w:val="0000EE"/>
                  <w:w w:val="90"/>
                </w:rPr>
                <w:t>10.146</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91"/>
              </w:rPr>
              <w:t>Registration Rights Agreement, by and between VistaGen Therapeutics, Inc. and Lincoln Park Capital Fund, LLC, dated March 24, 2020,</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incorporated by reference from Exhibit 10.2 to the Company's Current Report on Form 8-K, filed March 26, 2020</w:t>
            </w:r>
          </w:p>
        </w:tc>
      </w:tr>
      <w:tr>
        <w:trPr>
          <w:trHeight w:val="210"/>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90"/>
              </w:rPr>
            </w:pPr>
            <w:hyperlink r:id="rId234">
              <w:r>
                <w:rPr>
                  <w:rFonts w:ascii="Arial" w:cs="Arial" w:eastAsia="Arial" w:hAnsi="Arial"/>
                  <w:sz w:val="18"/>
                  <w:szCs w:val="18"/>
                  <w:u w:val="single" w:color="auto"/>
                  <w:color w:val="0000EE"/>
                  <w:w w:val="90"/>
                </w:rPr>
                <w:t>10.147</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Note Payable Agreement by and between VistaGen Therapeutics, Inc. and Silicon Valley Bank, dated April 22, 2020, incorporated by</w:t>
            </w:r>
          </w:p>
        </w:tc>
      </w:tr>
      <w:tr>
        <w:trPr>
          <w:trHeight w:val="224"/>
        </w:trPr>
        <w:tc>
          <w:tcPr>
            <w:tcW w:w="1100" w:type="dxa"/>
            <w:vAlign w:val="bottom"/>
            <w:shd w:val="clear" w:color="auto" w:fill="CCEEFF"/>
          </w:tcPr>
          <w:p>
            <w:pPr>
              <w:spacing w:after="0"/>
              <w:rPr>
                <w:sz w:val="19"/>
                <w:szCs w:val="19"/>
                <w:color w:val="auto"/>
              </w:rPr>
            </w:pP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reference from Exhibit 10.1 to the Company's Current Report on Form 8-K, filed April 27, 2020.</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89"/>
              </w:rPr>
            </w:pPr>
            <w:hyperlink r:id="rId235">
              <w:r>
                <w:rPr>
                  <w:rFonts w:ascii="Arial" w:cs="Arial" w:eastAsia="Arial" w:hAnsi="Arial"/>
                  <w:sz w:val="18"/>
                  <w:szCs w:val="18"/>
                  <w:u w:val="single" w:color="auto"/>
                  <w:color w:val="0000EE"/>
                  <w:w w:val="89"/>
                </w:rPr>
                <w:t>10.148#</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88"/>
              </w:rPr>
              <w:t>License and Collaboration Agreement between VistaGen Therapeutics, Inc. and EverInsight Therapeutics Inc. incorporated by reference from</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Exhibit 10.1 to the Company’s Current Report on Form 8-K, filed June 26, 2020.</w:t>
            </w:r>
          </w:p>
        </w:tc>
      </w:tr>
      <w:tr>
        <w:trPr>
          <w:trHeight w:val="218"/>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85"/>
              </w:rPr>
            </w:pPr>
            <w:hyperlink w:anchor="page141">
              <w:r>
                <w:rPr>
                  <w:rFonts w:ascii="Arial" w:cs="Arial" w:eastAsia="Arial" w:hAnsi="Arial"/>
                  <w:sz w:val="18"/>
                  <w:szCs w:val="18"/>
                  <w:u w:val="single" w:color="auto"/>
                  <w:color w:val="0000EE"/>
                  <w:w w:val="85"/>
                </w:rPr>
                <w:t>23.1</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16"/>
        </w:trPr>
        <w:tc>
          <w:tcPr>
            <w:tcW w:w="1100" w:type="dxa"/>
            <w:vAlign w:val="bottom"/>
          </w:tcPr>
          <w:p>
            <w:pPr>
              <w:jc w:val="center"/>
              <w:ind w:left="72"/>
              <w:spacing w:after="0"/>
              <w:rPr>
                <w:rFonts w:ascii="Arial" w:cs="Arial" w:eastAsia="Arial" w:hAnsi="Arial"/>
                <w:sz w:val="18"/>
                <w:szCs w:val="18"/>
                <w:u w:val="single" w:color="auto"/>
                <w:color w:val="0000EE"/>
                <w:w w:val="85"/>
              </w:rPr>
            </w:pPr>
            <w:hyperlink w:anchor="page142">
              <w:r>
                <w:rPr>
                  <w:rFonts w:ascii="Arial" w:cs="Arial" w:eastAsia="Arial" w:hAnsi="Arial"/>
                  <w:sz w:val="18"/>
                  <w:szCs w:val="18"/>
                  <w:u w:val="single" w:color="auto"/>
                  <w:color w:val="0000EE"/>
                  <w:w w:val="85"/>
                </w:rPr>
                <w:t>31.1</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97"/>
              </w:rPr>
              <w:t>Certification of the Company’s Chief Executive Officer pursuant to Section 302 of the Sarbanes-Oxley Act of 2002, filed herewith.</w:t>
            </w:r>
          </w:p>
        </w:tc>
      </w:tr>
      <w:tr>
        <w:trPr>
          <w:trHeight w:val="216"/>
        </w:trPr>
        <w:tc>
          <w:tcPr>
            <w:tcW w:w="1100" w:type="dxa"/>
            <w:vAlign w:val="bottom"/>
            <w:shd w:val="clear" w:color="auto" w:fill="CCEEFF"/>
          </w:tcPr>
          <w:p>
            <w:pPr>
              <w:jc w:val="center"/>
              <w:ind w:left="72"/>
              <w:spacing w:after="0"/>
              <w:rPr>
                <w:rFonts w:ascii="Arial" w:cs="Arial" w:eastAsia="Arial" w:hAnsi="Arial"/>
                <w:sz w:val="18"/>
                <w:szCs w:val="18"/>
                <w:u w:val="single" w:color="auto"/>
                <w:color w:val="0000EE"/>
                <w:w w:val="85"/>
              </w:rPr>
            </w:pPr>
            <w:hyperlink w:anchor="page143">
              <w:r>
                <w:rPr>
                  <w:rFonts w:ascii="Arial" w:cs="Arial" w:eastAsia="Arial" w:hAnsi="Arial"/>
                  <w:sz w:val="18"/>
                  <w:szCs w:val="18"/>
                  <w:u w:val="single" w:color="auto"/>
                  <w:color w:val="0000EE"/>
                  <w:w w:val="85"/>
                </w:rPr>
                <w:t>31.2</w:t>
              </w:r>
            </w:hyperlink>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Certification of the Company’s Chief Financial Officer pursuant to Section 302 of the Sarbanes-Oxley Act of 2002, filed herewith.</w:t>
            </w:r>
          </w:p>
        </w:tc>
      </w:tr>
      <w:tr>
        <w:trPr>
          <w:trHeight w:val="208"/>
        </w:trPr>
        <w:tc>
          <w:tcPr>
            <w:tcW w:w="1100" w:type="dxa"/>
            <w:vAlign w:val="bottom"/>
          </w:tcPr>
          <w:p>
            <w:pPr>
              <w:jc w:val="center"/>
              <w:ind w:left="72"/>
              <w:spacing w:after="0"/>
              <w:rPr>
                <w:rFonts w:ascii="Arial" w:cs="Arial" w:eastAsia="Arial" w:hAnsi="Arial"/>
                <w:sz w:val="18"/>
                <w:szCs w:val="18"/>
                <w:u w:val="single" w:color="auto"/>
                <w:color w:val="0000EE"/>
                <w:w w:val="85"/>
              </w:rPr>
            </w:pPr>
            <w:hyperlink w:anchor="page144">
              <w:r>
                <w:rPr>
                  <w:rFonts w:ascii="Arial" w:cs="Arial" w:eastAsia="Arial" w:hAnsi="Arial"/>
                  <w:sz w:val="18"/>
                  <w:szCs w:val="18"/>
                  <w:u w:val="single" w:color="auto"/>
                  <w:color w:val="0000EE"/>
                  <w:w w:val="85"/>
                </w:rPr>
                <w:t>32.1</w:t>
              </w:r>
            </w:hyperlink>
          </w:p>
        </w:tc>
        <w:tc>
          <w:tcPr>
            <w:tcW w:w="10140" w:type="dxa"/>
            <w:vAlign w:val="bottom"/>
          </w:tcPr>
          <w:p>
            <w:pPr>
              <w:ind w:left="160"/>
              <w:spacing w:after="0"/>
              <w:rPr>
                <w:sz w:val="20"/>
                <w:szCs w:val="20"/>
                <w:color w:val="auto"/>
              </w:rPr>
            </w:pPr>
            <w:r>
              <w:rPr>
                <w:rFonts w:ascii="Arial" w:cs="Arial" w:eastAsia="Arial" w:hAnsi="Arial"/>
                <w:sz w:val="18"/>
                <w:szCs w:val="18"/>
                <w:color w:val="auto"/>
                <w:w w:val="92"/>
              </w:rPr>
              <w:t>Certification of the Company’s Chief Executive Officer and Chief Financial Officer pursuant to Section 906 of the Sarbanes-Oxley Act of</w:t>
            </w:r>
          </w:p>
        </w:tc>
      </w:tr>
      <w:tr>
        <w:trPr>
          <w:trHeight w:val="222"/>
        </w:trPr>
        <w:tc>
          <w:tcPr>
            <w:tcW w:w="1100" w:type="dxa"/>
            <w:vAlign w:val="bottom"/>
          </w:tcPr>
          <w:p>
            <w:pPr>
              <w:spacing w:after="0"/>
              <w:rPr>
                <w:sz w:val="19"/>
                <w:szCs w:val="19"/>
                <w:color w:val="auto"/>
              </w:rPr>
            </w:pPr>
          </w:p>
        </w:tc>
        <w:tc>
          <w:tcPr>
            <w:tcW w:w="10140" w:type="dxa"/>
            <w:vAlign w:val="bottom"/>
          </w:tcPr>
          <w:p>
            <w:pPr>
              <w:ind w:left="160"/>
              <w:spacing w:after="0"/>
              <w:rPr>
                <w:sz w:val="20"/>
                <w:szCs w:val="20"/>
                <w:color w:val="auto"/>
              </w:rPr>
            </w:pPr>
            <w:r>
              <w:rPr>
                <w:rFonts w:ascii="Arial" w:cs="Arial" w:eastAsia="Arial" w:hAnsi="Arial"/>
                <w:sz w:val="18"/>
                <w:szCs w:val="18"/>
                <w:color w:val="auto"/>
              </w:rPr>
              <w:t>2002, filed herewith.</w:t>
            </w:r>
          </w:p>
        </w:tc>
      </w:tr>
      <w:tr>
        <w:trPr>
          <w:trHeight w:val="218"/>
        </w:trPr>
        <w:tc>
          <w:tcPr>
            <w:tcW w:w="11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101.INS</w:t>
            </w: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Instance Document, filed herewith</w:t>
            </w:r>
          </w:p>
        </w:tc>
      </w:tr>
      <w:tr>
        <w:trPr>
          <w:trHeight w:val="216"/>
        </w:trPr>
        <w:tc>
          <w:tcPr>
            <w:tcW w:w="1100" w:type="dxa"/>
            <w:vAlign w:val="bottom"/>
          </w:tcPr>
          <w:p>
            <w:pPr>
              <w:jc w:val="center"/>
              <w:ind w:left="72"/>
              <w:spacing w:after="0"/>
              <w:rPr>
                <w:sz w:val="20"/>
                <w:szCs w:val="20"/>
                <w:color w:val="auto"/>
              </w:rPr>
            </w:pPr>
            <w:r>
              <w:rPr>
                <w:rFonts w:ascii="Arial" w:cs="Arial" w:eastAsia="Arial" w:hAnsi="Arial"/>
                <w:sz w:val="18"/>
                <w:szCs w:val="18"/>
                <w:color w:val="auto"/>
                <w:w w:val="90"/>
              </w:rPr>
              <w:t>101.SCH</w:t>
            </w:r>
          </w:p>
        </w:tc>
        <w:tc>
          <w:tcPr>
            <w:tcW w:w="10140" w:type="dxa"/>
            <w:vAlign w:val="bottom"/>
          </w:tcPr>
          <w:p>
            <w:pPr>
              <w:ind w:left="160"/>
              <w:spacing w:after="0"/>
              <w:rPr>
                <w:sz w:val="20"/>
                <w:szCs w:val="20"/>
                <w:color w:val="auto"/>
              </w:rPr>
            </w:pPr>
            <w:r>
              <w:rPr>
                <w:rFonts w:ascii="Arial" w:cs="Arial" w:eastAsia="Arial" w:hAnsi="Arial"/>
                <w:sz w:val="18"/>
                <w:szCs w:val="18"/>
                <w:color w:val="auto"/>
              </w:rPr>
              <w:t>XBRL Taxonomy Extension Schema, filed herewith</w:t>
            </w:r>
          </w:p>
        </w:tc>
      </w:tr>
      <w:tr>
        <w:trPr>
          <w:trHeight w:val="216"/>
        </w:trPr>
        <w:tc>
          <w:tcPr>
            <w:tcW w:w="11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4"/>
              </w:rPr>
              <w:t>101.CAL</w:t>
            </w: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216"/>
        </w:trPr>
        <w:tc>
          <w:tcPr>
            <w:tcW w:w="1100" w:type="dxa"/>
            <w:vAlign w:val="bottom"/>
          </w:tcPr>
          <w:p>
            <w:pPr>
              <w:jc w:val="center"/>
              <w:ind w:left="52"/>
              <w:spacing w:after="0"/>
              <w:rPr>
                <w:sz w:val="20"/>
                <w:szCs w:val="20"/>
                <w:color w:val="auto"/>
              </w:rPr>
            </w:pPr>
            <w:r>
              <w:rPr>
                <w:rFonts w:ascii="Arial" w:cs="Arial" w:eastAsia="Arial" w:hAnsi="Arial"/>
                <w:sz w:val="18"/>
                <w:szCs w:val="18"/>
                <w:color w:val="auto"/>
                <w:w w:val="90"/>
              </w:rPr>
              <w:t>101.DEF</w:t>
            </w:r>
          </w:p>
        </w:tc>
        <w:tc>
          <w:tcPr>
            <w:tcW w:w="1014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216"/>
        </w:trPr>
        <w:tc>
          <w:tcPr>
            <w:tcW w:w="11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5"/>
              </w:rPr>
              <w:t>101.LAB</w:t>
            </w:r>
          </w:p>
        </w:tc>
        <w:tc>
          <w:tcPr>
            <w:tcW w:w="10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222"/>
        </w:trPr>
        <w:tc>
          <w:tcPr>
            <w:tcW w:w="1100" w:type="dxa"/>
            <w:vAlign w:val="bottom"/>
          </w:tcPr>
          <w:p>
            <w:pPr>
              <w:jc w:val="center"/>
              <w:ind w:left="72"/>
              <w:spacing w:after="0"/>
              <w:rPr>
                <w:sz w:val="20"/>
                <w:szCs w:val="20"/>
                <w:color w:val="auto"/>
              </w:rPr>
            </w:pPr>
            <w:r>
              <w:rPr>
                <w:rFonts w:ascii="Arial" w:cs="Arial" w:eastAsia="Arial" w:hAnsi="Arial"/>
                <w:sz w:val="18"/>
                <w:szCs w:val="18"/>
                <w:color w:val="auto"/>
                <w:w w:val="85"/>
              </w:rPr>
              <w:t>101.PRE</w:t>
            </w:r>
          </w:p>
        </w:tc>
        <w:tc>
          <w:tcPr>
            <w:tcW w:w="1014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right="2520" w:firstLine="8"/>
        <w:spacing w:after="0" w:line="254" w:lineRule="auto"/>
        <w:tabs>
          <w:tab w:leader="none" w:pos="3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Incorporated by reference from the like-numbered exhibit filed with our Current Report on Form 8-K on May 16, 2011. + Confidential treatment has been granted for certain confidential portions of this agreement.</w:t>
      </w:r>
    </w:p>
    <w:p>
      <w:pPr>
        <w:ind w:left="340" w:hanging="324"/>
        <w:spacing w:after="0" w:line="323" w:lineRule="auto"/>
        <w:rPr>
          <w:rFonts w:ascii="Arial" w:cs="Arial" w:eastAsia="Arial" w:hAnsi="Arial"/>
          <w:sz w:val="18"/>
          <w:szCs w:val="18"/>
          <w:color w:val="auto"/>
        </w:rPr>
      </w:pPr>
      <w:r>
        <w:rPr>
          <w:rFonts w:ascii="Arial" w:cs="Arial" w:eastAsia="Arial" w:hAnsi="Arial"/>
          <w:sz w:val="16"/>
          <w:szCs w:val="16"/>
          <w:color w:val="auto"/>
        </w:rPr>
        <w:t># Pursuant to Item 601(b)(10) of Regulation S-K, certain confidential portions of this exhibit (indicated by “[*****]”) have been omitted as the Company has determined (i) the omitted information is not material and (ii) the omitted information would likely cause harm to the Company if publicly disclosed.</w:t>
      </w:r>
    </w:p>
    <w:p>
      <w:pPr>
        <w:sectPr>
          <w:pgSz w:w="11900" w:h="16838" w:orient="portrait"/>
          <w:cols w:equalWidth="0" w:num="1">
            <w:col w:w="11240"/>
          </w:cols>
          <w:pgMar w:left="320" w:top="131"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39" w:name="page140"/>
    <w:bookmarkEnd w:id="139"/>
    <w:p>
      <w:pPr>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South San Francisco, State of California, on the 29th day of June, 2020.</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19"/>
                <w:szCs w:val="19"/>
                <w:color w:val="auto"/>
              </w:rPr>
            </w:pPr>
          </w:p>
        </w:tc>
        <w:tc>
          <w:tcPr>
            <w:tcW w:w="6380" w:type="dxa"/>
            <w:vAlign w:val="bottom"/>
            <w:gridSpan w:val="2"/>
          </w:tcPr>
          <w:p>
            <w:pPr>
              <w:ind w:left="2100"/>
              <w:spacing w:after="0"/>
              <w:rPr>
                <w:sz w:val="20"/>
                <w:szCs w:val="20"/>
                <w:color w:val="auto"/>
              </w:rPr>
            </w:pPr>
            <w:r>
              <w:rPr>
                <w:rFonts w:ascii="Arial" w:cs="Arial" w:eastAsia="Arial" w:hAnsi="Arial"/>
                <w:sz w:val="18"/>
                <w:szCs w:val="18"/>
                <w:b w:val="1"/>
                <w:bCs w:val="1"/>
                <w:color w:val="auto"/>
              </w:rPr>
              <w:t>VistaGen Therapeutics, Inc.</w:t>
            </w:r>
          </w:p>
        </w:tc>
      </w:tr>
      <w:tr>
        <w:trPr>
          <w:trHeight w:val="468"/>
        </w:trPr>
        <w:tc>
          <w:tcPr>
            <w:tcW w:w="3520" w:type="dxa"/>
            <w:vAlign w:val="bottom"/>
          </w:tcPr>
          <w:p>
            <w:pPr>
              <w:spacing w:after="0"/>
              <w:rPr>
                <w:sz w:val="20"/>
                <w:szCs w:val="20"/>
                <w:color w:val="auto"/>
              </w:rPr>
            </w:pPr>
            <w:r>
              <w:rPr>
                <w:rFonts w:ascii="Arial" w:cs="Arial" w:eastAsia="Arial" w:hAnsi="Arial"/>
                <w:sz w:val="18"/>
                <w:szCs w:val="18"/>
                <w:color w:val="auto"/>
              </w:rPr>
              <w:t>Date: June 29, 2020</w:t>
            </w:r>
          </w:p>
        </w:tc>
        <w:tc>
          <w:tcPr>
            <w:tcW w:w="6380" w:type="dxa"/>
            <w:vAlign w:val="bottom"/>
            <w:gridSpan w:val="2"/>
          </w:tcPr>
          <w:p>
            <w:pPr>
              <w:ind w:left="210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Shawn K. Singh</w:t>
            </w:r>
          </w:p>
        </w:tc>
      </w:tr>
      <w:tr>
        <w:trPr>
          <w:trHeight w:val="208"/>
        </w:trPr>
        <w:tc>
          <w:tcPr>
            <w:tcW w:w="3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Shawn K. Singh, J.D.</w:t>
            </w:r>
          </w:p>
        </w:tc>
      </w:tr>
      <w:tr>
        <w:trPr>
          <w:trHeight w:val="222"/>
        </w:trPr>
        <w:tc>
          <w:tcPr>
            <w:tcW w:w="35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b w:val="1"/>
                <w:bCs w:val="1"/>
                <w:i w:val="1"/>
                <w:iCs w:val="1"/>
                <w:color w:val="auto"/>
              </w:rPr>
              <w:t>Chief Executive Officer</w:t>
            </w:r>
          </w:p>
        </w:tc>
      </w:tr>
    </w:tbl>
    <w:p>
      <w:pPr>
        <w:spacing w:after="0" w:line="21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gridSpan w:val="6"/>
          </w:tcPr>
          <w:p>
            <w:pPr>
              <w:ind w:left="20"/>
              <w:spacing w:after="0"/>
              <w:rPr>
                <w:sz w:val="20"/>
                <w:szCs w:val="20"/>
                <w:color w:val="auto"/>
              </w:rPr>
            </w:pPr>
            <w:r>
              <w:rPr>
                <w:rFonts w:ascii="Arial" w:cs="Arial" w:eastAsia="Arial" w:hAnsi="Arial"/>
                <w:sz w:val="18"/>
                <w:szCs w:val="18"/>
                <w:b w:val="1"/>
                <w:bCs w:val="1"/>
                <w:color w:val="auto"/>
              </w:rPr>
              <w:t>Signature</w:t>
            </w:r>
          </w:p>
        </w:tc>
        <w:tc>
          <w:tcPr>
            <w:tcW w:w="5320" w:type="dxa"/>
            <w:vAlign w:val="bottom"/>
          </w:tcPr>
          <w:p>
            <w:pPr>
              <w:ind w:left="3080"/>
              <w:spacing w:after="0"/>
              <w:rPr>
                <w:sz w:val="20"/>
                <w:szCs w:val="20"/>
                <w:color w:val="auto"/>
              </w:rPr>
            </w:pPr>
            <w:r>
              <w:rPr>
                <w:rFonts w:ascii="Arial" w:cs="Arial" w:eastAsia="Arial" w:hAnsi="Arial"/>
                <w:sz w:val="18"/>
                <w:szCs w:val="18"/>
                <w:b w:val="1"/>
                <w:bCs w:val="1"/>
                <w:color w:val="auto"/>
              </w:rPr>
              <w:t>Title</w:t>
            </w:r>
          </w:p>
        </w:tc>
        <w:tc>
          <w:tcPr>
            <w:tcW w:w="2480" w:type="dxa"/>
            <w:vAlign w:val="bottom"/>
          </w:tcPr>
          <w:p>
            <w:pPr>
              <w:jc w:val="center"/>
              <w:ind w:left="452"/>
              <w:spacing w:after="0"/>
              <w:rPr>
                <w:sz w:val="20"/>
                <w:szCs w:val="20"/>
                <w:color w:val="auto"/>
              </w:rPr>
            </w:pPr>
            <w:r>
              <w:rPr>
                <w:rFonts w:ascii="Arial" w:cs="Arial" w:eastAsia="Arial" w:hAnsi="Arial"/>
                <w:sz w:val="18"/>
                <w:szCs w:val="18"/>
                <w:b w:val="1"/>
                <w:bCs w:val="1"/>
                <w:color w:val="auto"/>
                <w:w w:val="87"/>
              </w:rPr>
              <w:t>Date</w:t>
            </w:r>
          </w:p>
        </w:tc>
      </w:tr>
      <w:tr>
        <w:trPr>
          <w:trHeight w:val="393"/>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Shawn K. Singh</w:t>
            </w:r>
          </w:p>
        </w:tc>
        <w:tc>
          <w:tcPr>
            <w:tcW w:w="1720" w:type="dxa"/>
            <w:vAlign w:val="bottom"/>
            <w:gridSpan w:val="6"/>
          </w:tcPr>
          <w:p>
            <w:pPr>
              <w:spacing w:after="0"/>
              <w:rPr>
                <w:sz w:val="24"/>
                <w:szCs w:val="24"/>
                <w:color w:val="auto"/>
              </w:rPr>
            </w:pPr>
          </w:p>
        </w:tc>
        <w:tc>
          <w:tcPr>
            <w:tcW w:w="5320" w:type="dxa"/>
            <w:vAlign w:val="bottom"/>
          </w:tcPr>
          <w:p>
            <w:pPr>
              <w:ind w:left="980"/>
              <w:spacing w:after="0"/>
              <w:rPr>
                <w:sz w:val="20"/>
                <w:szCs w:val="20"/>
                <w:color w:val="auto"/>
              </w:rPr>
            </w:pPr>
            <w:r>
              <w:rPr>
                <w:rFonts w:ascii="Arial" w:cs="Arial" w:eastAsia="Arial" w:hAnsi="Arial"/>
                <w:sz w:val="18"/>
                <w:szCs w:val="18"/>
                <w:color w:val="auto"/>
              </w:rPr>
              <w:t>Chief Executive Officer, and Director</w:t>
            </w:r>
          </w:p>
        </w:tc>
        <w:tc>
          <w:tcPr>
            <w:tcW w:w="2480" w:type="dxa"/>
            <w:vAlign w:val="bottom"/>
          </w:tcPr>
          <w:p>
            <w:pPr>
              <w:jc w:val="center"/>
              <w:ind w:left="452"/>
              <w:spacing w:after="0"/>
              <w:rPr>
                <w:sz w:val="20"/>
                <w:szCs w:val="20"/>
                <w:color w:val="auto"/>
              </w:rPr>
            </w:pPr>
            <w:r>
              <w:rPr>
                <w:rFonts w:ascii="Arial" w:cs="Arial" w:eastAsia="Arial" w:hAnsi="Arial"/>
                <w:sz w:val="18"/>
                <w:szCs w:val="18"/>
                <w:color w:val="auto"/>
                <w:w w:val="85"/>
              </w:rPr>
              <w:t>June 29, 2020</w:t>
            </w:r>
          </w:p>
        </w:tc>
      </w:tr>
      <w:tr>
        <w:trPr>
          <w:trHeight w:val="234"/>
        </w:trPr>
        <w:tc>
          <w:tcPr>
            <w:tcW w:w="3440" w:type="dxa"/>
            <w:vAlign w:val="bottom"/>
            <w:gridSpan w:val="8"/>
          </w:tcPr>
          <w:p>
            <w:pPr>
              <w:spacing w:after="0"/>
              <w:rPr>
                <w:sz w:val="20"/>
                <w:szCs w:val="20"/>
                <w:color w:val="auto"/>
              </w:rPr>
            </w:pPr>
            <w:r>
              <w:rPr>
                <w:rFonts w:ascii="Arial" w:cs="Arial" w:eastAsia="Arial" w:hAnsi="Arial"/>
                <w:sz w:val="18"/>
                <w:szCs w:val="18"/>
                <w:b w:val="1"/>
                <w:bCs w:val="1"/>
                <w:color w:val="auto"/>
              </w:rPr>
              <w:t>Shawn K. Singh, JD</w:t>
            </w:r>
          </w:p>
        </w:tc>
        <w:tc>
          <w:tcPr>
            <w:tcW w:w="5320" w:type="dxa"/>
            <w:vAlign w:val="bottom"/>
          </w:tcPr>
          <w:p>
            <w:pPr>
              <w:ind w:left="980"/>
              <w:spacing w:after="0"/>
              <w:rPr>
                <w:sz w:val="20"/>
                <w:szCs w:val="20"/>
                <w:color w:val="auto"/>
              </w:rPr>
            </w:pPr>
            <w:r>
              <w:rPr>
                <w:rFonts w:ascii="Arial" w:cs="Arial" w:eastAsia="Arial" w:hAnsi="Arial"/>
                <w:sz w:val="18"/>
                <w:szCs w:val="18"/>
                <w:i w:val="1"/>
                <w:iCs w:val="1"/>
                <w:color w:val="auto"/>
              </w:rPr>
              <w:t>(Principal Executive Officer)</w:t>
            </w:r>
          </w:p>
        </w:tc>
        <w:tc>
          <w:tcPr>
            <w:tcW w:w="2480" w:type="dxa"/>
            <w:vAlign w:val="bottom"/>
          </w:tcPr>
          <w:p>
            <w:pPr>
              <w:spacing w:after="0"/>
              <w:rPr>
                <w:sz w:val="20"/>
                <w:szCs w:val="20"/>
                <w:color w:val="auto"/>
              </w:rPr>
            </w:pPr>
          </w:p>
        </w:tc>
      </w:tr>
      <w:tr>
        <w:trPr>
          <w:trHeight w:val="394"/>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Jerrold D. Dotson</w:t>
            </w:r>
          </w:p>
        </w:tc>
        <w:tc>
          <w:tcPr>
            <w:tcW w:w="1620" w:type="dxa"/>
            <w:vAlign w:val="bottom"/>
            <w:gridSpan w:val="4"/>
          </w:tcPr>
          <w:p>
            <w:pPr>
              <w:spacing w:after="0"/>
              <w:rPr>
                <w:sz w:val="24"/>
                <w:szCs w:val="24"/>
                <w:color w:val="auto"/>
              </w:rPr>
            </w:pPr>
          </w:p>
        </w:tc>
        <w:tc>
          <w:tcPr>
            <w:tcW w:w="5320" w:type="dxa"/>
            <w:vAlign w:val="bottom"/>
          </w:tcPr>
          <w:p>
            <w:pPr>
              <w:ind w:left="980"/>
              <w:spacing w:after="0"/>
              <w:rPr>
                <w:sz w:val="20"/>
                <w:szCs w:val="20"/>
                <w:color w:val="auto"/>
              </w:rPr>
            </w:pPr>
            <w:r>
              <w:rPr>
                <w:rFonts w:ascii="Arial" w:cs="Arial" w:eastAsia="Arial" w:hAnsi="Arial"/>
                <w:sz w:val="18"/>
                <w:szCs w:val="18"/>
                <w:color w:val="auto"/>
              </w:rPr>
              <w:t>Vice President and Chief Financial Officer</w:t>
            </w:r>
          </w:p>
        </w:tc>
        <w:tc>
          <w:tcPr>
            <w:tcW w:w="2480" w:type="dxa"/>
            <w:vAlign w:val="bottom"/>
          </w:tcPr>
          <w:p>
            <w:pPr>
              <w:jc w:val="center"/>
              <w:ind w:left="452"/>
              <w:spacing w:after="0"/>
              <w:rPr>
                <w:sz w:val="20"/>
                <w:szCs w:val="20"/>
                <w:color w:val="auto"/>
              </w:rPr>
            </w:pPr>
            <w:r>
              <w:rPr>
                <w:rFonts w:ascii="Arial" w:cs="Arial" w:eastAsia="Arial" w:hAnsi="Arial"/>
                <w:sz w:val="18"/>
                <w:szCs w:val="18"/>
                <w:color w:val="auto"/>
                <w:w w:val="85"/>
              </w:rPr>
              <w:t>June 29, 2020</w:t>
            </w:r>
          </w:p>
        </w:tc>
      </w:tr>
      <w:tr>
        <w:trPr>
          <w:trHeight w:val="234"/>
        </w:trPr>
        <w:tc>
          <w:tcPr>
            <w:tcW w:w="3440" w:type="dxa"/>
            <w:vAlign w:val="bottom"/>
            <w:gridSpan w:val="8"/>
          </w:tcPr>
          <w:p>
            <w:pPr>
              <w:spacing w:after="0"/>
              <w:rPr>
                <w:sz w:val="20"/>
                <w:szCs w:val="20"/>
                <w:color w:val="auto"/>
              </w:rPr>
            </w:pPr>
            <w:r>
              <w:rPr>
                <w:rFonts w:ascii="Arial" w:cs="Arial" w:eastAsia="Arial" w:hAnsi="Arial"/>
                <w:sz w:val="18"/>
                <w:szCs w:val="18"/>
                <w:b w:val="1"/>
                <w:bCs w:val="1"/>
                <w:color w:val="auto"/>
              </w:rPr>
              <w:t>Jerrold D. Dotson</w:t>
            </w:r>
          </w:p>
        </w:tc>
        <w:tc>
          <w:tcPr>
            <w:tcW w:w="5320" w:type="dxa"/>
            <w:vAlign w:val="bottom"/>
          </w:tcPr>
          <w:p>
            <w:pPr>
              <w:ind w:left="980"/>
              <w:spacing w:after="0"/>
              <w:rPr>
                <w:sz w:val="20"/>
                <w:szCs w:val="20"/>
                <w:color w:val="auto"/>
              </w:rPr>
            </w:pPr>
            <w:r>
              <w:rPr>
                <w:rFonts w:ascii="Arial" w:cs="Arial" w:eastAsia="Arial" w:hAnsi="Arial"/>
                <w:sz w:val="18"/>
                <w:szCs w:val="18"/>
                <w:i w:val="1"/>
                <w:iCs w:val="1"/>
                <w:color w:val="auto"/>
              </w:rPr>
              <w:t>(Principal Financial and Accounting Officer)</w:t>
            </w:r>
          </w:p>
        </w:tc>
        <w:tc>
          <w:tcPr>
            <w:tcW w:w="2480" w:type="dxa"/>
            <w:vAlign w:val="bottom"/>
          </w:tcPr>
          <w:p>
            <w:pPr>
              <w:spacing w:after="0"/>
              <w:rPr>
                <w:sz w:val="20"/>
                <w:szCs w:val="20"/>
                <w:color w:val="auto"/>
              </w:rPr>
            </w:pPr>
          </w:p>
        </w:tc>
      </w:tr>
      <w:tr>
        <w:trPr>
          <w:trHeight w:val="393"/>
        </w:trPr>
        <w:tc>
          <w:tcPr>
            <w:tcW w:w="19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rPr>
              <w:t>/s/ H. Ralph Snodgrass</w:t>
            </w:r>
          </w:p>
        </w:tc>
        <w:tc>
          <w:tcPr>
            <w:tcW w:w="1480" w:type="dxa"/>
            <w:vAlign w:val="bottom"/>
            <w:gridSpan w:val="2"/>
          </w:tcPr>
          <w:p>
            <w:pPr>
              <w:spacing w:after="0"/>
              <w:rPr>
                <w:sz w:val="24"/>
                <w:szCs w:val="24"/>
                <w:color w:val="auto"/>
              </w:rPr>
            </w:pPr>
          </w:p>
        </w:tc>
        <w:tc>
          <w:tcPr>
            <w:tcW w:w="5320" w:type="dxa"/>
            <w:vAlign w:val="bottom"/>
          </w:tcPr>
          <w:p>
            <w:pPr>
              <w:ind w:left="980"/>
              <w:spacing w:after="0"/>
              <w:rPr>
                <w:sz w:val="20"/>
                <w:szCs w:val="20"/>
                <w:color w:val="auto"/>
              </w:rPr>
            </w:pPr>
            <w:r>
              <w:rPr>
                <w:rFonts w:ascii="Arial" w:cs="Arial" w:eastAsia="Arial" w:hAnsi="Arial"/>
                <w:sz w:val="18"/>
                <w:szCs w:val="18"/>
                <w:color w:val="auto"/>
              </w:rPr>
              <w:t>President, Chief Scientific Officer and Director</w:t>
            </w:r>
          </w:p>
        </w:tc>
        <w:tc>
          <w:tcPr>
            <w:tcW w:w="2480" w:type="dxa"/>
            <w:vAlign w:val="bottom"/>
          </w:tcPr>
          <w:p>
            <w:pPr>
              <w:jc w:val="center"/>
              <w:ind w:left="452"/>
              <w:spacing w:after="0"/>
              <w:rPr>
                <w:sz w:val="20"/>
                <w:szCs w:val="20"/>
                <w:color w:val="auto"/>
              </w:rPr>
            </w:pPr>
            <w:r>
              <w:rPr>
                <w:rFonts w:ascii="Arial" w:cs="Arial" w:eastAsia="Arial" w:hAnsi="Arial"/>
                <w:sz w:val="18"/>
                <w:szCs w:val="18"/>
                <w:color w:val="auto"/>
                <w:w w:val="85"/>
              </w:rPr>
              <w:t>June 29, 2020</w:t>
            </w:r>
          </w:p>
        </w:tc>
      </w:tr>
      <w:tr>
        <w:trPr>
          <w:trHeight w:val="234"/>
        </w:trPr>
        <w:tc>
          <w:tcPr>
            <w:tcW w:w="3440" w:type="dxa"/>
            <w:vAlign w:val="bottom"/>
            <w:gridSpan w:val="8"/>
          </w:tcPr>
          <w:p>
            <w:pPr>
              <w:spacing w:after="0"/>
              <w:rPr>
                <w:sz w:val="20"/>
                <w:szCs w:val="20"/>
                <w:color w:val="auto"/>
              </w:rPr>
            </w:pPr>
            <w:r>
              <w:rPr>
                <w:rFonts w:ascii="Arial" w:cs="Arial" w:eastAsia="Arial" w:hAnsi="Arial"/>
                <w:sz w:val="18"/>
                <w:szCs w:val="18"/>
                <w:b w:val="1"/>
                <w:bCs w:val="1"/>
                <w:color w:val="auto"/>
              </w:rPr>
              <w:t>H. Ralph Snodgrass, Ph.D</w:t>
            </w:r>
          </w:p>
        </w:tc>
        <w:tc>
          <w:tcPr>
            <w:tcW w:w="53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94"/>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S. Saxe</w:t>
            </w:r>
          </w:p>
        </w:tc>
        <w:tc>
          <w:tcPr>
            <w:tcW w:w="2060" w:type="dxa"/>
            <w:vAlign w:val="bottom"/>
            <w:gridSpan w:val="7"/>
          </w:tcPr>
          <w:p>
            <w:pPr>
              <w:spacing w:after="0"/>
              <w:rPr>
                <w:sz w:val="24"/>
                <w:szCs w:val="24"/>
                <w:color w:val="auto"/>
              </w:rPr>
            </w:pPr>
          </w:p>
        </w:tc>
        <w:tc>
          <w:tcPr>
            <w:tcW w:w="5320" w:type="dxa"/>
            <w:vAlign w:val="bottom"/>
          </w:tcPr>
          <w:p>
            <w:pPr>
              <w:ind w:left="980"/>
              <w:spacing w:after="0"/>
              <w:rPr>
                <w:sz w:val="20"/>
                <w:szCs w:val="20"/>
                <w:color w:val="auto"/>
              </w:rPr>
            </w:pPr>
            <w:r>
              <w:rPr>
                <w:rFonts w:ascii="Arial" w:cs="Arial" w:eastAsia="Arial" w:hAnsi="Arial"/>
                <w:sz w:val="18"/>
                <w:szCs w:val="18"/>
                <w:color w:val="auto"/>
              </w:rPr>
              <w:t>Chairman of the Board of Directors</w:t>
            </w:r>
          </w:p>
        </w:tc>
        <w:tc>
          <w:tcPr>
            <w:tcW w:w="2480" w:type="dxa"/>
            <w:vAlign w:val="bottom"/>
          </w:tcPr>
          <w:p>
            <w:pPr>
              <w:jc w:val="center"/>
              <w:ind w:left="452"/>
              <w:spacing w:after="0"/>
              <w:rPr>
                <w:sz w:val="20"/>
                <w:szCs w:val="20"/>
                <w:color w:val="auto"/>
              </w:rPr>
            </w:pPr>
            <w:r>
              <w:rPr>
                <w:rFonts w:ascii="Arial" w:cs="Arial" w:eastAsia="Arial" w:hAnsi="Arial"/>
                <w:sz w:val="18"/>
                <w:szCs w:val="18"/>
                <w:color w:val="auto"/>
                <w:w w:val="85"/>
              </w:rPr>
              <w:t>June 29, 2020</w:t>
            </w:r>
          </w:p>
        </w:tc>
      </w:tr>
      <w:tr>
        <w:trPr>
          <w:trHeight w:val="235"/>
        </w:trPr>
        <w:tc>
          <w:tcPr>
            <w:tcW w:w="3440" w:type="dxa"/>
            <w:vAlign w:val="bottom"/>
            <w:gridSpan w:val="8"/>
          </w:tcPr>
          <w:p>
            <w:pPr>
              <w:spacing w:after="0"/>
              <w:rPr>
                <w:sz w:val="20"/>
                <w:szCs w:val="20"/>
                <w:color w:val="auto"/>
              </w:rPr>
            </w:pPr>
            <w:r>
              <w:rPr>
                <w:rFonts w:ascii="Arial" w:cs="Arial" w:eastAsia="Arial" w:hAnsi="Arial"/>
                <w:sz w:val="18"/>
                <w:szCs w:val="18"/>
                <w:b w:val="1"/>
                <w:bCs w:val="1"/>
                <w:color w:val="auto"/>
              </w:rPr>
              <w:t>Jon S. Saxe</w:t>
            </w:r>
          </w:p>
        </w:tc>
        <w:tc>
          <w:tcPr>
            <w:tcW w:w="53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94"/>
        </w:trPr>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Ann M. Cunningham</w:t>
            </w:r>
          </w:p>
        </w:tc>
        <w:tc>
          <w:tcPr>
            <w:tcW w:w="1500" w:type="dxa"/>
            <w:vAlign w:val="bottom"/>
            <w:gridSpan w:val="3"/>
          </w:tcPr>
          <w:p>
            <w:pPr>
              <w:spacing w:after="0"/>
              <w:rPr>
                <w:sz w:val="24"/>
                <w:szCs w:val="24"/>
                <w:color w:val="auto"/>
              </w:rPr>
            </w:pPr>
          </w:p>
        </w:tc>
        <w:tc>
          <w:tcPr>
            <w:tcW w:w="5320" w:type="dxa"/>
            <w:vAlign w:val="bottom"/>
          </w:tcPr>
          <w:p>
            <w:pPr>
              <w:ind w:left="98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ind w:left="452"/>
              <w:spacing w:after="0"/>
              <w:rPr>
                <w:sz w:val="20"/>
                <w:szCs w:val="20"/>
                <w:color w:val="auto"/>
              </w:rPr>
            </w:pPr>
            <w:r>
              <w:rPr>
                <w:rFonts w:ascii="Arial" w:cs="Arial" w:eastAsia="Arial" w:hAnsi="Arial"/>
                <w:sz w:val="18"/>
                <w:szCs w:val="18"/>
                <w:color w:val="auto"/>
                <w:w w:val="85"/>
              </w:rPr>
              <w:t>June 29, 2020</w:t>
            </w:r>
          </w:p>
        </w:tc>
      </w:tr>
      <w:tr>
        <w:trPr>
          <w:trHeight w:val="235"/>
        </w:trPr>
        <w:tc>
          <w:tcPr>
            <w:tcW w:w="3440" w:type="dxa"/>
            <w:vAlign w:val="bottom"/>
            <w:gridSpan w:val="8"/>
          </w:tcPr>
          <w:p>
            <w:pPr>
              <w:spacing w:after="0"/>
              <w:rPr>
                <w:sz w:val="20"/>
                <w:szCs w:val="20"/>
                <w:color w:val="auto"/>
              </w:rPr>
            </w:pPr>
            <w:r>
              <w:rPr>
                <w:rFonts w:ascii="Arial" w:cs="Arial" w:eastAsia="Arial" w:hAnsi="Arial"/>
                <w:sz w:val="18"/>
                <w:szCs w:val="18"/>
                <w:b w:val="1"/>
                <w:bCs w:val="1"/>
                <w:color w:val="auto"/>
              </w:rPr>
              <w:t>Ann M. Cunningham</w:t>
            </w:r>
          </w:p>
        </w:tc>
        <w:tc>
          <w:tcPr>
            <w:tcW w:w="53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93"/>
        </w:trPr>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Jerry B. Gin, Ph.D</w:t>
            </w:r>
          </w:p>
        </w:tc>
        <w:tc>
          <w:tcPr>
            <w:tcW w:w="1700" w:type="dxa"/>
            <w:vAlign w:val="bottom"/>
            <w:gridSpan w:val="5"/>
          </w:tcPr>
          <w:p>
            <w:pPr>
              <w:spacing w:after="0"/>
              <w:rPr>
                <w:sz w:val="24"/>
                <w:szCs w:val="24"/>
                <w:color w:val="auto"/>
              </w:rPr>
            </w:pPr>
          </w:p>
        </w:tc>
        <w:tc>
          <w:tcPr>
            <w:tcW w:w="5320" w:type="dxa"/>
            <w:vAlign w:val="bottom"/>
          </w:tcPr>
          <w:p>
            <w:pPr>
              <w:ind w:left="98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ind w:left="452"/>
              <w:spacing w:after="0"/>
              <w:rPr>
                <w:sz w:val="20"/>
                <w:szCs w:val="20"/>
                <w:color w:val="auto"/>
              </w:rPr>
            </w:pPr>
            <w:r>
              <w:rPr>
                <w:rFonts w:ascii="Arial" w:cs="Arial" w:eastAsia="Arial" w:hAnsi="Arial"/>
                <w:sz w:val="18"/>
                <w:szCs w:val="18"/>
                <w:color w:val="auto"/>
                <w:w w:val="85"/>
              </w:rPr>
              <w:t>June 29, 2020</w:t>
            </w:r>
          </w:p>
        </w:tc>
      </w:tr>
      <w:tr>
        <w:trPr>
          <w:trHeight w:val="235"/>
        </w:trPr>
        <w:tc>
          <w:tcPr>
            <w:tcW w:w="3440" w:type="dxa"/>
            <w:vAlign w:val="bottom"/>
            <w:gridSpan w:val="8"/>
          </w:tcPr>
          <w:p>
            <w:pPr>
              <w:spacing w:after="0"/>
              <w:rPr>
                <w:sz w:val="20"/>
                <w:szCs w:val="20"/>
                <w:color w:val="auto"/>
              </w:rPr>
            </w:pPr>
            <w:r>
              <w:rPr>
                <w:rFonts w:ascii="Arial" w:cs="Arial" w:eastAsia="Arial" w:hAnsi="Arial"/>
                <w:sz w:val="18"/>
                <w:szCs w:val="18"/>
                <w:b w:val="1"/>
                <w:bCs w:val="1"/>
                <w:color w:val="auto"/>
              </w:rPr>
              <w:t>Jerry B. Gin, Ph.D.</w:t>
            </w:r>
          </w:p>
        </w:tc>
        <w:tc>
          <w:tcPr>
            <w:tcW w:w="53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93"/>
        </w:trPr>
        <w:tc>
          <w:tcPr>
            <w:tcW w:w="19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/s/ Brian J. Underdown</w:t>
            </w:r>
          </w:p>
        </w:tc>
        <w:tc>
          <w:tcPr>
            <w:tcW w:w="1460" w:type="dxa"/>
            <w:vAlign w:val="bottom"/>
          </w:tcPr>
          <w:p>
            <w:pPr>
              <w:spacing w:after="0"/>
              <w:rPr>
                <w:sz w:val="24"/>
                <w:szCs w:val="24"/>
                <w:color w:val="auto"/>
              </w:rPr>
            </w:pPr>
          </w:p>
        </w:tc>
        <w:tc>
          <w:tcPr>
            <w:tcW w:w="5320" w:type="dxa"/>
            <w:vAlign w:val="bottom"/>
          </w:tcPr>
          <w:p>
            <w:pPr>
              <w:ind w:left="98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ind w:left="452"/>
              <w:spacing w:after="0"/>
              <w:rPr>
                <w:sz w:val="20"/>
                <w:szCs w:val="20"/>
                <w:color w:val="auto"/>
              </w:rPr>
            </w:pPr>
            <w:r>
              <w:rPr>
                <w:rFonts w:ascii="Arial" w:cs="Arial" w:eastAsia="Arial" w:hAnsi="Arial"/>
                <w:sz w:val="18"/>
                <w:szCs w:val="18"/>
                <w:color w:val="auto"/>
                <w:w w:val="85"/>
              </w:rPr>
              <w:t>June 29, 2020</w:t>
            </w:r>
          </w:p>
        </w:tc>
      </w:tr>
      <w:tr>
        <w:trPr>
          <w:trHeight w:val="235"/>
        </w:trPr>
        <w:tc>
          <w:tcPr>
            <w:tcW w:w="3440" w:type="dxa"/>
            <w:vAlign w:val="bottom"/>
            <w:gridSpan w:val="8"/>
          </w:tcPr>
          <w:p>
            <w:pPr>
              <w:spacing w:after="0"/>
              <w:rPr>
                <w:sz w:val="20"/>
                <w:szCs w:val="20"/>
                <w:color w:val="auto"/>
              </w:rPr>
            </w:pPr>
            <w:r>
              <w:rPr>
                <w:rFonts w:ascii="Arial" w:cs="Arial" w:eastAsia="Arial" w:hAnsi="Arial"/>
                <w:sz w:val="18"/>
                <w:szCs w:val="18"/>
                <w:b w:val="1"/>
                <w:bCs w:val="1"/>
                <w:color w:val="auto"/>
              </w:rPr>
              <w:t>Brian J. Underdown, Ph. D</w:t>
            </w:r>
          </w:p>
        </w:tc>
        <w:tc>
          <w:tcPr>
            <w:tcW w:w="53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873"/>
        </w:trPr>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-132-</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Statements on Form S-8 (File Nos. 333-234026, 333-223556 and 333-208354), Form S-3 (File Nos. 333-237968, 333-234025 and 333-215671) and Form S-1 (No. 333-237514) of VistaGen Therapeutics, Inc. of our report dated June 29, 2020 (which report expresses an unqualified opinion and includes an explanatory paragraph expressing substantial doubt about the Company’s ability to continue as a going concern), relating to the consolidated financial statements of VistaGen Therapeutics, Inc., which appears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June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93" w:lineRule="exact"/>
        <w:rPr>
          <w:rFonts w:ascii="Arial" w:cs="Arial" w:eastAsia="Arial" w:hAnsi="Arial"/>
          <w:sz w:val="18"/>
          <w:szCs w:val="18"/>
          <w:color w:val="auto"/>
        </w:rPr>
      </w:pPr>
    </w:p>
    <w:p>
      <w:pPr>
        <w:ind w:left="660" w:hanging="652"/>
        <w:spacing w:after="0" w:line="331"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jc w:val="both"/>
        <w:ind w:left="660" w:right="20" w:hanging="652"/>
        <w:spacing w:after="0" w:line="259"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jc w:val="both"/>
        <w:ind w:firstLine="332"/>
        <w:spacing w:after="0" w:line="259" w:lineRule="auto"/>
        <w:tabs>
          <w:tab w:leader="none" w:pos="1062"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firstLine="332"/>
        <w:spacing w:after="0" w:line="259" w:lineRule="auto"/>
        <w:tabs>
          <w:tab w:leader="none" w:pos="121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firstLine="332"/>
        <w:spacing w:after="0" w:line="331" w:lineRule="auto"/>
        <w:tabs>
          <w:tab w:leader="none" w:pos="1255"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firstLine="332"/>
        <w:spacing w:after="0" w:line="259" w:lineRule="auto"/>
        <w:tabs>
          <w:tab w:leader="none" w:pos="106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left="660" w:right="20" w:hanging="652"/>
        <w:spacing w:after="0" w:line="331"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firstLine="332"/>
        <w:spacing w:after="0" w:line="268" w:lineRule="auto"/>
        <w:tabs>
          <w:tab w:leader="none" w:pos="1022"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100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color w:val="auto"/>
        </w:rPr>
        <w:t>June 29, 2020</w:t>
      </w:r>
      <w:r>
        <w:rPr>
          <w:sz w:val="20"/>
          <w:szCs w:val="20"/>
          <w:color w:val="auto"/>
        </w:rPr>
        <w:tab/>
      </w:r>
      <w:r>
        <w:rPr>
          <w:rFonts w:ascii="Arial" w:cs="Arial" w:eastAsia="Arial" w:hAnsi="Arial"/>
          <w:sz w:val="16"/>
          <w:szCs w:val="16"/>
          <w:u w:val="single" w:color="auto"/>
          <w:color w:val="auto"/>
        </w:rPr>
        <w:t>/s/ Shawn K. Singh</w:t>
      </w:r>
    </w:p>
    <w:p>
      <w:pPr>
        <w:spacing w:after="0" w:line="3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Shawn K. Singh, JD</w:t>
      </w:r>
    </w:p>
    <w:p>
      <w:pPr>
        <w:spacing w:after="0" w:line="3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25"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93" w:lineRule="exact"/>
        <w:rPr>
          <w:rFonts w:ascii="Arial" w:cs="Arial" w:eastAsia="Arial" w:hAnsi="Arial"/>
          <w:sz w:val="18"/>
          <w:szCs w:val="18"/>
          <w:color w:val="auto"/>
        </w:rPr>
      </w:pPr>
    </w:p>
    <w:p>
      <w:pPr>
        <w:ind w:left="660" w:hanging="652"/>
        <w:spacing w:after="0" w:line="331"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jc w:val="both"/>
        <w:ind w:left="660" w:right="20" w:hanging="652"/>
        <w:spacing w:after="0" w:line="259"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jc w:val="both"/>
        <w:ind w:firstLine="332"/>
        <w:spacing w:after="0" w:line="259" w:lineRule="auto"/>
        <w:tabs>
          <w:tab w:leader="none" w:pos="1062"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jc w:val="both"/>
        <w:ind w:firstLine="332"/>
        <w:spacing w:after="0" w:line="259" w:lineRule="auto"/>
        <w:tabs>
          <w:tab w:leader="none" w:pos="121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firstLine="332"/>
        <w:spacing w:after="0" w:line="331" w:lineRule="auto"/>
        <w:tabs>
          <w:tab w:leader="none" w:pos="1255"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firstLine="332"/>
        <w:spacing w:after="0" w:line="259" w:lineRule="auto"/>
        <w:tabs>
          <w:tab w:leader="none" w:pos="1063"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left="660" w:right="20" w:hanging="652"/>
        <w:spacing w:after="0" w:line="331"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firstLine="332"/>
        <w:spacing w:after="0" w:line="268" w:lineRule="auto"/>
        <w:tabs>
          <w:tab w:leader="none" w:pos="102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100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June 29, 2020</w:t>
      </w:r>
      <w:r>
        <w:rPr>
          <w:sz w:val="20"/>
          <w:szCs w:val="20"/>
          <w:color w:val="auto"/>
        </w:rPr>
        <w:tab/>
      </w:r>
      <w:r>
        <w:rPr>
          <w:rFonts w:ascii="Arial" w:cs="Arial" w:eastAsia="Arial" w:hAnsi="Arial"/>
          <w:sz w:val="16"/>
          <w:szCs w:val="16"/>
          <w:u w:val="single" w:color="auto"/>
          <w:color w:val="auto"/>
        </w:rPr>
        <w:t>/s/ Jerrold D. Dotson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Jerrold D. Dotson</w:t>
      </w:r>
    </w:p>
    <w:p>
      <w:pPr>
        <w:spacing w:after="0" w:line="3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3" w:name="page144"/>
    <w:bookmarkEnd w:id="143"/>
    <w:p>
      <w:pPr>
        <w:ind w:left="10260"/>
        <w:spacing w:after="0"/>
        <w:rPr>
          <w:sz w:val="20"/>
          <w:szCs w:val="20"/>
          <w:color w:val="auto"/>
        </w:rPr>
      </w:pPr>
      <w:r>
        <w:rPr>
          <w:rFonts w:ascii="Arial" w:cs="Arial" w:eastAsia="Arial" w:hAnsi="Arial"/>
          <w:sz w:val="18"/>
          <w:szCs w:val="18"/>
          <w:b w:val="1"/>
          <w:bCs w:val="1"/>
          <w:color w:val="auto"/>
        </w:rPr>
        <w:t>EXHIBIT 32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83"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 hereby certifies, to such officer’s knowledge, that:</w:t>
      </w:r>
    </w:p>
    <w:p>
      <w:pPr>
        <w:spacing w:after="0" w:line="118" w:lineRule="exact"/>
        <w:rPr>
          <w:sz w:val="20"/>
          <w:szCs w:val="20"/>
          <w:color w:val="auto"/>
        </w:rPr>
      </w:pPr>
    </w:p>
    <w:p>
      <w:pPr>
        <w:ind w:left="500" w:firstLine="480"/>
        <w:spacing w:after="0" w:line="331" w:lineRule="auto"/>
        <w:tabs>
          <w:tab w:leader="none" w:pos="1206"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annual period ended March 31, 2020 (the “</w:t>
      </w:r>
      <w:r>
        <w:rPr>
          <w:rFonts w:ascii="Arial" w:cs="Arial" w:eastAsia="Arial" w:hAnsi="Arial"/>
          <w:sz w:val="16"/>
          <w:szCs w:val="16"/>
          <w:i w:val="1"/>
          <w:iCs w:val="1"/>
          <w:color w:val="auto"/>
        </w:rPr>
        <w:t>Report</w:t>
      </w:r>
      <w:r>
        <w:rPr>
          <w:rFonts w:ascii="Arial" w:cs="Arial" w:eastAsia="Arial" w:hAnsi="Arial"/>
          <w:sz w:val="16"/>
          <w:szCs w:val="16"/>
          <w:color w:val="auto"/>
        </w:rPr>
        <w:t>”) fully complies with the requirements of Section 13(a) or Section 15(d), as applicable, of the Securities Exchange Act of 1934, as amended; and</w:t>
      </w:r>
    </w:p>
    <w:p>
      <w:pPr>
        <w:spacing w:after="0" w:line="73" w:lineRule="exact"/>
        <w:rPr>
          <w:rFonts w:ascii="Arial" w:cs="Arial" w:eastAsia="Arial" w:hAnsi="Arial"/>
          <w:sz w:val="16"/>
          <w:szCs w:val="16"/>
          <w:color w:val="auto"/>
        </w:rPr>
      </w:pPr>
    </w:p>
    <w:p>
      <w:pPr>
        <w:ind w:left="1260" w:hanging="280"/>
        <w:spacing w:after="0"/>
        <w:tabs>
          <w:tab w:leader="none" w:pos="1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June 29,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5"/>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lvl w:ilvl="1">
      <w:lvlJc w:val="left"/>
      <w:lvlText w:val="(%2)"/>
      <w:numFmt w:val="lowerRoman"/>
      <w:start w:val="2"/>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upperLetter"/>
      <w:start w:val="68"/>
    </w:lvl>
  </w:abstractNum>
  <w:abstractNum w:abstractNumId="35">
    <w:nsid w:val="7644A45C"/>
    <w:multiLevelType w:val="hybridMultilevel"/>
    <w:lvl w:ilvl="0">
      <w:lvlJc w:val="left"/>
      <w:lvlText w:val="(%1)"/>
      <w:numFmt w:val="lowerLetter"/>
      <w:start w:val="2"/>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2" Type="http://schemas.openxmlformats.org/officeDocument/2006/relationships/image" Target="media/image144.png"/><Relationship Id="rId155" Type="http://schemas.openxmlformats.org/officeDocument/2006/relationships/image" Target="media/image145.png"/><Relationship Id="rId158" Type="http://schemas.openxmlformats.org/officeDocument/2006/relationships/image" Target="media/image146.png"/><Relationship Id="rId161" Type="http://schemas.openxmlformats.org/officeDocument/2006/relationships/image" Target="media/image147.png"/><Relationship Id="rId164" Type="http://schemas.openxmlformats.org/officeDocument/2006/relationships/image" Target="media/image148.png"/><Relationship Id="rId167" Type="http://schemas.openxmlformats.org/officeDocument/2006/relationships/image" Target="media/image149.png"/><Relationship Id="rId170" Type="http://schemas.openxmlformats.org/officeDocument/2006/relationships/image" Target="media/image150.png"/><Relationship Id="rId173" Type="http://schemas.openxmlformats.org/officeDocument/2006/relationships/image" Target="media/image151.png"/><Relationship Id="rId176" Type="http://schemas.openxmlformats.org/officeDocument/2006/relationships/image" Target="media/image152.png"/><Relationship Id="rId178" Type="http://schemas.openxmlformats.org/officeDocument/2006/relationships/image" Target="media/image153.png"/><Relationship Id="rId180" Type="http://schemas.openxmlformats.org/officeDocument/2006/relationships/image" Target="media/image154.png"/><Relationship Id="rId183" Type="http://schemas.openxmlformats.org/officeDocument/2006/relationships/image" Target="media/image155.png"/><Relationship Id="rId186" Type="http://schemas.openxmlformats.org/officeDocument/2006/relationships/image" Target="media/image156.png"/><Relationship Id="rId189" Type="http://schemas.openxmlformats.org/officeDocument/2006/relationships/image" Target="media/image157.png"/><Relationship Id="rId192" Type="http://schemas.openxmlformats.org/officeDocument/2006/relationships/image" Target="media/image158.png"/><Relationship Id="rId195" Type="http://schemas.openxmlformats.org/officeDocument/2006/relationships/image" Target="media/image159.png"/><Relationship Id="rId198" Type="http://schemas.openxmlformats.org/officeDocument/2006/relationships/image" Target="media/image160.png"/><Relationship Id="rId201" Type="http://schemas.openxmlformats.org/officeDocument/2006/relationships/image" Target="media/image161.png"/><Relationship Id="rId204" Type="http://schemas.openxmlformats.org/officeDocument/2006/relationships/image" Target="media/image162.png"/><Relationship Id="rId207" Type="http://schemas.openxmlformats.org/officeDocument/2006/relationships/image" Target="media/image163.png"/><Relationship Id="rId210" Type="http://schemas.openxmlformats.org/officeDocument/2006/relationships/image" Target="media/image164.png"/><Relationship Id="rId213" Type="http://schemas.openxmlformats.org/officeDocument/2006/relationships/image" Target="media/image165.png"/><Relationship Id="rId215" Type="http://schemas.openxmlformats.org/officeDocument/2006/relationships/image" Target="media/image166.png"/><Relationship Id="rId236" Type="http://schemas.openxmlformats.org/officeDocument/2006/relationships/image" Target="media/image167.png"/><Relationship Id="rId237" Type="http://schemas.openxmlformats.org/officeDocument/2006/relationships/image" Target="media/image168.png"/><Relationship Id="rId238" Type="http://schemas.openxmlformats.org/officeDocument/2006/relationships/image" Target="media/image169.png"/><Relationship Id="rId239" Type="http://schemas.openxmlformats.org/officeDocument/2006/relationships/image" Target="media/image170.png"/><Relationship Id="rId240" Type="http://schemas.openxmlformats.org/officeDocument/2006/relationships/image" Target="media/image171.png"/><Relationship Id="rId151" Type="http://schemas.openxmlformats.org/officeDocument/2006/relationships/hyperlink" Target="http://www.sec.gov/Archives/edgar/data/1411685/000141588911000362/ex2-1.htm" TargetMode="External"/><Relationship Id="rId153" Type="http://schemas.openxmlformats.org/officeDocument/2006/relationships/hyperlink" Target="http://www.sec.gov/Archives/edgar/data/1411685/000141588911000445/exhibit3-1.htm" TargetMode="External"/><Relationship Id="rId154" Type="http://schemas.openxmlformats.org/officeDocument/2006/relationships/hyperlink" Target="http://www.sec.gov/Archives/edgar/data/1411685/000141588911001446/ex3-12232011_081210.htm" TargetMode="External"/><Relationship Id="rId156" Type="http://schemas.openxmlformats.org/officeDocument/2006/relationships/hyperlink" Target="http://www.sec.gov/Archives/edgar/data/1411685/000141588914002464/ex3-1.htm" TargetMode="External"/><Relationship Id="rId157" Type="http://schemas.openxmlformats.org/officeDocument/2006/relationships/hyperlink" Target="http://www.sec.gov/Archives/edgar/data/1411685/000141588915001677/ex3-1.htm" TargetMode="External"/><Relationship Id="rId159" Type="http://schemas.openxmlformats.org/officeDocument/2006/relationships/hyperlink" Target="http://www.sec.gov/Archives/edgar/data/1411685/000141588916004564/ex3-01292016_020121.htm" TargetMode="External"/><Relationship Id="rId160" Type="http://schemas.openxmlformats.org/officeDocument/2006/relationships/hyperlink" Target="http://www.sec.gov/Archives/edgar/data/1411685/000141588916006879/ex3-1.htm" TargetMode="External"/><Relationship Id="rId162" Type="http://schemas.openxmlformats.org/officeDocument/2006/relationships/hyperlink" Target="http://www.sec.gov/Archives/edgar/data/1411685/000141588916006879/ex3-2.htm" TargetMode="External"/><Relationship Id="rId163" Type="http://schemas.openxmlformats.org/officeDocument/2006/relationships/hyperlink" Target="http://www.sec.gov/Archives/edgar/data/1411685/000165495417008632/ex3-1.htm" TargetMode="External"/><Relationship Id="rId165" Type="http://schemas.openxmlformats.org/officeDocument/2006/relationships/hyperlink" Target="http://www.sec.gov/Archives/edgar/data/1411685/000165495419010432/ex3-1.htm" TargetMode="External"/><Relationship Id="rId166" Type="http://schemas.openxmlformats.org/officeDocument/2006/relationships/hyperlink" Target="http://www.sec.gov/Archives/edgar/data/1411685/000141588911000362/ex10-22.htm" TargetMode="External"/><Relationship Id="rId168" Type="http://schemas.openxmlformats.org/officeDocument/2006/relationships/hyperlink" Target="http://www.sec.gov/Archives/edgar/data/1411685/000141588911000362/ex10-26.htm" TargetMode="External"/><Relationship Id="rId169" Type="http://schemas.openxmlformats.org/officeDocument/2006/relationships/hyperlink" Target="http://www.sec.gov/Archives/edgar/data/1411685/000141588911000362/ex10-40.htm" TargetMode="External"/><Relationship Id="rId171" Type="http://schemas.openxmlformats.org/officeDocument/2006/relationships/hyperlink" Target="http://www.sec.gov/Archives/edgar/data/1411685/000141588911000362/ex10-41.htm" TargetMode="External"/><Relationship Id="rId172" Type="http://schemas.openxmlformats.org/officeDocument/2006/relationships/hyperlink" Target="http://www.sec.gov/Archives/edgar/data/1411685/000141588911001342/ex10-11302011_101124.htm" TargetMode="External"/><Relationship Id="rId174" Type="http://schemas.openxmlformats.org/officeDocument/2006/relationships/hyperlink" Target="http://www.sec.gov/Archives/edgar/data/1411685/000141588912000973/ex10-57.htm" TargetMode="External"/><Relationship Id="rId175" Type="http://schemas.openxmlformats.org/officeDocument/2006/relationships/hyperlink" Target="http://www.sec.gov/Archives/edgar/data/1411685/000141588912001496/ex10-1.htm" TargetMode="External"/><Relationship Id="rId177" Type="http://schemas.openxmlformats.org/officeDocument/2006/relationships/hyperlink" Target="http://www.sec.gov/Archives/edgar/data/1411685/000141588912001749/ex10-11202012_021125.htm" TargetMode="External"/><Relationship Id="rId179" Type="http://schemas.openxmlformats.org/officeDocument/2006/relationships/hyperlink" Target="http://www.sec.gov/Archives/edgar/data/1411685/000141588913000263/npeaamend.htm" TargetMode="External"/><Relationship Id="rId181" Type="http://schemas.openxmlformats.org/officeDocument/2006/relationships/hyperlink" Target="http://www.sec.gov/Archives/edgar/data/1411685/000141588913000316/ex10-02282013_010201.htm" TargetMode="External"/><Relationship Id="rId182" Type="http://schemas.openxmlformats.org/officeDocument/2006/relationships/hyperlink" Target="http://www.sec.gov/Archives/edgar/data/1411685/000141588913000363/ex10-03062013_040313.htm" TargetMode="External"/><Relationship Id="rId184" Type="http://schemas.openxmlformats.org/officeDocument/2006/relationships/hyperlink" Target="http://www.sec.gov/Archives/edgar/data/1411685/000141588913001409/leasebaysidevistagen.htm" TargetMode="External"/><Relationship Id="rId185" Type="http://schemas.openxmlformats.org/officeDocument/2006/relationships/hyperlink" Target="http://www.sec.gov/Archives/edgar/data/1411685/000141588913001409/saxeindemnification.htm" TargetMode="External"/><Relationship Id="rId187" Type="http://schemas.openxmlformats.org/officeDocument/2006/relationships/hyperlink" Target="http://www.sec.gov/Archives/edgar/data/1411685/000141588913001409/singhindemnification.htm" TargetMode="External"/><Relationship Id="rId188" Type="http://schemas.openxmlformats.org/officeDocument/2006/relationships/hyperlink" Target="http://www.sec.gov/Archives/edgar/data/1411685/000141588913001409/snodgrassindemnification.htm" TargetMode="External"/><Relationship Id="rId190" Type="http://schemas.openxmlformats.org/officeDocument/2006/relationships/hyperlink" Target="http://www.sec.gov/Archives/edgar/data/1411685/000141588913001409/underdownindemnification.htm" TargetMode="External"/><Relationship Id="rId191" Type="http://schemas.openxmlformats.org/officeDocument/2006/relationships/hyperlink" Target="http://www.sec.gov/Archives/edgar/data/1411685/000141588913001409/dotsonindemnification.htm" TargetMode="External"/><Relationship Id="rId193" Type="http://schemas.openxmlformats.org/officeDocument/2006/relationships/hyperlink" Target="http://www.sec.gov/Archives/edgar/data/1411685/000141588916004564/ex10-01292016_020122.htm" TargetMode="External"/><Relationship Id="rId194" Type="http://schemas.openxmlformats.org/officeDocument/2006/relationships/hyperlink" Target="http://www.sec.gov/Archives/edgar/data/1411685/000141588916006331/ex10-112.htm" TargetMode="External"/><Relationship Id="rId196" Type="http://schemas.openxmlformats.org/officeDocument/2006/relationships/hyperlink" Target="http://www.sec.gov/Archives/edgar/data/1411685/000141588916005945/ex1-1.htm" TargetMode="External"/><Relationship Id="rId197" Type="http://schemas.openxmlformats.org/officeDocument/2006/relationships/hyperlink" Target="http://www.sec.gov/Archives/edgar/data/1411685/000141588916005945/ex4-1.htm" TargetMode="External"/><Relationship Id="rId199" Type="http://schemas.openxmlformats.org/officeDocument/2006/relationships/hyperlink" Target="http://www.sec.gov/Archives/edgar/data/1411685/000141588916005945/ex4-2.htm" TargetMode="External"/><Relationship Id="rId200" Type="http://schemas.openxmlformats.org/officeDocument/2006/relationships/hyperlink" Target="http://www.sec.gov/Archives/edgar/data/1411685/000141588916006331/ex10-116.htm" TargetMode="External"/><Relationship Id="rId202" Type="http://schemas.openxmlformats.org/officeDocument/2006/relationships/hyperlink" Target="http://www.sec.gov/Archives/edgar/data/1411685/000141588916006331/ex10-117.htm" TargetMode="External"/><Relationship Id="rId203" Type="http://schemas.openxmlformats.org/officeDocument/2006/relationships/hyperlink" Target="http://www.sec.gov/Archives/edgar/data/1411685/000141588916007413/ex10-1.htm" TargetMode="External"/><Relationship Id="rId205" Type="http://schemas.openxmlformats.org/officeDocument/2006/relationships/hyperlink" Target="http://www.sec.gov/Archives/edgar/data/1411685/000141588916007413/ex10-2.htm" TargetMode="External"/><Relationship Id="rId206" Type="http://schemas.openxmlformats.org/officeDocument/2006/relationships/hyperlink" Target="http://www.sec.gov/Archives/edgar/data/1411685/000165495417004468/ex10-1.htm" TargetMode="External"/><Relationship Id="rId208" Type="http://schemas.openxmlformats.org/officeDocument/2006/relationships/hyperlink" Target="http://www.sec.gov/Archives/edgar/data/1411685/000165495417003815/ex10-2.htm" TargetMode="External"/><Relationship Id="rId209" Type="http://schemas.openxmlformats.org/officeDocument/2006/relationships/hyperlink" Target="http://www.sec.gov/Archives/edgar/data/1411685/000165495417005976/ex10-122.htm" TargetMode="External"/><Relationship Id="rId211" Type="http://schemas.openxmlformats.org/officeDocument/2006/relationships/hyperlink" Target="http://www.sec.gov/Archives/edgar/data/1411685/000165495417008025/vsta_ex11.htm" TargetMode="External"/><Relationship Id="rId212" Type="http://schemas.openxmlformats.org/officeDocument/2006/relationships/hyperlink" Target="http://www.sec.gov/Archives/edgar/data/1411685/000165495417008025/ex4-1.htm" TargetMode="External"/><Relationship Id="rId214" Type="http://schemas.openxmlformats.org/officeDocument/2006/relationships/hyperlink" Target="http://www.sec.gov/Archives/edgar/data/1411685/000165495417011630/ex4-1.htm" TargetMode="External"/><Relationship Id="rId216" Type="http://schemas.openxmlformats.org/officeDocument/2006/relationships/hyperlink" Target="http://www.sec.gov/Archives/edgar/data/1411685/000165495418008742/ex10-1.htm" TargetMode="External"/><Relationship Id="rId217" Type="http://schemas.openxmlformats.org/officeDocument/2006/relationships/hyperlink" Target="http://www.sec.gov/Archives/edgar/data/1411685/000165495418008742/ex10-2.htm" TargetMode="External"/><Relationship Id="rId218" Type="http://schemas.openxmlformats.org/officeDocument/2006/relationships/hyperlink" Target="http://www.sec.gov/Archives/edgar/data/1411685/000165495418010158/ex10-1.htm" TargetMode="External"/><Relationship Id="rId219" Type="http://schemas.openxmlformats.org/officeDocument/2006/relationships/hyperlink" Target="http://www.sec.gov/Archives/edgar/data/1411685/000165495418010158/ex10-2.htm" TargetMode="External"/><Relationship Id="rId220" Type="http://schemas.openxmlformats.org/officeDocument/2006/relationships/hyperlink" Target="http://www.sec.gov/Archives/edgar/data/1411685/000165495418011715/ex10-3.htm" TargetMode="External"/><Relationship Id="rId221" Type="http://schemas.openxmlformats.org/officeDocument/2006/relationships/hyperlink" Target="http://www.sec.gov/Archives/edgar/data/1411685/000165495418011665/ex10-4.htm" TargetMode="External"/><Relationship Id="rId222" Type="http://schemas.openxmlformats.org/officeDocument/2006/relationships/hyperlink" Target="http://www.sec.gov/Archives/edgar/data/1411685/000165495418011665/ex10-5.htm" TargetMode="External"/><Relationship Id="rId223" Type="http://schemas.openxmlformats.org/officeDocument/2006/relationships/hyperlink" Target="http://www.sec.gov/Archives/edgar/data/1411685/000165495419000496/ex10-1.htm" TargetMode="External"/><Relationship Id="rId224" Type="http://schemas.openxmlformats.org/officeDocument/2006/relationships/hyperlink" Target="http://www.sec.gov/Archives/edgar/data/1411685/000165495419007632/ex10_136.htm" TargetMode="External"/><Relationship Id="rId225" Type="http://schemas.openxmlformats.org/officeDocument/2006/relationships/hyperlink" Target="http://www.sec.gov/Archives/edgar/data/1411685/000165495419002248/ex1-1.htm" TargetMode="External"/><Relationship Id="rId226" Type="http://schemas.openxmlformats.org/officeDocument/2006/relationships/hyperlink" Target="http://www.sec.gov/Archives/edgar/data/1411685/000165495419007632/ex10-138.htm" TargetMode="External"/><Relationship Id="rId227" Type="http://schemas.openxmlformats.org/officeDocument/2006/relationships/hyperlink" Target="http://www.sec.gov/Archives/edgar/data/1411685/000165495419008434/def14a_july262019.htm" TargetMode="External"/><Relationship Id="rId228" Type="http://schemas.openxmlformats.org/officeDocument/2006/relationships/hyperlink" Target="http://www.sec.gov/Archives/edgar/data/1411685/000165495419012431/ex10-1.htm" TargetMode="External"/><Relationship Id="rId229" Type="http://schemas.openxmlformats.org/officeDocument/2006/relationships/hyperlink" Target="http://www.sec.gov/Archives/edgar/data/1411685/000165495419012431/ex10-2.htm" TargetMode="External"/><Relationship Id="rId230" Type="http://schemas.openxmlformats.org/officeDocument/2006/relationships/hyperlink" Target="http://www.sec.gov/Archives/edgar/data/1411685/000165495420000744/ex10-1.htm" TargetMode="External"/><Relationship Id="rId231" Type="http://schemas.openxmlformats.org/officeDocument/2006/relationships/hyperlink" Target="http://www.sec.gov/Archives/edgar/data/1411685/000165495420000744/ex10-2.htm" TargetMode="External"/><Relationship Id="rId232" Type="http://schemas.openxmlformats.org/officeDocument/2006/relationships/hyperlink" Target="http://www.sec.gov/Archives/edgar/data/1411685/000165495420003246/ex10-1.htm" TargetMode="External"/><Relationship Id="rId233" Type="http://schemas.openxmlformats.org/officeDocument/2006/relationships/hyperlink" Target="http://www.sec.gov/Archives/edgar/data/1411685/000165495420003246/ex10-2.htm" TargetMode="External"/><Relationship Id="rId234" Type="http://schemas.openxmlformats.org/officeDocument/2006/relationships/hyperlink" Target="http://www.sec.gov/Archives/edgar/data/1411685/000165495420004484/ex10-1.htm" TargetMode="External"/><Relationship Id="rId235" Type="http://schemas.openxmlformats.org/officeDocument/2006/relationships/hyperlink" Target="http://www.sec.gov/Archives/edgar/data/1411685/00016549542000702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2020-06-30T07:47:58Z</dcterms:created>
  <dcterms:modified xsi:type="dcterms:W3CDTF">2020-06-30T07:47:58Z</dcterms:modified>
</cp:coreProperties>
</file>