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1/3rd of the total number of shares shall be immediately vested upon the Vesting Start Date, 9/19/2017, and 1/24th of the remaining number of shares shall vest monthly thereafter until all awarded shares are fully vested two (2) years from the Vesting Start Date.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2020-01-16T04:31:59Z</dcterms:created>
  <dcterms:modified xsi:type="dcterms:W3CDTF">2020-01-16T04:31:59Z</dcterms:modified>
</cp:coreProperties>
</file>