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18, 2026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appointed Angel S. Angelov, M.D., MBA to serve as the Company’s Chief Medical Officer.</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Dr. Angelov, age 57, served as Chief Medical Officer at Theranica, a neuromodulation therapeutics company, from October 2024 to May 2026. Prior to Theranica, Dr. Angelov served as Managing Director at ANG Holding from July 2023 to September 2024, as Vice President, Head of Medical Affairs, at Karuna Therapeutics, a clinical-stage biopharmaceutical company and wholly-owned subsidiary of Bristol Myers Squibb, from July 2021 to July 2023 and as Vice President, Clinical Leader for VMAT-2 Franchise and Head of Medical Affairs at Neurocrine Biosciences (Nasdaq: NBIX), a biopharmaceutical company in the neurological, endocrine, psychiatric and immunology spaces, from January 2019 to July 2021. He has also held clinical development and medical affairs roles at Indivior, Teva Pharmaceuticals (Nasdaq: TEVA), Novartis (NYSE: NVS), Nupathe, Inc. and Collagenex, as well as faculty positions at Thomas Jefferson University and Temple University. Dr. Angelov earned his M.D. from Sofia Medical University and completed his residency and fellowship training at Thomas Jefferson University. Dr. Angelov also earned an MBA from the Wharton School of Business. Dr. Angelov is Board Certified in Psychiatry, as a diplomate of the American Board of Psychiatry and Neurology, and holds an active Pennsylvania medical license.</w:t>
      </w:r>
    </w:p>
    <w:p>
      <w:pPr>
        <w:spacing w:after="0" w:line="21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Except as disclosed herein, there are no arrangements or understandings between Dr. Angelov and any other person pursuant to which he was appointed as the Company’s Chief Medical Officer, and Dr. Angelov is not a participant in any related party transaction required to be reported pursuant to Item 404(a) of Regulation S-K.</w:t>
      </w:r>
    </w:p>
    <w:p>
      <w:pPr>
        <w:spacing w:after="0" w:line="211" w:lineRule="exact"/>
        <w:rPr>
          <w:sz w:val="20"/>
          <w:szCs w:val="20"/>
          <w:color w:val="auto"/>
        </w:rPr>
      </w:pPr>
    </w:p>
    <w:p>
      <w:pPr>
        <w:jc w:val="both"/>
        <w:ind w:firstLine="499"/>
        <w:spacing w:after="0" w:line="239" w:lineRule="auto"/>
        <w:rPr>
          <w:sz w:val="20"/>
          <w:szCs w:val="20"/>
          <w:color w:val="auto"/>
        </w:rPr>
      </w:pPr>
      <w:r>
        <w:rPr>
          <w:rFonts w:ascii="Times New Roman" w:cs="Times New Roman" w:eastAsia="Times New Roman" w:hAnsi="Times New Roman"/>
          <w:sz w:val="18"/>
          <w:szCs w:val="18"/>
          <w:color w:val="auto"/>
        </w:rPr>
        <w:t>As specified in his offer letter, Dr. Angelov will be an at-will employee of the Company and, in exchange for his services as Chief Medical Officer, will be paid a starting annual base salary of $425,000 and will be eligible to participate in the Company’s benefit and compensation plans, including the Company’s Amended and Restated 2019 Omnibus Equity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and the 2019 Employee Stock Purchase Plan, as amended. Dr. Angelov will also receive a $50,000 signing bonus, payable in two separate tranches, subject, among other things, to Dr. Angelov’s continued employment with the Company (the “</w:t>
      </w:r>
      <w:r>
        <w:rPr>
          <w:rFonts w:ascii="Times New Roman" w:cs="Times New Roman" w:eastAsia="Times New Roman" w:hAnsi="Times New Roman"/>
          <w:sz w:val="18"/>
          <w:szCs w:val="18"/>
          <w:i w:val="1"/>
          <w:iCs w:val="1"/>
          <w:color w:val="auto"/>
        </w:rPr>
        <w:t>Signing Bonus</w:t>
      </w:r>
      <w:r>
        <w:rPr>
          <w:rFonts w:ascii="Times New Roman" w:cs="Times New Roman" w:eastAsia="Times New Roman" w:hAnsi="Times New Roman"/>
          <w:sz w:val="18"/>
          <w:szCs w:val="18"/>
          <w:color w:val="auto"/>
        </w:rPr>
        <w:t>”). 50% of the Signing Bonus will be paid upon the Effective Date, and the remaining 50% will be paid on the six-month anniversary of the Effective Date. In addition, Dr. Angelov will be eligible to receive an annual discretionary cash bonus with an initial target of 45% of his then annual base salary based upon the achievement of performance goals set by, and determined in the sole discretion of, the Board of Directors or the Compensation Committee of the Board of Directors and subject to Dr. Angelov’s continued employment with the Company.</w:t>
      </w:r>
    </w:p>
    <w:p>
      <w:pPr>
        <w:spacing w:after="0" w:line="214" w:lineRule="exact"/>
        <w:rPr>
          <w:sz w:val="20"/>
          <w:szCs w:val="20"/>
          <w:color w:val="auto"/>
        </w:rPr>
      </w:pPr>
    </w:p>
    <w:p>
      <w:pPr>
        <w:jc w:val="both"/>
        <w:ind w:firstLine="499"/>
        <w:spacing w:after="0" w:line="238" w:lineRule="auto"/>
        <w:rPr>
          <w:sz w:val="20"/>
          <w:szCs w:val="20"/>
          <w:color w:val="auto"/>
        </w:rPr>
      </w:pPr>
      <w:r>
        <w:rPr>
          <w:rFonts w:ascii="Times New Roman" w:cs="Times New Roman" w:eastAsia="Times New Roman" w:hAnsi="Times New Roman"/>
          <w:sz w:val="18"/>
          <w:szCs w:val="18"/>
          <w:color w:val="auto"/>
        </w:rPr>
        <w:t>As an inducement material to Dr. Angelov’s entering into employment with the Company, Dr. Angelov was granted, on the Effective Date, stock options to purchase up to a total of 150,000 shares of the Company’s common stock, par value $0.001 per share (the “</w:t>
      </w:r>
      <w:r>
        <w:rPr>
          <w:rFonts w:ascii="Times New Roman" w:cs="Times New Roman" w:eastAsia="Times New Roman" w:hAnsi="Times New Roman"/>
          <w:sz w:val="18"/>
          <w:szCs w:val="18"/>
          <w:i w:val="1"/>
          <w:iCs w:val="1"/>
          <w:color w:val="auto"/>
        </w:rPr>
        <w:t>Inducement Grant</w:t>
      </w:r>
      <w:r>
        <w:rPr>
          <w:rFonts w:ascii="Times New Roman" w:cs="Times New Roman" w:eastAsia="Times New Roman" w:hAnsi="Times New Roman"/>
          <w:sz w:val="18"/>
          <w:szCs w:val="18"/>
          <w:color w:val="auto"/>
        </w:rPr>
        <w:t>”). The Inducement Grant will begin vesting on the one-year anniversary of the Effective Date and will continue vesting in equal monthly installments over a 36-month period so that, subject to Dr. Angelov’s continued service to the Company, the Inducement Grant will become fully vested on the fourth anniversary of the Effective Date. The Inducement Grant has a ten-year term and an exercise price per share of $0.5955, the closing price of the Company’s common stock on The Nasdaq Capital Market on May 18, 2026. The Inducement Grant will be issued in accordance with Nasdaq Listing Rule 5635(c)(4).</w:t>
      </w:r>
    </w:p>
    <w:p>
      <w:pPr>
        <w:spacing w:after="0" w:line="21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connection with his appointment, the Company and Dr. Angelov entered into an Indemnification Agreement (the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 copy of which is attached hereto as Exhibit 10.1. The Indemnification Agreement requires the Company to indemnify Dr. Angelov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fullest extent permitted under Nevada law against liability that may arise by reason of his service to the Company, and to advance certain expenses incurred as a result of any proceeding against him as to which he could be indemnified.</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announcing Dr. Angelov’s appointment is attached to this Current Report on Form 8-K as Exhibit 99.1.</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under this Item 7.01 and Exhibit 99.1 attached hereto are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39"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Indemnification Agreement by and between Vistagen Therapeutics, Inc. and Angel S. Angelov, M.D., MBA, dated May 18, 2026</w:t>
      </w:r>
    </w:p>
    <w:p>
      <w:pPr>
        <w:spacing w:after="0" w:line="50"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Vistagen Therapeutics, Inc., dated May 19, 2026</w:t>
      </w:r>
    </w:p>
    <w:p>
      <w:pPr>
        <w:spacing w:after="0" w:line="50" w:lineRule="exact"/>
        <w:rPr>
          <w:sz w:val="20"/>
          <w:szCs w:val="20"/>
          <w:color w:val="auto"/>
        </w:rPr>
      </w:pPr>
    </w:p>
    <w:p>
      <w:pPr>
        <w:ind w:left="40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5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67" w:lineRule="exact"/>
        <w:rPr>
          <w:sz w:val="20"/>
          <w:szCs w:val="20"/>
          <w:color w:val="auto"/>
        </w:rPr>
      </w:pPr>
    </w:p>
    <w:p>
      <w:pPr>
        <w:jc w:val="both"/>
        <w:ind w:firstLine="756"/>
        <w:spacing w:after="0" w:line="266" w:lineRule="auto"/>
        <w:rPr>
          <w:sz w:val="20"/>
          <w:szCs w:val="20"/>
          <w:color w:val="auto"/>
        </w:rPr>
      </w:pPr>
      <w:r>
        <w:rPr>
          <w:rFonts w:ascii="Times New Roman" w:cs="Times New Roman" w:eastAsia="Times New Roman" w:hAnsi="Times New Roman"/>
          <w:sz w:val="18"/>
          <w:szCs w:val="18"/>
          <w:color w:val="auto"/>
        </w:rPr>
        <w:t>THIS AGREEMENT is entered into, effective as of May 18, 2026 between Vistagen Therapeutics, Inc., a Nevada corporation (the "Company"), and Dr. Angel S. Angelov (“Indemnitee”).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it is essential to the Company to retain and attract as directors and officers the most capable persons available;</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Indemnitee is an officer of the Company;</w:t>
      </w:r>
    </w:p>
    <w:p>
      <w:pPr>
        <w:spacing w:after="0" w:line="239" w:lineRule="exact"/>
        <w:rPr>
          <w:sz w:val="20"/>
          <w:szCs w:val="20"/>
          <w:color w:val="auto"/>
        </w:rPr>
      </w:pPr>
    </w:p>
    <w:p>
      <w:pPr>
        <w:jc w:val="both"/>
        <w:ind w:right="20" w:firstLine="756"/>
        <w:spacing w:after="0" w:line="266" w:lineRule="auto"/>
        <w:rPr>
          <w:sz w:val="20"/>
          <w:szCs w:val="20"/>
          <w:color w:val="auto"/>
        </w:rPr>
      </w:pPr>
      <w:r>
        <w:rPr>
          <w:rFonts w:ascii="Times New Roman" w:cs="Times New Roman" w:eastAsia="Times New Roman" w:hAnsi="Times New Roman"/>
          <w:sz w:val="18"/>
          <w:szCs w:val="18"/>
          <w:color w:val="auto"/>
        </w:rPr>
        <w:t>WHEREAS, both the Company and Indemnitee recognize the increased risk of litigation and other claims currently being asserted against directors and officers of corporations; and</w:t>
      </w:r>
    </w:p>
    <w:p>
      <w:pPr>
        <w:spacing w:after="0" w:line="189" w:lineRule="exact"/>
        <w:rPr>
          <w:sz w:val="20"/>
          <w:szCs w:val="20"/>
          <w:color w:val="auto"/>
        </w:rPr>
      </w:pPr>
    </w:p>
    <w:p>
      <w:pPr>
        <w:jc w:val="both"/>
        <w:ind w:firstLine="755"/>
        <w:spacing w:after="0" w:line="242" w:lineRule="auto"/>
        <w:rPr>
          <w:sz w:val="20"/>
          <w:szCs w:val="20"/>
          <w:color w:val="auto"/>
        </w:rPr>
      </w:pPr>
      <w:r>
        <w:rPr>
          <w:rFonts w:ascii="Times New Roman" w:cs="Times New Roman" w:eastAsia="Times New Roman" w:hAnsi="Times New Roman"/>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198" w:lineRule="exact"/>
        <w:rPr>
          <w:sz w:val="20"/>
          <w:szCs w:val="20"/>
          <w:color w:val="auto"/>
        </w:rPr>
      </w:pPr>
    </w:p>
    <w:p>
      <w:pPr>
        <w:jc w:val="both"/>
        <w:ind w:right="20" w:firstLine="75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Definitions: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38" w:lineRule="exact"/>
        <w:rPr>
          <w:rFonts w:ascii="Times New Roman" w:cs="Times New Roman" w:eastAsia="Times New Roman" w:hAnsi="Times New Roman"/>
          <w:sz w:val="18"/>
          <w:szCs w:val="18"/>
          <w:color w:val="auto"/>
        </w:rPr>
      </w:pPr>
    </w:p>
    <w:p>
      <w:pPr>
        <w:jc w:val="both"/>
        <w:ind w:left="1300" w:hanging="320"/>
        <w:spacing w:after="0" w:line="236"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213"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5" w:name="page6"/>
    <w:bookmarkEnd w:id="5"/>
    <w:p>
      <w:pPr>
        <w:ind w:left="968"/>
        <w:spacing w:after="0" w:line="266" w:lineRule="auto"/>
        <w:rPr>
          <w:sz w:val="20"/>
          <w:szCs w:val="20"/>
          <w:color w:val="auto"/>
        </w:rPr>
      </w:pPr>
      <w:r>
        <w:rPr>
          <w:rFonts w:ascii="Times New Roman" w:cs="Times New Roman" w:eastAsia="Times New Roman" w:hAnsi="Times New Roman"/>
          <w:sz w:val="18"/>
          <w:szCs w:val="18"/>
          <w:color w:val="auto"/>
        </w:rPr>
        <w:t>with investigating, defending, being a witness in, or participating in (including on appeal), or preparing for any of the foregoing in, any Proceeding relating to any Indemnifiable Event.</w:t>
      </w:r>
    </w:p>
    <w:p>
      <w:pPr>
        <w:spacing w:after="0" w:line="189" w:lineRule="exact"/>
        <w:rPr>
          <w:sz w:val="20"/>
          <w:szCs w:val="20"/>
          <w:color w:val="auto"/>
        </w:rPr>
      </w:pPr>
    </w:p>
    <w:p>
      <w:pPr>
        <w:jc w:val="both"/>
        <w:ind w:left="968" w:hanging="320"/>
        <w:spacing w:after="0" w:line="237"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21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the person or body appointed in connection with Section 3.</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20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the person or body appointed in accordance with Section 3.</w:t>
      </w:r>
    </w:p>
    <w:p>
      <w:pPr>
        <w:spacing w:after="0" w:line="23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any securities of the Company that vote generally in the election of directors.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Indemnify</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968" w:right="20" w:hanging="320"/>
        <w:spacing w:after="0" w:line="237" w:lineRule="auto"/>
        <w:tabs>
          <w:tab w:leader="none" w:pos="9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Agreement</w:t>
      </w:r>
      <w:r>
        <w:rPr>
          <w:rFonts w:ascii="Times New Roman" w:cs="Times New Roman" w:eastAsia="Times New Roman" w:hAnsi="Times New Roman"/>
          <w:sz w:val="18"/>
          <w:szCs w:val="18"/>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214" w:lineRule="exact"/>
        <w:rPr>
          <w:rFonts w:ascii="Times New Roman" w:cs="Times New Roman" w:eastAsia="Times New Roman" w:hAnsi="Times New Roman"/>
          <w:sz w:val="18"/>
          <w:szCs w:val="18"/>
          <w:color w:val="auto"/>
        </w:rPr>
      </w:pPr>
    </w:p>
    <w:p>
      <w:pPr>
        <w:jc w:val="both"/>
        <w:ind w:left="968" w:hanging="320"/>
        <w:spacing w:after="0" w:line="241" w:lineRule="auto"/>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Initiation of Proceeding</w:t>
      </w:r>
      <w:r>
        <w:rPr>
          <w:rFonts w:ascii="Times New Roman" w:cs="Times New Roman" w:eastAsia="Times New Roman" w:hAnsi="Times New Roman"/>
          <w:sz w:val="18"/>
          <w:szCs w:val="18"/>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39" w:lineRule="auto"/>
        <w:tabs>
          <w:tab w:leader="none" w:pos="9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Advances</w:t>
      </w:r>
      <w:r>
        <w:rPr>
          <w:rFonts w:ascii="Times New Roman" w:cs="Times New Roman" w:eastAsia="Times New Roman" w:hAnsi="Times New Roman"/>
          <w:sz w:val="18"/>
          <w:szCs w:val="18"/>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404" w:right="339" w:bottom="1440" w:gutter="0" w:footer="0" w:header="0"/>
        </w:sectPr>
      </w:pPr>
    </w:p>
    <w:bookmarkStart w:id="6" w:name="page7"/>
    <w:bookmarkEnd w:id="6"/>
    <w:p>
      <w:pPr>
        <w:jc w:val="both"/>
        <w:ind w:left="968"/>
        <w:spacing w:after="0" w:line="242" w:lineRule="auto"/>
        <w:rPr>
          <w:sz w:val="20"/>
          <w:szCs w:val="20"/>
          <w:color w:val="auto"/>
        </w:rPr>
      </w:pPr>
      <w:r>
        <w:rPr>
          <w:rFonts w:ascii="Times New Roman" w:cs="Times New Roman" w:eastAsia="Times New Roman" w:hAnsi="Times New Roman"/>
          <w:sz w:val="18"/>
          <w:szCs w:val="18"/>
          <w:color w:val="auto"/>
        </w:rPr>
        <w:t>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212" w:lineRule="exact"/>
        <w:rPr>
          <w:sz w:val="20"/>
          <w:szCs w:val="20"/>
          <w:color w:val="auto"/>
        </w:rPr>
      </w:pPr>
    </w:p>
    <w:p>
      <w:pPr>
        <w:jc w:val="both"/>
        <w:ind w:left="968" w:hanging="320"/>
        <w:spacing w:after="0" w:line="242" w:lineRule="auto"/>
        <w:tabs>
          <w:tab w:leader="none" w:pos="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5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45" w:lineRule="auto"/>
        <w:tabs>
          <w:tab w:leader="none" w:pos="9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Indemnification</w:t>
      </w:r>
      <w:r>
        <w:rPr>
          <w:rFonts w:ascii="Times New Roman" w:cs="Times New Roman" w:eastAsia="Times New Roman" w:hAnsi="Times New Roman"/>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207" w:lineRule="exact"/>
        <w:rPr>
          <w:rFonts w:ascii="Times New Roman" w:cs="Times New Roman" w:eastAsia="Times New Roman" w:hAnsi="Times New Roman"/>
          <w:sz w:val="18"/>
          <w:szCs w:val="18"/>
          <w:color w:val="auto"/>
        </w:rPr>
      </w:pPr>
    </w:p>
    <w:p>
      <w:pPr>
        <w:jc w:val="both"/>
        <w:ind w:left="328" w:hanging="328"/>
        <w:spacing w:after="0" w:line="23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Process and Appeal</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tabs>
          <w:tab w:leader="none" w:pos="9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Payment</w:t>
      </w:r>
      <w:r>
        <w:rPr>
          <w:rFonts w:ascii="Times New Roman" w:cs="Times New Roman" w:eastAsia="Times New Roman" w:hAnsi="Times New Roman"/>
          <w:sz w:val="18"/>
          <w:szCs w:val="18"/>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11"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 to Enforce Rights</w:t>
      </w:r>
      <w:r>
        <w:rPr>
          <w:rFonts w:ascii="Times New Roman" w:cs="Times New Roman" w:eastAsia="Times New Roman" w:hAnsi="Times New Roman"/>
          <w:sz w:val="18"/>
          <w:szCs w:val="18"/>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404" w:right="339" w:bottom="1440" w:gutter="0" w:footer="0" w:header="0"/>
        </w:sectPr>
      </w:pPr>
    </w:p>
    <w:bookmarkStart w:id="7" w:name="page8"/>
    <w:bookmarkEnd w:id="7"/>
    <w:p>
      <w:pPr>
        <w:jc w:val="both"/>
        <w:ind w:left="968"/>
        <w:spacing w:after="0" w:line="245" w:lineRule="auto"/>
        <w:rPr>
          <w:sz w:val="20"/>
          <w:szCs w:val="20"/>
          <w:color w:val="auto"/>
        </w:rPr>
      </w:pPr>
      <w:r>
        <w:rPr>
          <w:rFonts w:ascii="Times New Roman" w:cs="Times New Roman" w:eastAsia="Times New Roman" w:hAnsi="Times New Roman"/>
          <w:sz w:val="18"/>
          <w:szCs w:val="18"/>
          <w:color w:val="auto"/>
        </w:rPr>
        <w:t>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8" w:lineRule="exact"/>
        <w:rPr>
          <w:sz w:val="20"/>
          <w:szCs w:val="20"/>
          <w:color w:val="auto"/>
        </w:rPr>
      </w:pPr>
    </w:p>
    <w:p>
      <w:pPr>
        <w:jc w:val="both"/>
        <w:ind w:left="968" w:hanging="320"/>
        <w:spacing w:after="0" w:line="236" w:lineRule="auto"/>
        <w:tabs>
          <w:tab w:leader="none" w:pos="95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to Indemnification, Burden of Proof, and Presumptions</w:t>
      </w:r>
      <w:r>
        <w:rPr>
          <w:rFonts w:ascii="Times New Roman" w:cs="Times New Roman" w:eastAsia="Times New Roman" w:hAnsi="Times New Roman"/>
          <w:sz w:val="18"/>
          <w:szCs w:val="18"/>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15"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Incurred in Enforcing Rights</w:t>
      </w:r>
      <w:r>
        <w:rPr>
          <w:rFonts w:ascii="Times New Roman" w:cs="Times New Roman" w:eastAsia="Times New Roman" w:hAnsi="Times New Roman"/>
          <w:sz w:val="18"/>
          <w:szCs w:val="18"/>
          <w:color w:val="auto"/>
        </w:rPr>
        <w:t>. The Company shall indemnify Indemnitee against any and all Expenses that are incurred by Indemnitee in connection with any action brought by Indemnitee for:</w:t>
      </w:r>
    </w:p>
    <w:p>
      <w:pPr>
        <w:spacing w:after="0" w:line="176" w:lineRule="exact"/>
        <w:rPr>
          <w:sz w:val="20"/>
          <w:szCs w:val="20"/>
          <w:color w:val="auto"/>
        </w:rPr>
      </w:pPr>
    </w:p>
    <w:p>
      <w:pPr>
        <w:ind w:left="968" w:hanging="320"/>
        <w:spacing w:after="0" w:line="266" w:lineRule="auto"/>
        <w:tabs>
          <w:tab w:leader="none" w:pos="96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89"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10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Proceeding</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968" w:hanging="320"/>
        <w:spacing w:after="0" w:line="250" w:lineRule="auto"/>
        <w:tabs>
          <w:tab w:leader="none" w:pos="9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38"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8"/>
          </w:cols>
          <w:pgMar w:left="652" w:top="1404" w:right="339" w:bottom="1440" w:gutter="0" w:footer="0" w:header="0"/>
        </w:sectPr>
      </w:pPr>
    </w:p>
    <w:bookmarkStart w:id="8" w:name="page9"/>
    <w:bookmarkEnd w:id="8"/>
    <w:p>
      <w:pPr>
        <w:jc w:val="both"/>
        <w:ind w:left="968"/>
        <w:spacing w:after="0" w:line="237" w:lineRule="auto"/>
        <w:rPr>
          <w:sz w:val="20"/>
          <w:szCs w:val="20"/>
          <w:color w:val="auto"/>
        </w:rPr>
      </w:pPr>
      <w:r>
        <w:rPr>
          <w:rFonts w:ascii="Times New Roman" w:cs="Times New Roman" w:eastAsia="Times New Roman" w:hAnsi="Times New Roman"/>
          <w:sz w:val="18"/>
          <w:szCs w:val="18"/>
          <w:color w:val="auto"/>
        </w:rPr>
        <w:t>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12" w:lineRule="exact"/>
        <w:rPr>
          <w:sz w:val="20"/>
          <w:szCs w:val="20"/>
          <w:color w:val="auto"/>
        </w:rPr>
      </w:pPr>
    </w:p>
    <w:p>
      <w:pPr>
        <w:jc w:val="both"/>
        <w:ind w:left="968" w:hanging="320"/>
        <w:spacing w:after="0" w:line="238" w:lineRule="auto"/>
        <w:tabs>
          <w:tab w:leader="none" w:pos="95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Claims</w:t>
      </w:r>
      <w:r>
        <w:rPr>
          <w:rFonts w:ascii="Times New Roman" w:cs="Times New Roman" w:eastAsia="Times New Roman" w:hAnsi="Times New Roman"/>
          <w:sz w:val="18"/>
          <w:szCs w:val="18"/>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35"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Trust</w:t>
      </w:r>
      <w:r>
        <w:rPr>
          <w:rFonts w:ascii="Times New Roman" w:cs="Times New Roman" w:eastAsia="Times New Roman" w:hAnsi="Times New Roman"/>
          <w:sz w:val="18"/>
          <w:szCs w:val="18"/>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1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04" w:right="339" w:bottom="1440" w:gutter="0" w:footer="0" w:header="0"/>
        </w:sectPr>
      </w:pPr>
    </w:p>
    <w:bookmarkStart w:id="9" w:name="page10"/>
    <w:bookmarkEnd w:id="9"/>
    <w:p>
      <w:pPr>
        <w:ind w:left="328"/>
        <w:spacing w:after="0" w:line="266" w:lineRule="auto"/>
        <w:rPr>
          <w:sz w:val="20"/>
          <w:szCs w:val="20"/>
          <w:color w:val="auto"/>
        </w:rPr>
      </w:pPr>
      <w:r>
        <w:rPr>
          <w:rFonts w:ascii="Times New Roman" w:cs="Times New Roman" w:eastAsia="Times New Roman" w:hAnsi="Times New Roman"/>
          <w:sz w:val="18"/>
          <w:szCs w:val="18"/>
          <w:color w:val="auto"/>
        </w:rPr>
        <w:t>Incorporation, Bylaws, applicable law, or this Agreement, it is the intent of the parties that Indemnitee enjoy by this Agreement the greater benefits so afforded by such change.</w:t>
      </w:r>
    </w:p>
    <w:p>
      <w:pPr>
        <w:spacing w:after="0" w:line="189" w:lineRule="exact"/>
        <w:rPr>
          <w:sz w:val="20"/>
          <w:szCs w:val="20"/>
          <w:color w:val="auto"/>
        </w:rPr>
      </w:pPr>
    </w:p>
    <w:p>
      <w:pPr>
        <w:jc w:val="both"/>
        <w:ind w:left="328"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38"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12"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1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8"/>
          </w:cols>
          <w:pgMar w:left="652" w:top="1404" w:right="339" w:bottom="1440" w:gutter="0" w:footer="0" w:header="0"/>
        </w:sectPr>
      </w:pPr>
    </w:p>
    <w:bookmarkStart w:id="10" w:name="page11"/>
    <w:bookmarkEnd w:id="10"/>
    <w:p>
      <w:pPr>
        <w:spacing w:after="0" w:line="207"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20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Vistagen Therapeutics, Inc. 343 Allerton Avenue</w:t>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South San Francisco, CA 94080</w:t>
      </w:r>
    </w:p>
    <w:p>
      <w:pPr>
        <w:ind w:left="2060"/>
        <w:spacing w:after="0"/>
        <w:rPr>
          <w:sz w:val="20"/>
          <w:szCs w:val="20"/>
          <w:color w:val="auto"/>
        </w:rPr>
      </w:pPr>
      <w:r>
        <w:rPr>
          <w:rFonts w:ascii="Times New Roman" w:cs="Times New Roman" w:eastAsia="Times New Roman" w:hAnsi="Times New Roman"/>
          <w:sz w:val="18"/>
          <w:szCs w:val="18"/>
          <w:color w:val="auto"/>
        </w:rPr>
        <w:t>Attention: President and Chief Executive Officer</w:t>
      </w:r>
    </w:p>
    <w:p>
      <w:pPr>
        <w:spacing w:after="0" w:line="21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and to Indemnitee at:</w:t>
      </w:r>
    </w:p>
    <w:p>
      <w:pPr>
        <w:spacing w:after="0" w:line="2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Angel S. Angelov</w:t>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_______________</w:t>
      </w:r>
    </w:p>
    <w:p>
      <w:pPr>
        <w:ind w:left="20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9" w:lineRule="exact"/>
        <w:rPr>
          <w:sz w:val="20"/>
          <w:szCs w:val="20"/>
          <w:color w:val="auto"/>
        </w:rPr>
      </w:pPr>
    </w:p>
    <w:p>
      <w:pPr>
        <w:ind w:firstLine="756"/>
        <w:spacing w:after="0" w:line="266" w:lineRule="auto"/>
        <w:rPr>
          <w:sz w:val="20"/>
          <w:szCs w:val="20"/>
          <w:color w:val="auto"/>
        </w:rPr>
      </w:pPr>
      <w:r>
        <w:rPr>
          <w:rFonts w:ascii="Times New Roman" w:cs="Times New Roman" w:eastAsia="Times New Roman" w:hAnsi="Times New Roman"/>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and delivered this Agreement as of the day specified above.</w:t>
      </w:r>
    </w:p>
    <w:p>
      <w:pPr>
        <w:sectPr>
          <w:pgSz w:w="11900" w:h="16838" w:orient="portrait"/>
          <w:cols w:equalWidth="0" w:num="1">
            <w:col w:w="9379"/>
          </w:cols>
          <w:pgMar w:left="1080" w:top="144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Shawn K. Singh</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President and Chief Executive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INDEMNITEE</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Angel S. Angelov</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Angel S. Angelov, MD, MBA</w:t>
      </w:r>
    </w:p>
    <w:p>
      <w:pPr>
        <w:spacing w:after="0" w:line="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Chief Medical Officer</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4040" w:space="720"/>
            <w:col w:w="4619"/>
          </w:cols>
          <w:pgMar w:left="1080" w:top="1440" w:right="1440"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9601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1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Appoints Angel S. Angelov, MD, MBA, as Chief Medical Officer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Dr. Angelov brings extensive industry experience across multiple therapeutic areas</w:t>
      </w:r>
    </w:p>
    <w:p>
      <w:pPr>
        <w:spacing w:after="0" w:line="23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SOUTH SAN FRANCISCO, Calif.-- (BUSINESS WIRE)— </w:t>
      </w:r>
      <w:r>
        <w:rPr>
          <w:rFonts w:ascii="Times New Roman" w:cs="Times New Roman" w:eastAsia="Times New Roman" w:hAnsi="Times New Roman"/>
          <w:sz w:val="18"/>
          <w:szCs w:val="18"/>
          <w:b w:val="1"/>
          <w:bCs w:val="1"/>
          <w:color w:val="auto"/>
        </w:rPr>
        <w:t>May 19, 2026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467886"/>
        </w:rPr>
        <w:t>Vistagen</w:t>
      </w:r>
      <w:r>
        <w:rPr>
          <w:rFonts w:ascii="Times New Roman" w:cs="Times New Roman" w:eastAsia="Times New Roman" w:hAnsi="Times New Roman"/>
          <w:sz w:val="18"/>
          <w:szCs w:val="18"/>
          <w:color w:val="auto"/>
        </w:rPr>
        <w:t xml:space="preserve"> (Nasdaq: VTGN), a late clinical-stage biopharmaceutical company pioneering neuroscience with nose-to-brain neurocircuitry to develop and commercialize a new class of intranasal product candidates called pherines, today announced the appointment of Angel S. Angelov, MD, MBA, as Chief Medical Officer (CMO), effective May 18, 2026.</w:t>
      </w:r>
    </w:p>
    <w:p>
      <w:pPr>
        <w:spacing w:after="0" w:line="2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"We are pleased to welcome Dr. Angelov to the Vistagen team,” said President and Chief Executive Officer of Vistagen, Shawn Singh. “His two decades of leadership across clinical development and medical affairs, including roles </w:t>
      </w:r>
      <w:r>
        <w:rPr>
          <w:rFonts w:ascii="Times New Roman" w:cs="Times New Roman" w:eastAsia="Times New Roman" w:hAnsi="Times New Roman"/>
          <w:sz w:val="18"/>
          <w:szCs w:val="18"/>
          <w:color w:val="467886"/>
        </w:rPr>
        <w:t>at</w:t>
      </w:r>
      <w:r>
        <w:rPr>
          <w:rFonts w:ascii="Times New Roman" w:cs="Times New Roman" w:eastAsia="Times New Roman" w:hAnsi="Times New Roman"/>
          <w:sz w:val="18"/>
          <w:szCs w:val="18"/>
          <w:color w:val="auto"/>
        </w:rPr>
        <w:t xml:space="preserve"> Karuna, Neurocrine, Novartis, and Teva, will be instrumental as we work to improve suboptimal standards of care in our targeted therapeutic areas.”</w:t>
      </w:r>
    </w:p>
    <w:p>
      <w:pPr>
        <w:spacing w:after="0" w:line="20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Dr. Angelov most recently served as CMO at Theranica, a neuromodulation therapeutics company. Previously, Dr. Angelov served as Managing Director at ANG Holding, as Vice President, Head of Medical Affairs at Karuna Therapeutics (now a wholly owned subsidiary of Bristol Myers Squibb), and as Vice President, Clinical Leader for the VMAT-2 Franchise and Head of Medical Affairs at Neurocrine Biosciences. He has also held clinical development and medical affairs positions at CollaGenex, Indivior, Novartis, NuPathe, and Teva, as well as faculty positions at Thomas Jefferson University and Temple University. Dr. Angelov earned his M.D. from Sofia Medical University and completed his residency and fellowship training at Thomas Jefferson University. Dr. Angelov also earned an MBA from the Wharton School at the University of Pennsylvania. Dr. Angelov is Board Certified in Psychiatry, is a diplomate of the American Board of Psychiatry and Neurology and holds an active Pennsylvania medical license.</w:t>
      </w:r>
    </w:p>
    <w:p>
      <w:pPr>
        <w:spacing w:after="0" w:line="19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 am honored and excited to join Vistagen, a team so deeply committed to addressing critical areas of unmet need across multiple therapeutic areas such as neuropsychiatry and women’s health," said Dr. Angelov. “Vistagen’s pioneering work with neurocircuitry-focused pherines represents a compelling opportunity to reshape how we approach patient care. I look forward to contributing to Vistagen’s mission to deliver transformative treatments and improve lives, alongside a team that shares my commitment to patient care and scientific innovation.”</w:t>
      </w:r>
    </w:p>
    <w:p>
      <w:pPr>
        <w:spacing w:after="0" w:line="20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Compensation Committee of Vistagen’s Board of Directors granted Dr. Angelov an incentive option, in accordance with Nasdaq Listing Rule 5635(c) (4), to purchase up to an aggregate of 150,000 shares of Vistagen’s common stock in connection with his appointment as CMO, as an inducement material to Dr. Angelov’s decision to enter into employment with Vistagen. The option will have an exercise price of $0.5955 per share and will vest as to 25% of the shares on the one-year anniversary of its grant, with the remainder of the shares vesting ratably, on a monthly basis, over 36 months thereafter.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0"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in U.S. Phase 3 development for the acute treatment of social anxiety disorder, itruvone for treatment of major depressive disorder, and refisolone for treatment of vasomotor symptoms (hot flashes) due to menopause. Connect at </w:t>
      </w:r>
      <w:r>
        <w:rPr>
          <w:rFonts w:ascii="Times New Roman" w:cs="Times New Roman" w:eastAsia="Times New Roman" w:hAnsi="Times New Roman"/>
          <w:sz w:val="18"/>
          <w:szCs w:val="18"/>
          <w:color w:val="467886"/>
        </w:rPr>
        <w:t>www.Vistagen.com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13" w:name="page14"/>
    <w:bookmarkEnd w:id="13"/>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This press release contains certain forward-looking statements within the meaning of the federal securities laws, including, without limitation, statements regarding Dr. Angelov’s appointment as Chief Medical Officer, the potential attributes and benefits of Vistagen’s product candidates and Vistagen’s efforts to advance the development of its product candidates.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Risks that may impact the outcome of these forward-looking statements are more fully discussed in the section entitled “Risk Factors” in Vistagen’s Annual Report on Form 10-K for the fiscal year ended March 31, 2025, and Quarterly Report on Form 10-Q for the period ended December 31, 2025, as well as discussions of potential risks, uncertainties, and other important factors in Vistagen’s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7886"/>
        </w:rPr>
        <w:t>IR@vistagen.com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7886"/>
        </w:rPr>
        <w:t>media@vistagen.com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lvl w:ilvl="1">
      <w:lvlJc w:val="left"/>
      <w:lvlText w:val="%2."/>
      <w:numFmt w:val="lowerLetter"/>
      <w:start w:val="1"/>
    </w:lvl>
  </w:abstractNum>
  <w:abstractNum w:abstractNumId="1">
    <w:nsid w:val="7545E146"/>
    <w:multiLevelType w:val="hybridMultilevel"/>
    <w:lvl w:ilvl="0">
      <w:lvlJc w:val="left"/>
      <w:lvlText w:val="%1"/>
      <w:numFmt w:val="decimal"/>
      <w:start w:val="1"/>
    </w:lvl>
    <w:lvl w:ilvl="1">
      <w:lvlJc w:val="left"/>
      <w:lvlText w:val="%2."/>
      <w:numFmt w:val="lowerLetter"/>
      <w:start w:val="4"/>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lowerLetter"/>
      <w:start w:val="4"/>
    </w:lvl>
  </w:abstractNum>
  <w:abstractNum w:abstractNumId="4">
    <w:nsid w:val="12200854"/>
    <w:multiLevelType w:val="hybridMultilevel"/>
    <w:lvl w:ilvl="0">
      <w:lvlJc w:val="left"/>
      <w:lvlText w:val="%1."/>
      <w:numFmt w:val="decimal"/>
      <w:start w:val="3"/>
    </w:lvl>
    <w:lvl w:ilvl="1">
      <w:lvlJc w:val="left"/>
      <w:lvlText w:val="%2."/>
      <w:numFmt w:val="lowerLetter"/>
      <w:start w:val="1"/>
    </w:lvl>
  </w:abstractNum>
  <w:abstractNum w:abstractNumId="5">
    <w:nsid w:val="4DB127F8"/>
    <w:multiLevelType w:val="hybridMultilevel"/>
    <w:lvl w:ilvl="0">
      <w:lvlJc w:val="left"/>
      <w:lvlText w:val="%1"/>
      <w:numFmt w:val="decimal"/>
      <w:start w:val="1"/>
    </w:lvl>
    <w:lvl w:ilvl="1">
      <w:lvlJc w:val="left"/>
      <w:lvlText w:val="%2."/>
      <w:numFmt w:val="lowerLetter"/>
      <w:start w:val="3"/>
    </w:lvl>
  </w:abstractNum>
  <w:abstractNum w:abstractNumId="6">
    <w:nsid w:val="216231B"/>
    <w:multiLevelType w:val="hybridMultilevel"/>
    <w:lvl w:ilvl="0">
      <w:lvlJc w:val="left"/>
      <w:lvlText w:val="%1."/>
      <w:numFmt w:val="decimal"/>
      <w:start w:val="5"/>
    </w:lvl>
    <w:lvl w:ilvl="1">
      <w:lvlJc w:val="left"/>
      <w:lvlText w:val="%2"/>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Roman"/>
      <w:start w:val="1"/>
    </w:lvl>
  </w:abstractNum>
  <w:abstractNum w:abstractNumId="8">
    <w:nsid w:val="1190CDE7"/>
    <w:multiLevelType w:val="hybridMultilevel"/>
    <w:lvl w:ilvl="0">
      <w:lvlJc w:val="left"/>
      <w:lvlText w:val="%1."/>
      <w:numFmt w:val="decimal"/>
      <w:start w:val="6"/>
    </w:lvl>
    <w:lvl w:ilvl="1">
      <w:lvlJc w:val="left"/>
      <w:lvlText w:val="%2"/>
      <w:numFmt w:val="lowerRoman"/>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3"/>
    </w:lvl>
  </w:abstractNum>
  <w:abstractNum w:abstractNumId="11">
    <w:nsid w:val="3352255A"/>
    <w:multiLevelType w:val="hybridMultilevel"/>
    <w:lvl w:ilvl="0">
      <w:lvlJc w:val="left"/>
      <w:lvlText w:val="%1."/>
      <w:numFmt w:val="decimal"/>
      <w:start w:val="7"/>
    </w:lvl>
    <w:lvl w:ilvl="1">
      <w:lvlJc w:val="left"/>
      <w:lvlText w:val="%2"/>
      <w:numFmt w:val="lowerLetter"/>
      <w:start w:val="1"/>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2026-05-19T15:32:12Z</dcterms:created>
  <dcterms:modified xsi:type="dcterms:W3CDTF">2026-05-19T15:32:12Z</dcterms:modified>
</cp:coreProperties>
</file>