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May 11, 2017</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333-215671</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S-3/A</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ACT OF 1933</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6160" w:type="dxa"/>
            <w:vAlign w:val="bottom"/>
            <w:gridSpan w:val="2"/>
          </w:tcPr>
          <w:p>
            <w:pPr>
              <w:jc w:val="right"/>
              <w:ind w:right="2232"/>
              <w:spacing w:after="0"/>
              <w:rPr>
                <w:sz w:val="20"/>
                <w:szCs w:val="20"/>
                <w:color w:val="auto"/>
              </w:rPr>
            </w:pPr>
            <w:r>
              <w:rPr>
                <w:rFonts w:ascii="Times New Roman" w:cs="Times New Roman" w:eastAsia="Times New Roman" w:hAnsi="Times New Roman"/>
                <w:sz w:val="18"/>
                <w:szCs w:val="18"/>
                <w:b w:val="1"/>
                <w:bCs w:val="1"/>
                <w:color w:val="auto"/>
              </w:rPr>
              <w:t>20-5093315</w:t>
            </w:r>
          </w:p>
        </w:tc>
      </w:tr>
      <w:tr>
        <w:trPr>
          <w:trHeight w:val="202"/>
        </w:trPr>
        <w:tc>
          <w:tcPr>
            <w:tcW w:w="5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(State or other jurisdiction of</w:t>
            </w:r>
          </w:p>
        </w:tc>
        <w:tc>
          <w:tcPr>
            <w:tcW w:w="700" w:type="dxa"/>
            <w:vAlign w:val="bottom"/>
          </w:tcPr>
          <w:p>
            <w:pPr>
              <w:spacing w:after="0"/>
              <w:rPr>
                <w:sz w:val="17"/>
                <w:szCs w:val="17"/>
                <w:color w:val="auto"/>
              </w:rPr>
            </w:pPr>
          </w:p>
        </w:tc>
        <w:tc>
          <w:tcPr>
            <w:tcW w:w="54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7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Identification Number)</w:t>
            </w:r>
          </w:p>
        </w:tc>
      </w:tr>
      <w:tr>
        <w:trPr>
          <w:trHeight w:val="418"/>
        </w:trPr>
        <w:tc>
          <w:tcPr>
            <w:tcW w:w="5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Shawn K. Singh</w:t>
            </w:r>
          </w:p>
        </w:tc>
      </w:tr>
      <w:tr>
        <w:trPr>
          <w:trHeight w:val="216"/>
        </w:trPr>
        <w:tc>
          <w:tcPr>
            <w:tcW w:w="5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Chief Executive Officer</w:t>
            </w:r>
          </w:p>
        </w:tc>
      </w:tr>
      <w:tr>
        <w:trPr>
          <w:trHeight w:val="216"/>
        </w:trPr>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VistaGen Therapeutics, Inc.</w:t>
            </w:r>
          </w:p>
        </w:tc>
        <w:tc>
          <w:tcPr>
            <w:tcW w:w="7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 VistaGen Therapeutics, Inc.</w:t>
            </w:r>
          </w:p>
        </w:tc>
      </w:tr>
      <w:tr>
        <w:trPr>
          <w:trHeight w:val="216"/>
        </w:trPr>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343 Allerton Avenue</w:t>
            </w:r>
          </w:p>
        </w:tc>
        <w:tc>
          <w:tcPr>
            <w:tcW w:w="7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343 Allerton Avenue</w:t>
            </w:r>
          </w:p>
        </w:tc>
      </w:tr>
      <w:tr>
        <w:trPr>
          <w:trHeight w:val="216"/>
        </w:trPr>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South San Francisco, California 94080</w:t>
            </w:r>
          </w:p>
        </w:tc>
        <w:tc>
          <w:tcPr>
            <w:tcW w:w="7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South San Francisco, California 94080</w:t>
            </w:r>
          </w:p>
        </w:tc>
      </w:tr>
      <w:tr>
        <w:trPr>
          <w:trHeight w:val="239"/>
        </w:trPr>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(650) 577-3600</w:t>
            </w:r>
          </w:p>
        </w:tc>
        <w:tc>
          <w:tcPr>
            <w:tcW w:w="6160" w:type="dxa"/>
            <w:vAlign w:val="bottom"/>
            <w:gridSpan w:val="2"/>
          </w:tcPr>
          <w:p>
            <w:pPr>
              <w:jc w:val="right"/>
              <w:ind w:right="2092"/>
              <w:spacing w:after="0"/>
              <w:rPr>
                <w:sz w:val="20"/>
                <w:szCs w:val="20"/>
                <w:color w:val="auto"/>
              </w:rPr>
            </w:pPr>
            <w:r>
              <w:rPr>
                <w:rFonts w:ascii="Times New Roman" w:cs="Times New Roman" w:eastAsia="Times New Roman" w:hAnsi="Times New Roman"/>
                <w:sz w:val="18"/>
                <w:szCs w:val="18"/>
                <w:b w:val="1"/>
                <w:bCs w:val="1"/>
                <w:color w:val="auto"/>
              </w:rPr>
              <w:t>(650) 577-3600</w:t>
            </w:r>
          </w:p>
        </w:tc>
      </w:tr>
      <w:tr>
        <w:trPr>
          <w:trHeight w:val="202"/>
        </w:trPr>
        <w:tc>
          <w:tcPr>
            <w:tcW w:w="5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(Address, including zip code, and telephone number,</w:t>
            </w:r>
          </w:p>
        </w:tc>
        <w:tc>
          <w:tcPr>
            <w:tcW w:w="700" w:type="dxa"/>
            <w:vAlign w:val="bottom"/>
          </w:tcPr>
          <w:p>
            <w:pPr>
              <w:spacing w:after="0"/>
              <w:rPr>
                <w:sz w:val="17"/>
                <w:szCs w:val="17"/>
                <w:color w:val="auto"/>
              </w:rPr>
            </w:pPr>
          </w:p>
        </w:tc>
        <w:tc>
          <w:tcPr>
            <w:tcW w:w="54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(Name, address, including zip code, and telephone number,</w:t>
            </w:r>
          </w:p>
        </w:tc>
      </w:tr>
      <w:tr>
        <w:trPr>
          <w:trHeight w:val="228"/>
        </w:trPr>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including area code of Registrant’s principal executive offices),</w:t>
            </w:r>
          </w:p>
        </w:tc>
        <w:tc>
          <w:tcPr>
            <w:tcW w:w="7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including area code, of agent for service)</w:t>
            </w:r>
          </w:p>
        </w:tc>
      </w:tr>
    </w:tbl>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(Approximate date of commencement of proposed sale to public)</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of all communications, including all communications sent to the agent for service, should be sent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Daniel W. Rumsey, Esq.</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Jessica R. Sudweeks,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Disclosure Law Group,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 Professional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600 W. Broadway, Suite 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Diego, CA 92101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(619) 795-1134</w:t>
      </w:r>
    </w:p>
    <w:p>
      <w:pPr>
        <w:spacing w:after="0" w:line="186" w:lineRule="exact"/>
        <w:rPr>
          <w:sz w:val="24"/>
          <w:szCs w:val="24"/>
          <w:color w:val="auto"/>
        </w:rPr>
      </w:pPr>
    </w:p>
    <w:p>
      <w:pPr>
        <w:ind w:left="50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75"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1" w:name="page2"/>
    <w:bookmarkEnd w:id="1"/>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5"/>
              </w:rPr>
              <w:t>[X]</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1" w:lineRule="exact"/>
        <w:rPr>
          <w:sz w:val="20"/>
          <w:szCs w:val="20"/>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VistaGen Therapeutics, Inc. is hereby filing this Pre-Effective Amendment No. 2 to the Registration Statement on Form S-3 (Registration No. 333-215671), originally filed on January 23, 2017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as an exhibit-only filing to file an updated consent of OUM &amp; Co., LLP, filed herewith as Exhibit 23.2 (the “</w:t>
      </w:r>
      <w:r>
        <w:rPr>
          <w:rFonts w:ascii="Times New Roman" w:cs="Times New Roman" w:eastAsia="Times New Roman" w:hAnsi="Times New Roman"/>
          <w:sz w:val="18"/>
          <w:szCs w:val="18"/>
          <w:i w:val="1"/>
          <w:iCs w:val="1"/>
          <w:color w:val="auto"/>
        </w:rPr>
        <w:t>Consent</w:t>
      </w:r>
      <w:r>
        <w:rPr>
          <w:rFonts w:ascii="Times New Roman" w:cs="Times New Roman" w:eastAsia="Times New Roman" w:hAnsi="Times New Roman"/>
          <w:sz w:val="18"/>
          <w:szCs w:val="18"/>
          <w:color w:val="auto"/>
        </w:rPr>
        <w:t>”). Accordingly, this Pre-Effective Amendment No. 2 consists only of the facing page, this explanatory note, Item 16 of Part II of the Registration Statement, the signature pages to the Registration Statement, and the Consent filed herewith as Exhibit 23.2. The prospectus and the balance of Part II of the Registration Statement are unchanged and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ind w:left="44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6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tc>
        <w:tc>
          <w:tcPr>
            <w:tcW w:w="0" w:type="dxa"/>
            <w:vAlign w:val="bottom"/>
          </w:tcPr>
          <w:p>
            <w:pPr>
              <w:spacing w:after="0"/>
              <w:rPr>
                <w:sz w:val="1"/>
                <w:szCs w:val="1"/>
                <w:color w:val="auto"/>
              </w:rPr>
            </w:pPr>
          </w:p>
        </w:tc>
      </w:tr>
      <w:tr>
        <w:trPr>
          <w:trHeight w:val="432"/>
        </w:trPr>
        <w:tc>
          <w:tcPr>
            <w:tcW w:w="1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16. EXHIBITS</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0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 of Placement Agent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0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7"/>
              </w:rPr>
              <w:t>Form of any certificate of designation with respect to any preferred stock issued hereunder and the related form of preferred stock certificate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 of any warrant agreement with respect to each particular series of warrants issued hereunder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10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Form of any unit agreement with respect to any unit issued hereunder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Opinion of Disclosure Law Group, a Professional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w:t>
            </w:r>
          </w:p>
        </w:tc>
        <w:tc>
          <w:tcPr>
            <w:tcW w:w="10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Consent of Disclosure Law Group, a Professional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23.2</w:t>
            </w:r>
          </w:p>
        </w:tc>
        <w:tc>
          <w:tcPr>
            <w:tcW w:w="10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 – OUM &amp; Co., LLP (filed herewith)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Power of Attorney (located on signature page of the Registration Statement on Form S-3, filed January 23, 2017)</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40" w:hanging="232"/>
        <w:spacing w:after="0" w:line="257" w:lineRule="auto"/>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subsequent to the effectiveness of this registration by an amendment to this registration statement or incorporation by reference pursuant to a Current Report on Form 8-K in connection with an offering of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 as an exhibit to Pre-Effective Amendment No. 1 to the Registration Statement on Form S-3, filed April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May 11, 2017.</w:t>
      </w:r>
    </w:p>
    <w:p>
      <w:pPr>
        <w:spacing w:after="0" w:line="1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7" w:lineRule="exact"/>
        <w:rPr>
          <w:sz w:val="20"/>
          <w:szCs w:val="20"/>
          <w:color w:val="auto"/>
        </w:rPr>
      </w:pPr>
    </w:p>
    <w:p>
      <w:pPr>
        <w:ind w:left="550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637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Shawn K. Singh</w:t>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Signature</w:t>
            </w:r>
          </w:p>
        </w:tc>
        <w:tc>
          <w:tcPr>
            <w:tcW w:w="580" w:type="dxa"/>
            <w:vAlign w:val="bottom"/>
          </w:tcPr>
          <w:p>
            <w:pPr>
              <w:spacing w:after="0"/>
              <w:rPr>
                <w:sz w:val="20"/>
                <w:szCs w:val="20"/>
                <w:color w:val="auto"/>
              </w:rPr>
            </w:pPr>
          </w:p>
        </w:tc>
        <w:tc>
          <w:tcPr>
            <w:tcW w:w="468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56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Date</w:t>
            </w:r>
          </w:p>
        </w:tc>
        <w:tc>
          <w:tcPr>
            <w:tcW w:w="0" w:type="dxa"/>
            <w:vAlign w:val="bottom"/>
          </w:tcPr>
          <w:p>
            <w:pPr>
              <w:spacing w:after="0"/>
              <w:rPr>
                <w:sz w:val="1"/>
                <w:szCs w:val="1"/>
                <w:color w:val="auto"/>
              </w:rPr>
            </w:pPr>
          </w:p>
        </w:tc>
      </w:tr>
      <w:tr>
        <w:trPr>
          <w:trHeight w:val="416"/>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w:t>
            </w:r>
          </w:p>
        </w:tc>
        <w:tc>
          <w:tcPr>
            <w:tcW w:w="5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Chief Executive Officer, and Director </w:t>
            </w:r>
            <w:r>
              <w:rPr>
                <w:rFonts w:ascii="Times New Roman" w:cs="Times New Roman" w:eastAsia="Times New Roman" w:hAnsi="Times New Roman"/>
                <w:sz w:val="18"/>
                <w:szCs w:val="18"/>
                <w:i w:val="1"/>
                <w:iCs w:val="1"/>
                <w:color w:val="auto"/>
              </w:rPr>
              <w:t>(Principal Executive</w:t>
            </w: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40" w:type="dxa"/>
            <w:vAlign w:val="bottom"/>
            <w:tcBorders>
              <w:bottom w:val="single" w:sz="8" w:color="auto"/>
            </w:tcBorders>
            <w:vMerge w:val="continue"/>
          </w:tcPr>
          <w:p>
            <w:pPr>
              <w:spacing w:after="0"/>
              <w:rPr>
                <w:sz w:val="18"/>
                <w:szCs w:val="18"/>
                <w:color w:val="auto"/>
              </w:rPr>
            </w:pPr>
          </w:p>
        </w:tc>
        <w:tc>
          <w:tcPr>
            <w:tcW w:w="5260" w:type="dxa"/>
            <w:vAlign w:val="bottom"/>
            <w:gridSpan w:val="2"/>
          </w:tcPr>
          <w:p>
            <w:pPr>
              <w:ind w:left="580"/>
              <w:spacing w:after="0" w:line="206" w:lineRule="exact"/>
              <w:rPr>
                <w:sz w:val="20"/>
                <w:szCs w:val="20"/>
                <w:color w:val="auto"/>
              </w:rPr>
            </w:pPr>
            <w:r>
              <w:rPr>
                <w:rFonts w:ascii="Times New Roman" w:cs="Times New Roman" w:eastAsia="Times New Roman" w:hAnsi="Times New Roman"/>
                <w:sz w:val="18"/>
                <w:szCs w:val="18"/>
                <w:i w:val="1"/>
                <w:iCs w:val="1"/>
                <w:color w:val="auto"/>
              </w:rPr>
              <w:t>Officer)</w:t>
            </w:r>
          </w:p>
        </w:tc>
        <w:tc>
          <w:tcPr>
            <w:tcW w:w="560" w:type="dxa"/>
            <w:vAlign w:val="bottom"/>
          </w:tcPr>
          <w:p>
            <w:pPr>
              <w:spacing w:after="0"/>
              <w:rPr>
                <w:sz w:val="18"/>
                <w:szCs w:val="18"/>
                <w:color w:val="auto"/>
              </w:rPr>
            </w:pPr>
          </w:p>
        </w:tc>
        <w:tc>
          <w:tcPr>
            <w:tcW w:w="2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May 11, 2017</w:t>
            </w:r>
          </w:p>
        </w:tc>
        <w:tc>
          <w:tcPr>
            <w:tcW w:w="0" w:type="dxa"/>
            <w:vAlign w:val="bottom"/>
          </w:tcPr>
          <w:p>
            <w:pPr>
              <w:spacing w:after="0"/>
              <w:rPr>
                <w:sz w:val="1"/>
                <w:szCs w:val="1"/>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Shawn K. Singh</w:t>
            </w:r>
          </w:p>
        </w:tc>
        <w:tc>
          <w:tcPr>
            <w:tcW w:w="5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w:t>
            </w:r>
          </w:p>
        </w:tc>
        <w:tc>
          <w:tcPr>
            <w:tcW w:w="5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Vice President and Chief Financial Officer </w:t>
            </w:r>
            <w:r>
              <w:rPr>
                <w:rFonts w:ascii="Times New Roman" w:cs="Times New Roman" w:eastAsia="Times New Roman" w:hAnsi="Times New Roman"/>
                <w:sz w:val="18"/>
                <w:szCs w:val="18"/>
                <w:i w:val="1"/>
                <w:iCs w:val="1"/>
                <w:color w:val="auto"/>
              </w:rPr>
              <w:t>(Principal Financial</w:t>
            </w: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40" w:type="dxa"/>
            <w:vAlign w:val="bottom"/>
            <w:tcBorders>
              <w:bottom w:val="single" w:sz="8" w:color="auto"/>
            </w:tcBorders>
            <w:vMerge w:val="continue"/>
          </w:tcPr>
          <w:p>
            <w:pPr>
              <w:spacing w:after="0"/>
              <w:rPr>
                <w:sz w:val="18"/>
                <w:szCs w:val="18"/>
                <w:color w:val="auto"/>
              </w:rPr>
            </w:pPr>
          </w:p>
        </w:tc>
        <w:tc>
          <w:tcPr>
            <w:tcW w:w="5260" w:type="dxa"/>
            <w:vAlign w:val="bottom"/>
            <w:gridSpan w:val="2"/>
          </w:tcPr>
          <w:p>
            <w:pPr>
              <w:ind w:left="580"/>
              <w:spacing w:after="0" w:line="206" w:lineRule="exact"/>
              <w:rPr>
                <w:sz w:val="20"/>
                <w:szCs w:val="20"/>
                <w:color w:val="auto"/>
              </w:rPr>
            </w:pPr>
            <w:r>
              <w:rPr>
                <w:rFonts w:ascii="Times New Roman" w:cs="Times New Roman" w:eastAsia="Times New Roman" w:hAnsi="Times New Roman"/>
                <w:sz w:val="18"/>
                <w:szCs w:val="18"/>
                <w:i w:val="1"/>
                <w:iCs w:val="1"/>
                <w:color w:val="auto"/>
              </w:rPr>
              <w:t>and Accounting Officer)</w:t>
            </w:r>
          </w:p>
        </w:tc>
        <w:tc>
          <w:tcPr>
            <w:tcW w:w="560" w:type="dxa"/>
            <w:vAlign w:val="bottom"/>
          </w:tcPr>
          <w:p>
            <w:pPr>
              <w:spacing w:after="0"/>
              <w:rPr>
                <w:sz w:val="18"/>
                <w:szCs w:val="18"/>
                <w:color w:val="auto"/>
              </w:rPr>
            </w:pPr>
          </w:p>
        </w:tc>
        <w:tc>
          <w:tcPr>
            <w:tcW w:w="2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May 11, 2017</w:t>
            </w:r>
          </w:p>
        </w:tc>
        <w:tc>
          <w:tcPr>
            <w:tcW w:w="0" w:type="dxa"/>
            <w:vAlign w:val="bottom"/>
          </w:tcPr>
          <w:p>
            <w:pPr>
              <w:spacing w:after="0"/>
              <w:rPr>
                <w:sz w:val="1"/>
                <w:szCs w:val="1"/>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5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t>
            </w:r>
          </w:p>
        </w:tc>
        <w:tc>
          <w:tcPr>
            <w:tcW w:w="5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Jon S. Saxe</w:t>
            </w:r>
          </w:p>
        </w:tc>
        <w:tc>
          <w:tcPr>
            <w:tcW w:w="5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May 11, 2017</w:t>
            </w:r>
          </w:p>
        </w:tc>
        <w:tc>
          <w:tcPr>
            <w:tcW w:w="0" w:type="dxa"/>
            <w:vAlign w:val="bottom"/>
          </w:tcPr>
          <w:p>
            <w:pPr>
              <w:spacing w:after="0"/>
              <w:rPr>
                <w:sz w:val="1"/>
                <w:szCs w:val="1"/>
                <w:color w:val="auto"/>
              </w:rPr>
            </w:pPr>
          </w:p>
        </w:tc>
      </w:tr>
      <w:tr>
        <w:trPr>
          <w:trHeight w:val="427"/>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t>
            </w:r>
          </w:p>
        </w:tc>
        <w:tc>
          <w:tcPr>
            <w:tcW w:w="5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President, Chief Scientific Officer and Director</w:t>
            </w: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 Ralph Snodgrass, Ph.D.</w:t>
            </w:r>
          </w:p>
        </w:tc>
        <w:tc>
          <w:tcPr>
            <w:tcW w:w="5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May 11, 2017</w:t>
            </w:r>
          </w:p>
        </w:tc>
        <w:tc>
          <w:tcPr>
            <w:tcW w:w="0" w:type="dxa"/>
            <w:vAlign w:val="bottom"/>
          </w:tcPr>
          <w:p>
            <w:pPr>
              <w:spacing w:after="0"/>
              <w:rPr>
                <w:sz w:val="1"/>
                <w:szCs w:val="1"/>
                <w:color w:val="auto"/>
              </w:rPr>
            </w:pPr>
          </w:p>
        </w:tc>
      </w:tr>
      <w:tr>
        <w:trPr>
          <w:trHeight w:val="427"/>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t>
            </w:r>
          </w:p>
        </w:tc>
        <w:tc>
          <w:tcPr>
            <w:tcW w:w="5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Brian J. Underdown, Ph.D.</w:t>
            </w:r>
          </w:p>
        </w:tc>
        <w:tc>
          <w:tcPr>
            <w:tcW w:w="5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May 11, 2017</w:t>
            </w:r>
          </w:p>
        </w:tc>
        <w:tc>
          <w:tcPr>
            <w:tcW w:w="0" w:type="dxa"/>
            <w:vAlign w:val="bottom"/>
          </w:tcPr>
          <w:p>
            <w:pPr>
              <w:spacing w:after="0"/>
              <w:rPr>
                <w:sz w:val="1"/>
                <w:szCs w:val="1"/>
                <w:color w:val="auto"/>
              </w:rPr>
            </w:pPr>
          </w:p>
        </w:tc>
      </w:tr>
      <w:tr>
        <w:trPr>
          <w:trHeight w:val="427"/>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t>
            </w:r>
          </w:p>
        </w:tc>
        <w:tc>
          <w:tcPr>
            <w:tcW w:w="5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Jerry B. Gin, Ph.D., MBA</w:t>
            </w:r>
          </w:p>
        </w:tc>
        <w:tc>
          <w:tcPr>
            <w:tcW w:w="5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May 11, 2017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u w:val="single" w:color="auto"/>
          <w:color w:val="auto"/>
        </w:rPr>
        <w:t>/s/ Shawn K. Singh</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on Form S-3/A, Amendment No. 2, of our report dated June 24, 2016 relating to the consolidated financial statements of VistaGen Therapeutics, Inc. appearing in the Company’s Annual Report on Form 10-K for the fiscal year ended March 31, 2016.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2020-01-17T08:37:50Z</dcterms:created>
  <dcterms:modified xsi:type="dcterms:W3CDTF">2020-01-17T08:37:50Z</dcterms:modified>
</cp:coreProperties>
</file>