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8503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850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5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PRES./CHIEF SCIENTIFIC OFFICER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0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8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12.8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04/01/2015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03/03/2023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4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01/11/2015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01/11/2020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9.25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09/02/2015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09/02/2020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3, 2013.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March 19, 2014.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00" w:firstLine="1"/>
        <w:spacing w:after="0" w:line="33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Subject to the Reporting Person's continuous service, and as incentive to continue employment and build shareholder value, the Warrant will vest according to the following schedule: 50% of the total number of shares on April 1, 2014 (the "Vesting Start Date"); 25% of the total number of shares on the one year anniversary of the Vesting Start Date; and 25% of the total number of shares on the two year anniversary of the Vesting Start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Date; provided, however, that the Warrant shall vest in full upon a change in control of the Company, or upon the consummation by the Company and a third-party of a license or sale transaction involving at least one (1) new drug rescue variant developed by the Company.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100" w:firstLine="1"/>
        <w:spacing w:after="0" w:line="248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January 11, 2015.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00" w:firstLine="1"/>
        <w:spacing w:after="0" w:line="248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warrant, resulting in the deemed cancellation of the old warrant and the grant of a replacement warrant. The warrant was originally granted on September 2, 2015.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9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the H. Ralph Snodgrass Living Trust, dated 10/2/2008</w:t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Jerrold D. Dotson,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3880" w:firstLine="1"/>
        <w:spacing w:after="0" w:line="333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00"/>
      </w:cols>
      <w:pgMar w:left="280" w:top="131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2020-01-22T11:08:27Z</dcterms:created>
  <dcterms:modified xsi:type="dcterms:W3CDTF">2020-01-22T11:08:27Z</dcterms:modified>
</cp:coreProperties>
</file>