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1551940"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51940" cy="737235"/>
                    </a:xfrm>
                    <a:prstGeom prst="rect">
                      <a:avLst/>
                    </a:prstGeom>
                    <a:noFill/>
                  </pic:spPr>
                </pic:pic>
              </a:graphicData>
            </a:graphic>
          </wp:anchor>
        </w:drawing>
      </w:r>
    </w:p>
    <w:p>
      <w:pPr>
        <w:spacing w:after="0" w:line="241"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May 9, 2016</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VistaGen Therapeutics, Inc.</w:t>
      </w:r>
    </w:p>
    <w:p>
      <w:pPr>
        <w:spacing w:after="0" w:line="27"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(File No. 333-210152)</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VistaGen Therapeutics, Inc. (the “</w:t>
      </w:r>
      <w:r>
        <w:rPr>
          <w:rFonts w:ascii="Arial" w:cs="Arial" w:eastAsia="Arial" w:hAnsi="Arial"/>
          <w:sz w:val="17"/>
          <w:szCs w:val="17"/>
          <w:i w:val="1"/>
          <w:iCs w:val="1"/>
          <w:color w:val="auto"/>
        </w:rPr>
        <w:t>Company</w:t>
      </w:r>
      <w:r>
        <w:rPr>
          <w:rFonts w:ascii="Arial" w:cs="Arial" w:eastAsia="Arial" w:hAnsi="Arial"/>
          <w:sz w:val="17"/>
          <w:szCs w:val="17"/>
          <w:color w:val="auto"/>
        </w:rPr>
        <w:t>”) hereby requests acceleration of the effectiveness of the Registration Statement on Form S-1 (File No. 333-210152)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to 5:00 PM, Washington D.C. time, on May 10, 2016, or as soon as is practicable thereafter. The undersigned confirms that it is aware of its responsibilities under the Securities Act of 1933, as amended, and the Securities Exchange Act of 1934, as amended, as they relate to the proposed public offering of the securities registered pursuant to the aforementioned Registration Statement.</w:t>
      </w:r>
    </w:p>
    <w:p>
      <w:pPr>
        <w:spacing w:after="0" w:line="19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Company acknowledges that the adequacy and accuracy of the disclosure in the Registration Statement is the responsibility of the Company. The Company further acknowledges that:</w:t>
      </w:r>
    </w:p>
    <w:p>
      <w:pPr>
        <w:spacing w:after="0" w:line="197" w:lineRule="exact"/>
        <w:rPr>
          <w:sz w:val="24"/>
          <w:szCs w:val="24"/>
          <w:color w:val="auto"/>
        </w:rPr>
      </w:pPr>
    </w:p>
    <w:p>
      <w:pPr>
        <w:ind w:left="1460" w:hanging="759"/>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Registration Statement effective, it does not foreclose the Commission from taking any action with respect to the Registration Statement;</w:t>
      </w:r>
    </w:p>
    <w:p>
      <w:pPr>
        <w:spacing w:after="0" w:line="170" w:lineRule="exact"/>
        <w:rPr>
          <w:rFonts w:ascii="Arial" w:cs="Arial" w:eastAsia="Arial" w:hAnsi="Arial"/>
          <w:sz w:val="18"/>
          <w:szCs w:val="18"/>
          <w:color w:val="auto"/>
        </w:rPr>
      </w:pPr>
    </w:p>
    <w:p>
      <w:pPr>
        <w:ind w:left="1460" w:hanging="759"/>
        <w:spacing w:after="0" w:line="342" w:lineRule="auto"/>
        <w:tabs>
          <w:tab w:leader="none" w:pos="1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123" w:lineRule="exact"/>
        <w:rPr>
          <w:rFonts w:ascii="Arial" w:cs="Arial" w:eastAsia="Arial" w:hAnsi="Arial"/>
          <w:sz w:val="16"/>
          <w:szCs w:val="16"/>
          <w:color w:val="auto"/>
        </w:rPr>
      </w:pPr>
    </w:p>
    <w:p>
      <w:pPr>
        <w:ind w:left="1460" w:hanging="759"/>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Upon grant of our request to accelerate effectiveness, we would appreciate your communicating with the Company’s counsel, Daniel W. Rumsey, via telephone at (619) 795-1134, to confirm the exact time at which the Registration Statement was declared effective.</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right="8960" w:firstLine="8"/>
        <w:spacing w:after="0" w:line="258" w:lineRule="auto"/>
        <w:tabs>
          <w:tab w:leader="none" w:pos="705" w:val="left"/>
        </w:tabs>
        <w:numPr>
          <w:ilvl w:val="0"/>
          <w:numId w:val="2"/>
        </w:numPr>
        <w:rPr>
          <w:rFonts w:ascii="Arial" w:cs="Arial" w:eastAsia="Arial" w:hAnsi="Arial"/>
          <w:sz w:val="18"/>
          <w:szCs w:val="18"/>
          <w:color w:val="auto"/>
        </w:rPr>
      </w:pPr>
      <w:r>
        <w:rPr>
          <w:rFonts w:ascii="Arial" w:cs="Arial" w:eastAsia="Arial" w:hAnsi="Arial"/>
          <w:sz w:val="18"/>
          <w:szCs w:val="18"/>
          <w:color w:val="auto"/>
        </w:rPr>
        <w:t>Daniel W. Rumsey, Esq. Managing Partner</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Disclosure Law Group, a Professional Corporation</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2020-01-20T12:07:33Z</dcterms:created>
  <dcterms:modified xsi:type="dcterms:W3CDTF">2020-01-20T12:07:33Z</dcterms:modified>
</cp:coreProperties>
</file>