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8,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4"/>
        </w:trPr>
        <w:tc>
          <w:tcPr>
            <w:tcW w:w="1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5"/>
        </w:trPr>
        <w:tc>
          <w:tcPr>
            <w:tcW w:w="4540" w:type="dxa"/>
            <w:vAlign w:val="bottom"/>
            <w:gridSpan w:val="3"/>
          </w:tcPr>
          <w:p>
            <w:pPr>
              <w:jc w:val="center"/>
              <w:ind w:right="740"/>
              <w:spacing w:after="0"/>
              <w:rPr>
                <w:sz w:val="20"/>
                <w:szCs w:val="20"/>
                <w:color w:val="auto"/>
              </w:rPr>
            </w:pPr>
            <w:r>
              <w:rPr>
                <w:rFonts w:ascii="Arial" w:cs="Arial" w:eastAsia="Arial" w:hAnsi="Arial"/>
                <w:sz w:val="18"/>
                <w:szCs w:val="18"/>
                <w:color w:val="auto"/>
                <w:w w:val="87"/>
              </w:rPr>
              <w:t>Common Stock, par value $0.001 per share</w:t>
            </w:r>
          </w:p>
        </w:tc>
        <w:tc>
          <w:tcPr>
            <w:tcW w:w="500" w:type="dxa"/>
            <w:vAlign w:val="bottom"/>
          </w:tcPr>
          <w:p>
            <w:pPr>
              <w:spacing w:after="0"/>
              <w:rPr>
                <w:sz w:val="20"/>
                <w:szCs w:val="20"/>
                <w:color w:val="auto"/>
              </w:rPr>
            </w:pPr>
          </w:p>
        </w:tc>
        <w:tc>
          <w:tcPr>
            <w:tcW w:w="2920" w:type="dxa"/>
            <w:vAlign w:val="bottom"/>
            <w:gridSpan w:val="2"/>
          </w:tcPr>
          <w:p>
            <w:pPr>
              <w:jc w:val="center"/>
              <w:ind w:right="1580"/>
              <w:spacing w:after="0"/>
              <w:rPr>
                <w:sz w:val="20"/>
                <w:szCs w:val="20"/>
                <w:color w:val="auto"/>
              </w:rPr>
            </w:pPr>
            <w:r>
              <w:rPr>
                <w:rFonts w:ascii="Arial" w:cs="Arial" w:eastAsia="Arial" w:hAnsi="Arial"/>
                <w:sz w:val="18"/>
                <w:szCs w:val="18"/>
                <w:color w:val="auto"/>
                <w:w w:val="99"/>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October 8,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began utilizing a new corporate presentation, a copy of which is attached to this Current Report on Form 8-K as Exhibit 99.1.</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October 8, 2019, the Company issued a press release announcing that the last patient completed dosing in the Company's ELEVATE Phase 2 clinical study of AV-101 as an adjunctive treatment with an FDA-approved oral antidepressant for major depressive disorder. The Company remains on track to report top line results of the ELEVATE study before the end of 2019. A copy of the press release is attached to this Current Report on Form 8-K as Exhibit 99.2.</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and the exhibit(s) attached hereto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October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636"/>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7"/>
        </w:trPr>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196"/>
        </w:trPr>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VistaGen Therapeutics, Inc. Corporate Presentation, dated October 2019.</w:t>
            </w:r>
          </w:p>
        </w:tc>
      </w:tr>
      <w:tr>
        <w:trPr>
          <w:trHeight w:val="176"/>
        </w:trPr>
        <w:tc>
          <w:tcPr>
            <w:tcW w:w="740" w:type="dxa"/>
            <w:vAlign w:val="bottom"/>
            <w:gridSpan w:val="2"/>
          </w:tcPr>
          <w:p>
            <w:pPr>
              <w:jc w:val="center"/>
              <w:ind w:left="332"/>
              <w:spacing w:after="0" w:line="176" w:lineRule="exact"/>
              <w:rPr>
                <w:sz w:val="20"/>
                <w:szCs w:val="20"/>
                <w:color w:val="auto"/>
              </w:rPr>
            </w:pPr>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2</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rPr>
              <w:t>Press Release issued by VistaGen Therapeutics, Inc., dated October 8, 2019.</w:t>
            </w:r>
          </w:p>
        </w:tc>
      </w:tr>
      <w:tr>
        <w:trPr>
          <w:trHeight w:val="1108"/>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ind w:left="9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184150</wp:posOffset>
            </wp:positionV>
            <wp:extent cx="7246620" cy="9956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0" w:num="1">
            <w:col w:w="10220"/>
          </w:cols>
          <w:pgMar w:left="1440" w:top="287"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603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10028555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3321685</wp:posOffset>
            </wp:positionV>
            <wp:extent cx="7246620" cy="6723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603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660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363345" cy="951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Therapeutics Announces Last Patient Completes Dosing in the ELEVATE Phase 2 Study of AV-101 for Major Depressive Disorder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on Track to Report Top Line Results Before Year End</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SOUTH SAN FRANCISCO, Calif., October 08, 2019 </w:t>
      </w:r>
      <w:r>
        <w:rPr>
          <w:rFonts w:ascii="Arial" w:cs="Arial" w:eastAsia="Arial" w:hAnsi="Arial"/>
          <w:sz w:val="18"/>
          <w:szCs w:val="18"/>
          <w:color w:val="auto"/>
        </w:rPr>
        <w:t>– VistaGen Therapeutics (NASDAQ: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central nervous system (CNS) diseases and disorders with high unmet need, announced today that the last patient has completed dosing in the ELEVATE Phase 2 clinical study of AV-101, the Company’s novel, oral NMDA (N-methyl-D-aspartate) receptor glycine site antagonist, as an adjunctive (add-on) treatment with an FDA-approved oral antidepressant for major depressive disorder (MDD). The Company remains on track to report top line results of the ELEVATE study before the end of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AV-101 (4-Cl-KYN) belongs to a new generation of investigational medicines in neuropsychiatry and neurology known as NMDA glutamate receptor modulators. The NMDA receptor is a pivotal receptor in the brain and abnormal NMDA function is associated with numerous CNS diseases and disorders. AV-101 is an oral prodrug of 7-Cl-KYNA, a potent and selective full antagonist of the glycine coagonist site of the NMDA receptor. With its exceptional safety profile in all studies to date, AV-101 has potential to be a new at-home treatment for multiple large market CNS indications where current treatments are inadequate to satisfy high unmet patient needs. VistaGen is currently focused on AV-101’s potential to treat depression, dyskinesia associated with levodopa therapy for Parkinson’s disease, epilepsy, neuropathic pain and suicidal ideation. The FDA has granted Fast Track designation for development of AV-101 as a potential adjunctive treatment for MDD and as a non-opioid treatment for neuropathic 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ELEVATE Study</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Among VistaGen's key objectives for AV-101 in MDD is to replace atypical antipsychotics in the current MDD drug treatment paradigm and redefine the standard of care for individuals who are unable to reduce their symptoms of depression with their current oral antidepressant alone. The ELEVATE study is VistaGen’s U.S. multi-center, randomized, double-blind, placebo-controlled Phase 2 clinical study to evaluate the efficacy and safety of adjunctive use of AV-101 in adult MDD patients who have an inadequate response to standard FDA-approved oral antidepressant therapy. VistaGen achieved target enrollment (n = 180) in the ELEVATE study in August 2019. The primary endpoint of the ELEVATE study is the change from baseline on the Montgomery-Åsberg Depression Rating Scale (MADRS-10) total score.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MDD is a serious neurobiologically-based mood disorder, affecting approximately 17.3 million adults in the U.S., or 7.1% of the U.S. adult population, according to the U.S. National Institute of Mental Health.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according to the World Health Organization.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auto"/>
        </w:rPr>
        <w:t>pipeline</w:t>
      </w:r>
      <w:r>
        <w:rPr>
          <w:rFonts w:ascii="Arial" w:cs="Arial" w:eastAsia="Arial" w:hAnsi="Arial"/>
          <w:sz w:val="16"/>
          <w:szCs w:val="16"/>
          <w:color w:val="auto"/>
        </w:rPr>
        <w:t xml:space="preserve"> includes three differentiated, clinical-stage CNS drug candidates, AV-101, PH10 and PH94B, each with an exceptional safety profile in all clinical studies to date and therapeutic potential in multiple large and growing CNS markets.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three drug candidates, (i) AV-101 for depression, dyskinesia associated with levodopa therapy for Parkinson’s disease, epilepsy, neuropathic pain and suicidal ideation ; (ii) PH94B for social anxiety disorder, generalized anxiety disorder, peripartum anxiety, preoperative anxiety, panic disorder and post-traumatic stress disorder; and (iii) PH10 for MDD, peripartum depression and suicidal ideation.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including for AV-101 during the ELEVATE study,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(iv) decisions or actions of regulatory agencies may negatively affect the progress of, and our ability to proceed with,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required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7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2020-01-09T02:40:46Z</dcterms:created>
  <dcterms:modified xsi:type="dcterms:W3CDTF">2020-01-09T02:40:46Z</dcterms:modified>
</cp:coreProperties>
</file>