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90"/>
        <w:ind w:left="0" w:right="0" w:hanging="0"/>
        <w:jc w:val="center"/>
        <w:rPr>
          <w:bdr w:val="single" w:sz="24" w:space="1" w:color="000000"/>
        </w:rPr>
      </w:pPr>
      <w:r>
        <w:rPr>
          <w:bdr w:val="single" w:sz="24" w:space="1" w:color="000000"/>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As filed with the Securities and Exchange Commission on September </w:t>
      </w:r>
      <w:r>
        <w:rPr>
          <w:rFonts w:ascii="Times New Roman" w:hAnsi="Times New Roman"/>
          <w:b/>
          <w:color w:val="000000"/>
          <w:sz w:val="20"/>
        </w:rPr>
        <w:t>24, 2021</w:t>
      </w:r>
    </w:p>
    <w:p>
      <w:pPr>
        <w:pStyle w:val="TextBody"/>
        <w:spacing w:before="0" w:after="0"/>
        <w:ind w:left="0" w:right="0" w:hanging="0"/>
        <w:jc w:val="center"/>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Registration No. 333-  _______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FORM S-8</w:t>
      </w:r>
    </w:p>
    <w:p>
      <w:pPr>
        <w:pStyle w:val="TextBody"/>
        <w:spacing w:before="0" w:after="0"/>
        <w:ind w:left="0" w:right="0" w:hanging="0"/>
        <w:jc w:val="center"/>
        <w:rPr>
          <w:rFonts w:ascii="Times New Roman" w:hAnsi="Times New Roman"/>
          <w:b/>
          <w:sz w:val="20"/>
        </w:rPr>
      </w:pPr>
      <w:r>
        <w:rPr>
          <w:rFonts w:ascii="Times New Roman" w:hAnsi="Times New Roman"/>
          <w:b/>
          <w:sz w:val="20"/>
        </w:rPr>
        <w:t>REGISTRATION STATEMENT</w:t>
      </w:r>
    </w:p>
    <w:p>
      <w:pPr>
        <w:pStyle w:val="TextBody"/>
        <w:spacing w:before="0" w:after="0"/>
        <w:ind w:left="0" w:right="0" w:hanging="0"/>
        <w:jc w:val="center"/>
        <w:rPr>
          <w:rFonts w:ascii="Times New Roman" w:hAnsi="Times New Roman"/>
          <w:b/>
          <w:sz w:val="20"/>
        </w:rPr>
      </w:pPr>
      <w:r>
        <w:rPr>
          <w:rFonts w:ascii="Times New Roman" w:hAnsi="Times New Roman"/>
          <w:b/>
          <w:sz w:val="20"/>
        </w:rPr>
        <w:t>UNDER</w:t>
      </w:r>
    </w:p>
    <w:p>
      <w:pPr>
        <w:pStyle w:val="TextBody"/>
        <w:spacing w:before="0" w:after="0"/>
        <w:ind w:left="0" w:right="0" w:hanging="0"/>
        <w:jc w:val="center"/>
        <w:rPr>
          <w:rFonts w:ascii="Times New Roman" w:hAnsi="Times New Roman"/>
          <w:b/>
          <w:sz w:val="20"/>
        </w:rPr>
      </w:pPr>
      <w:r>
        <w:rPr>
          <w:rFonts w:ascii="Times New Roman" w:hAnsi="Times New Roman"/>
          <w:b/>
          <w:sz w:val="20"/>
        </w:rPr>
        <w:t>THE SECURITIES ACT OF 1933</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left"/>
        <w:rPr/>
      </w:pPr>
      <w:r>
        <w:rPr/>
        <w:t> </w:t>
      </w:r>
    </w:p>
    <w:tbl>
      <w:tblPr>
        <w:tblW w:w="4083" w:type="dxa"/>
        <w:jc w:val="left"/>
        <w:tblInd w:w="0" w:type="dxa"/>
        <w:tblCellMar>
          <w:top w:w="0" w:type="dxa"/>
          <w:left w:w="0" w:type="dxa"/>
          <w:bottom w:w="0" w:type="dxa"/>
          <w:right w:w="0" w:type="dxa"/>
        </w:tblCellMar>
      </w:tblPr>
      <w:tblGrid>
        <w:gridCol w:w="2525"/>
        <w:gridCol w:w="23"/>
        <w:gridCol w:w="1535"/>
      </w:tblGrid>
      <w:tr>
        <w:trPr/>
        <w:tc>
          <w:tcPr>
            <w:tcW w:w="2525" w:type="dxa"/>
            <w:tcBorders/>
            <w:shd w:fill="auto" w:val="clear"/>
            <w:vAlign w:val="center"/>
          </w:tcPr>
          <w:p>
            <w:pPr>
              <w:pStyle w:val="TableContents"/>
              <w:spacing w:before="0" w:after="0"/>
              <w:rPr/>
            </w:pPr>
            <w:r>
              <w:rPr/>
              <w:t> </w:t>
            </w:r>
          </w:p>
        </w:tc>
        <w:tc>
          <w:tcPr>
            <w:tcW w:w="23" w:type="dxa"/>
            <w:tcBorders/>
            <w:shd w:fill="auto" w:val="clear"/>
            <w:vAlign w:val="center"/>
          </w:tcPr>
          <w:p>
            <w:pPr>
              <w:pStyle w:val="TableContents"/>
              <w:spacing w:before="0" w:after="283"/>
              <w:rPr/>
            </w:pPr>
            <w:r>
              <w:rPr/>
            </w:r>
          </w:p>
        </w:tc>
        <w:tc>
          <w:tcPr>
            <w:tcW w:w="1535" w:type="dxa"/>
            <w:tcBorders/>
            <w:shd w:fill="auto" w:val="clear"/>
            <w:vAlign w:val="center"/>
          </w:tcPr>
          <w:p>
            <w:pPr>
              <w:pStyle w:val="TableContents"/>
              <w:spacing w:before="0" w:after="0"/>
              <w:rPr/>
            </w:pPr>
            <w:r>
              <w:rPr/>
              <w:t> </w:t>
            </w:r>
          </w:p>
        </w:tc>
      </w:tr>
      <w:tr>
        <w:trPr/>
        <w:tc>
          <w:tcPr>
            <w:tcW w:w="2525" w:type="dxa"/>
            <w:tcBorders/>
            <w:shd w:fill="auto" w:val="clear"/>
            <w:vAlign w:val="cente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Nevada</w:t>
            </w:r>
          </w:p>
        </w:tc>
        <w:tc>
          <w:tcPr>
            <w:tcW w:w="23" w:type="dxa"/>
            <w:tcBorders/>
            <w:shd w:fill="auto" w:val="clear"/>
            <w:vAlign w:val="center"/>
          </w:tcPr>
          <w:p>
            <w:pPr>
              <w:pStyle w:val="TableContents"/>
              <w:spacing w:before="0" w:after="283"/>
              <w:rPr/>
            </w:pPr>
            <w:r>
              <w:rPr/>
            </w:r>
          </w:p>
        </w:tc>
        <w:tc>
          <w:tcPr>
            <w:tcW w:w="1535" w:type="dxa"/>
            <w:tcBorders/>
            <w:shd w:fill="auto" w:val="clear"/>
            <w:vAlign w:val="cente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20-5093315</w:t>
            </w:r>
          </w:p>
        </w:tc>
      </w:tr>
      <w:tr>
        <w:trPr/>
        <w:tc>
          <w:tcPr>
            <w:tcW w:w="252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tc>
        <w:tc>
          <w:tcPr>
            <w:tcW w:w="23" w:type="dxa"/>
            <w:tcBorders/>
            <w:shd w:fill="auto" w:val="clear"/>
            <w:vAlign w:val="center"/>
          </w:tcPr>
          <w:p>
            <w:pPr>
              <w:pStyle w:val="TableContents"/>
              <w:spacing w:before="0" w:after="283"/>
              <w:rPr/>
            </w:pPr>
            <w:r>
              <w:rPr/>
            </w:r>
          </w:p>
        </w:tc>
        <w:tc>
          <w:tcPr>
            <w:tcW w:w="153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tc>
      </w:tr>
      <w:tr>
        <w:trPr/>
        <w:tc>
          <w:tcPr>
            <w:tcW w:w="252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23" w:type="dxa"/>
            <w:tcBorders/>
            <w:shd w:fill="auto" w:val="clear"/>
            <w:vAlign w:val="center"/>
          </w:tcPr>
          <w:p>
            <w:pPr>
              <w:pStyle w:val="TableContents"/>
              <w:spacing w:before="0" w:after="283"/>
              <w:rPr/>
            </w:pPr>
            <w:r>
              <w:rPr/>
            </w:r>
          </w:p>
        </w:tc>
        <w:tc>
          <w:tcPr>
            <w:tcW w:w="153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343 Allerton Avenue</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South San Francisco, California 94080</w:t>
      </w:r>
    </w:p>
    <w:p>
      <w:pPr>
        <w:pStyle w:val="TextBody"/>
        <w:spacing w:before="0" w:after="0"/>
        <w:ind w:left="0" w:right="0" w:hanging="0"/>
        <w:jc w:val="center"/>
        <w:rPr>
          <w:rFonts w:ascii="Times New Roman" w:hAnsi="Times New Roman"/>
          <w:sz w:val="20"/>
        </w:rPr>
      </w:pPr>
      <w:r>
        <w:rPr>
          <w:rFonts w:ascii="Times New Roman" w:hAnsi="Times New Roman"/>
          <w:sz w:val="20"/>
        </w:rPr>
        <w:t>(Address of Principal Executive Offices)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VistaGen Therapeutics, Inc. Amended and Restated 2019 Omnibus Equity Incentive Plan</w:t>
      </w:r>
    </w:p>
    <w:p>
      <w:pPr>
        <w:pStyle w:val="TextBody"/>
        <w:spacing w:before="0" w:after="0"/>
        <w:ind w:left="0" w:right="0" w:hanging="0"/>
        <w:jc w:val="center"/>
        <w:rPr/>
      </w:pPr>
      <w:r>
        <w:rPr/>
        <w:t> </w:t>
      </w:r>
      <w:r>
        <w:rPr>
          <w:rFonts w:ascii="Times New Roman" w:hAnsi="Times New Roman"/>
          <w:sz w:val="20"/>
        </w:rPr>
        <w:t>(Full title of the plan)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Shawn K. Singh</w:t>
      </w:r>
    </w:p>
    <w:p>
      <w:pPr>
        <w:pStyle w:val="TextBody"/>
        <w:spacing w:before="0" w:after="0"/>
        <w:ind w:left="0" w:right="0" w:hanging="0"/>
        <w:jc w:val="center"/>
        <w:rPr>
          <w:rFonts w:ascii="Times New Roman" w:hAnsi="Times New Roman"/>
          <w:b/>
          <w:sz w:val="20"/>
        </w:rPr>
      </w:pPr>
      <w:r>
        <w:rPr>
          <w:rFonts w:ascii="Times New Roman" w:hAnsi="Times New Roman"/>
          <w:b/>
          <w:sz w:val="20"/>
        </w:rPr>
        <w:t>Chief Executive Officer</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343 Allerton Avenue</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South San Francisco, California 94080</w:t>
      </w:r>
    </w:p>
    <w:p>
      <w:pPr>
        <w:pStyle w:val="TextBody"/>
        <w:spacing w:before="0" w:after="0"/>
        <w:ind w:left="0" w:right="0" w:hanging="0"/>
        <w:jc w:val="center"/>
        <w:rPr>
          <w:rFonts w:ascii="Times New Roman" w:hAnsi="Times New Roman"/>
          <w:sz w:val="20"/>
        </w:rPr>
      </w:pPr>
      <w:r>
        <w:rPr>
          <w:rFonts w:ascii="Times New Roman" w:hAnsi="Times New Roman"/>
          <w:sz w:val="20"/>
        </w:rPr>
        <w:t>(Name and address of agent for service)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(650) 577-3600</w:t>
      </w:r>
    </w:p>
    <w:p>
      <w:pPr>
        <w:pStyle w:val="TextBody"/>
        <w:spacing w:before="0" w:after="0"/>
        <w:ind w:left="0" w:right="0" w:hanging="0"/>
        <w:jc w:val="center"/>
        <w:rPr>
          <w:rFonts w:ascii="Times New Roman" w:hAnsi="Times New Roman"/>
          <w:sz w:val="20"/>
        </w:rPr>
      </w:pPr>
      <w:r>
        <w:rPr>
          <w:rFonts w:ascii="Times New Roman" w:hAnsi="Times New Roman"/>
          <w:sz w:val="20"/>
        </w:rPr>
        <w:t>(Telephone number, including area code, of agent for service)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Copies to:</w:t>
      </w:r>
    </w:p>
    <w:p>
      <w:pPr>
        <w:pStyle w:val="TextBody"/>
        <w:spacing w:before="0" w:after="0"/>
        <w:ind w:left="0" w:right="0" w:hanging="0"/>
        <w:jc w:val="center"/>
        <w:rPr>
          <w:rFonts w:ascii="Times New Roman" w:hAnsi="Times New Roman"/>
          <w:b/>
          <w:sz w:val="20"/>
        </w:rPr>
      </w:pPr>
      <w:r>
        <w:rPr>
          <w:rFonts w:ascii="Times New Roman" w:hAnsi="Times New Roman"/>
          <w:b/>
          <w:sz w:val="20"/>
        </w:rPr>
        <w:t>Jessica R. Sudweeks, Esq.</w:t>
      </w:r>
    </w:p>
    <w:p>
      <w:pPr>
        <w:pStyle w:val="TextBody"/>
        <w:spacing w:before="0" w:after="0"/>
        <w:ind w:left="0" w:right="0" w:hanging="0"/>
        <w:jc w:val="center"/>
        <w:rPr>
          <w:rFonts w:ascii="Times New Roman" w:hAnsi="Times New Roman"/>
          <w:b/>
          <w:sz w:val="20"/>
        </w:rPr>
      </w:pPr>
      <w:r>
        <w:rPr>
          <w:rFonts w:ascii="Times New Roman" w:hAnsi="Times New Roman"/>
          <w:b/>
          <w:sz w:val="20"/>
        </w:rPr>
        <w:t>Disclosure Law Group, a Professional Corporation</w:t>
      </w:r>
    </w:p>
    <w:p>
      <w:pPr>
        <w:pStyle w:val="TextBody"/>
        <w:spacing w:before="0" w:after="0"/>
        <w:ind w:left="0" w:right="0" w:hanging="0"/>
        <w:jc w:val="center"/>
        <w:rPr>
          <w:rFonts w:ascii="Times New Roman" w:hAnsi="Times New Roman"/>
          <w:b/>
          <w:sz w:val="20"/>
        </w:rPr>
      </w:pPr>
      <w:r>
        <w:rPr>
          <w:rFonts w:ascii="Times New Roman" w:hAnsi="Times New Roman"/>
          <w:b/>
          <w:sz w:val="20"/>
        </w:rPr>
        <w:t>655 W. Broadway, Suite 870</w:t>
      </w:r>
    </w:p>
    <w:p>
      <w:pPr>
        <w:pStyle w:val="TextBody"/>
        <w:spacing w:before="0" w:after="0"/>
        <w:ind w:left="0" w:right="0" w:hanging="0"/>
        <w:jc w:val="center"/>
        <w:rPr>
          <w:rFonts w:ascii="Times New Roman" w:hAnsi="Times New Roman"/>
          <w:b/>
          <w:sz w:val="20"/>
        </w:rPr>
      </w:pPr>
      <w:r>
        <w:rPr>
          <w:rFonts w:ascii="Times New Roman" w:hAnsi="Times New Roman"/>
          <w:b/>
          <w:sz w:val="20"/>
        </w:rPr>
        <w:t>San Diego, California 92101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jc w:val="both"/>
        <w:rPr/>
      </w:pPr>
      <w:r>
        <w:rPr/>
        <w:t> </w:t>
      </w:r>
    </w:p>
    <w:tbl>
      <w:tblPr>
        <w:tblW w:w="5195" w:type="dxa"/>
        <w:jc w:val="left"/>
        <w:tblInd w:w="0" w:type="dxa"/>
        <w:tblCellMar>
          <w:top w:w="0" w:type="dxa"/>
          <w:left w:w="0" w:type="dxa"/>
          <w:bottom w:w="0" w:type="dxa"/>
          <w:right w:w="0" w:type="dxa"/>
        </w:tblCellMar>
      </w:tblPr>
      <w:tblGrid>
        <w:gridCol w:w="1925"/>
        <w:gridCol w:w="455"/>
        <w:gridCol w:w="60"/>
        <w:gridCol w:w="60"/>
        <w:gridCol w:w="2405"/>
        <w:gridCol w:w="290"/>
      </w:tblGrid>
      <w:tr>
        <w:trPr/>
        <w:tc>
          <w:tcPr>
            <w:tcW w:w="19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Large Accelerated filer </w:t>
            </w:r>
          </w:p>
        </w:tc>
        <w:tc>
          <w:tcPr>
            <w:tcW w:w="45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Accelerated filer    </w:t>
            </w:r>
          </w:p>
        </w:tc>
        <w:tc>
          <w:tcPr>
            <w:tcW w:w="29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r>
      <w:tr>
        <w:trPr/>
        <w:tc>
          <w:tcPr>
            <w:tcW w:w="19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Non-accelerated filer    </w:t>
            </w:r>
          </w:p>
        </w:tc>
        <w:tc>
          <w:tcPr>
            <w:tcW w:w="45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    </w:t>
            </w:r>
          </w:p>
        </w:tc>
        <w:tc>
          <w:tcPr>
            <w:tcW w:w="29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[X]</w:t>
            </w:r>
          </w:p>
        </w:tc>
      </w:tr>
      <w:tr>
        <w:trPr/>
        <w:tc>
          <w:tcPr>
            <w:tcW w:w="1925" w:type="dxa"/>
            <w:tcBorders/>
            <w:shd w:fill="auto" w:val="clear"/>
            <w:vAlign w:val="center"/>
          </w:tcPr>
          <w:p>
            <w:pPr>
              <w:pStyle w:val="TableContents"/>
              <w:spacing w:before="0" w:after="0"/>
              <w:rPr/>
            </w:pPr>
            <w:r>
              <w:rPr/>
              <w:t> </w:t>
            </w:r>
          </w:p>
        </w:tc>
        <w:tc>
          <w:tcPr>
            <w:tcW w:w="4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40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9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ind w:left="0" w:right="0" w:hanging="0"/>
        <w:jc w:val="left"/>
        <w:rPr/>
      </w:pPr>
      <w:r>
        <w:rPr/>
        <w:t> </w:t>
      </w:r>
    </w:p>
    <w:p>
      <w:pPr>
        <w:pStyle w:val="TextBody"/>
        <w:spacing w:before="0" w:after="0"/>
        <w:ind w:left="0" w:right="0" w:hanging="0"/>
        <w:jc w:val="both"/>
        <w:rPr/>
      </w:pPr>
      <w:r>
        <w:rPr/>
        <w:t> </w:t>
      </w:r>
    </w:p>
    <w:p>
      <w:pPr>
        <w:pStyle w:val="TextBody"/>
        <w:spacing w:before="0" w:after="90"/>
        <w:ind w:left="0" w:right="0" w:hanging="0"/>
        <w:jc w:val="center"/>
        <w:rPr>
          <w:bdr w:val="single" w:sz="2" w:space="1" w:color="000000"/>
        </w:rPr>
      </w:pPr>
      <w:r>
        <w:rPr>
          <w:bdr w:val="single" w:sz="2" w:space="1" w:color="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0" w:name="pgbrk"/>
      <w:bookmarkStart w:id="1" w:name="pgbrk"/>
      <w:bookmarkEnd w:id="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 w:name="hdr"/>
      <w:bookmarkEnd w:id="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CALCULATION OF REGISTRATION FEE</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3869"/>
        <w:gridCol w:w="1211"/>
        <w:gridCol w:w="1322"/>
        <w:gridCol w:w="2545"/>
        <w:gridCol w:w="1258"/>
      </w:tblGrid>
      <w:tr>
        <w:trPr/>
        <w:tc>
          <w:tcPr>
            <w:tcW w:w="3869" w:type="dxa"/>
            <w:tcBorders/>
            <w:shd w:fill="auto" w:val="clear"/>
            <w:vAlign w:val="center"/>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Title of Securities to be Registered</w:t>
            </w:r>
          </w:p>
        </w:tc>
        <w:tc>
          <w:tcPr>
            <w:tcW w:w="1211"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Amount to be</w:t>
            </w:r>
          </w:p>
          <w:p>
            <w:pPr>
              <w:pStyle w:val="TableContents"/>
              <w:spacing w:before="0" w:after="0"/>
              <w:jc w:val="center"/>
              <w:rPr>
                <w:bdr w:val="single" w:sz="12" w:space="1" w:color="000000"/>
              </w:rPr>
            </w:pPr>
            <w:r>
              <w:rPr>
                <w:rFonts w:ascii="Times New Roman" w:hAnsi="Times New Roman"/>
                <w:b/>
                <w:color w:val="000000"/>
                <w:sz w:val="20"/>
                <w:bdr w:val="single" w:sz="12" w:space="1" w:color="000000"/>
              </w:rPr>
              <w:t>Registered</w:t>
            </w:r>
            <w:r>
              <w:rPr>
                <w:bdr w:val="single" w:sz="12" w:space="1" w:color="000000"/>
              </w:rPr>
              <w:t xml:space="preserve"> </w:t>
            </w:r>
            <w:r>
              <w:rPr>
                <w:b/>
                <w:bdr w:val="single" w:sz="12" w:space="1" w:color="000000"/>
              </w:rPr>
              <w:t>(1)</w:t>
            </w:r>
          </w:p>
          <w:p>
            <w:pPr>
              <w:pStyle w:val="TableContents"/>
              <w:spacing w:before="0" w:after="0"/>
              <w:jc w:val="left"/>
              <w:rPr/>
            </w:pPr>
            <w:r>
              <w:rPr/>
              <w:t> </w:t>
            </w:r>
          </w:p>
        </w:tc>
        <w:tc>
          <w:tcPr>
            <w:tcW w:w="1322"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Proposed Maximum</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Offering Price</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per Share</w:t>
            </w:r>
          </w:p>
          <w:p>
            <w:pPr>
              <w:pStyle w:val="TableContents"/>
              <w:spacing w:before="0" w:after="0"/>
              <w:jc w:val="left"/>
              <w:rPr/>
            </w:pPr>
            <w:r>
              <w:rPr/>
              <w:t> </w:t>
            </w:r>
          </w:p>
        </w:tc>
        <w:tc>
          <w:tcPr>
            <w:tcW w:w="254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Proposed Maximum Aggregate Offering Price</w:t>
            </w:r>
          </w:p>
          <w:p>
            <w:pPr>
              <w:pStyle w:val="TableContents"/>
              <w:spacing w:before="0" w:after="0"/>
              <w:jc w:val="left"/>
              <w:rPr/>
            </w:pPr>
            <w:r>
              <w:rPr/>
              <w:t> </w:t>
            </w:r>
          </w:p>
        </w:tc>
        <w:tc>
          <w:tcPr>
            <w:tcW w:w="1258"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Amount of</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Registration Fee</w:t>
            </w:r>
          </w:p>
          <w:p>
            <w:pPr>
              <w:pStyle w:val="TableContents"/>
              <w:spacing w:before="0" w:after="0"/>
              <w:jc w:val="left"/>
              <w:rPr/>
            </w:pPr>
            <w:r>
              <w:rPr/>
              <w:t> </w:t>
            </w:r>
          </w:p>
        </w:tc>
      </w:tr>
      <w:tr>
        <w:trPr/>
        <w:tc>
          <w:tcPr>
            <w:tcW w:w="3869" w:type="dxa"/>
            <w:tcBorders/>
            <w:shd w:fill="auto" w:val="clear"/>
            <w:vAlign w:val="center"/>
          </w:tcPr>
          <w:p>
            <w:pPr>
              <w:pStyle w:val="TableContents"/>
              <w:spacing w:before="0" w:after="0"/>
              <w:ind w:left="0" w:right="0" w:hanging="0"/>
              <w:rPr/>
            </w:pPr>
            <w:r>
              <w:rPr/>
              <w:t> </w:t>
            </w:r>
          </w:p>
        </w:tc>
        <w:tc>
          <w:tcPr>
            <w:tcW w:w="1211"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322"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254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258"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869"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Common Stock, $0.001 par value per share:</w:t>
            </w:r>
          </w:p>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 be issued under the Amended and Restated 2019 Omnibus Equity Incentive Plan</w:t>
            </w:r>
          </w:p>
        </w:tc>
        <w:tc>
          <w:tcPr>
            <w:tcW w:w="121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10,500,000(2)</w:t>
            </w:r>
          </w:p>
        </w:tc>
        <w:tc>
          <w:tcPr>
            <w:tcW w:w="132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$2.805(3)</w:t>
            </w:r>
          </w:p>
        </w:tc>
        <w:tc>
          <w:tcPr>
            <w:tcW w:w="25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$29,452,500</w:t>
            </w:r>
            <w:r>
              <w:rPr>
                <w:color w:val="000000"/>
              </w:rPr>
              <w:t> </w:t>
            </w:r>
          </w:p>
        </w:tc>
        <w:tc>
          <w:tcPr>
            <w:tcW w:w="125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$3,213.27</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99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Pursuant to Rule 416(c) under the Securities Act of 1933, as amended (the “</w:t>
            </w:r>
            <w:r>
              <w:rPr>
                <w:rFonts w:ascii="Times New Roman" w:hAnsi="Times New Roman"/>
                <w:i/>
                <w:sz w:val="20"/>
              </w:rPr>
              <w:t>Securities Act”</w:t>
            </w:r>
            <w:r>
              <w:rPr>
                <w:rFonts w:ascii="Times New Roman" w:hAnsi="Times New Roman"/>
                <w:sz w:val="20"/>
              </w:rPr>
              <w:t>), this registration statement on Form S-8 (the “</w:t>
            </w:r>
            <w:r>
              <w:rPr>
                <w:rFonts w:ascii="Times New Roman" w:hAnsi="Times New Roman"/>
                <w:i/>
                <w:sz w:val="20"/>
              </w:rPr>
              <w:t>Registration Statement”</w:t>
            </w:r>
            <w:r>
              <w:rPr>
                <w:rFonts w:ascii="Times New Roman" w:hAnsi="Times New Roman"/>
                <w:sz w:val="20"/>
              </w:rPr>
              <w:t>) also covers an indeterminate number of shares of common stock, $0.001 par value per share (“</w:t>
            </w:r>
            <w:r>
              <w:rPr>
                <w:rFonts w:ascii="Times New Roman" w:hAnsi="Times New Roman"/>
                <w:i/>
                <w:sz w:val="20"/>
              </w:rPr>
              <w:t>Common Stock”</w:t>
            </w:r>
            <w:r>
              <w:rPr>
                <w:rFonts w:ascii="Times New Roman" w:hAnsi="Times New Roman"/>
                <w:sz w:val="20"/>
              </w:rPr>
              <w:t>), of VistaGen Therapeutics, Inc. (the “</w:t>
            </w:r>
            <w:r>
              <w:rPr>
                <w:rFonts w:ascii="Times New Roman" w:hAnsi="Times New Roman"/>
                <w:i/>
                <w:sz w:val="20"/>
              </w:rPr>
              <w:t>Registrant”</w:t>
            </w:r>
            <w:r>
              <w:rPr>
                <w:rFonts w:ascii="Times New Roman" w:hAnsi="Times New Roman"/>
                <w:sz w:val="20"/>
              </w:rPr>
              <w:t>) that may be offered or issued by reason of stock splits, stock dividends or similar transactions.  In addition, any shares subject to outstanding options or other equity “Awards” (as defined in the VistaGen Therapeutics, Inc. Amended and Restated 2019 Omnibus Equity Incentive Plan (the “</w:t>
            </w:r>
            <w:r>
              <w:rPr>
                <w:rFonts w:ascii="Times New Roman" w:hAnsi="Times New Roman"/>
                <w:i/>
                <w:sz w:val="20"/>
              </w:rPr>
              <w:t>2019 Plan”</w:t>
            </w:r>
            <w:r>
              <w:rPr>
                <w:rFonts w:ascii="Times New Roman" w:hAnsi="Times New Roman"/>
                <w:sz w:val="20"/>
              </w:rPr>
              <w:t>)) under the 2019 Plan that are cancelled, forfeited, expired, terminated, unearned or settled in cash, which in any such case does not result in the issuance of shares, shall be again available for issuance pursuant to Awards granted under the 2019 Plan.</w:t>
            </w:r>
          </w:p>
        </w:tc>
      </w:tr>
      <w:tr>
        <w:trPr/>
        <w:tc>
          <w:tcPr>
            <w:tcW w:w="207" w:type="dxa"/>
            <w:tcBorders/>
            <w:shd w:fill="auto" w:val="clear"/>
            <w:vAlign w:val="center"/>
          </w:tcPr>
          <w:p>
            <w:pPr>
              <w:pStyle w:val="TableContents"/>
              <w:spacing w:before="0" w:after="0"/>
              <w:rPr/>
            </w:pPr>
            <w:r>
              <w:rPr/>
              <w:t> </w:t>
            </w:r>
          </w:p>
        </w:tc>
        <w:tc>
          <w:tcPr>
            <w:tcW w:w="9998" w:type="dxa"/>
            <w:tcBorders/>
            <w:shd w:fill="auto" w:val="clear"/>
            <w:vAlign w:val="center"/>
          </w:tcPr>
          <w:p>
            <w:pPr>
              <w:pStyle w:val="TableContents"/>
              <w:spacing w:before="0" w:after="0"/>
              <w:ind w:left="0" w:right="0" w:hanging="0"/>
              <w:jc w:val="both"/>
              <w:rPr/>
            </w:pPr>
            <w:r>
              <w:rPr/>
              <w:t>             </w:t>
            </w:r>
          </w:p>
        </w:tc>
      </w:tr>
      <w:tr>
        <w:trPr/>
        <w:tc>
          <w:tcPr>
            <w:tcW w:w="20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99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This Registration Statements registers </w:t>
            </w:r>
            <w:r>
              <w:rPr>
                <w:rFonts w:ascii="Times New Roman" w:hAnsi="Times New Roman"/>
                <w:color w:val="000000"/>
                <w:sz w:val="20"/>
              </w:rPr>
              <w:t>10,500,000</w:t>
            </w:r>
            <w:r>
              <w:rPr>
                <w:rFonts w:ascii="Times New Roman" w:hAnsi="Times New Roman"/>
                <w:sz w:val="20"/>
              </w:rPr>
              <w:t xml:space="preserve"> additional shares of Common Stock available for future issuance under the 2019 Plan. The Registrant previously registered a total of </w:t>
            </w:r>
            <w:r>
              <w:rPr>
                <w:rFonts w:ascii="Times New Roman" w:hAnsi="Times New Roman"/>
                <w:color w:val="000000"/>
                <w:sz w:val="20"/>
              </w:rPr>
              <w:t>7,500,000</w:t>
            </w:r>
            <w:r>
              <w:rPr>
                <w:rFonts w:ascii="Times New Roman" w:hAnsi="Times New Roman"/>
                <w:sz w:val="20"/>
              </w:rPr>
              <w:t xml:space="preserve"> shares of Common Stock issuable under the 2019 Plan on a registration statement on Form S-8 (File No. 333-</w:t>
            </w:r>
            <w:r>
              <w:rPr>
                <w:rFonts w:ascii="Times New Roman" w:hAnsi="Times New Roman"/>
                <w:color w:val="000000"/>
                <w:sz w:val="20"/>
              </w:rPr>
              <w:t>234026).</w:t>
            </w:r>
          </w:p>
        </w:tc>
      </w:tr>
      <w:tr>
        <w:trPr/>
        <w:tc>
          <w:tcPr>
            <w:tcW w:w="207" w:type="dxa"/>
            <w:tcBorders/>
            <w:shd w:fill="auto" w:val="clear"/>
            <w:vAlign w:val="center"/>
          </w:tcPr>
          <w:p>
            <w:pPr>
              <w:pStyle w:val="TableContents"/>
              <w:spacing w:before="0" w:after="0"/>
              <w:rPr/>
            </w:pPr>
            <w:r>
              <w:rPr/>
              <w:t> </w:t>
            </w:r>
          </w:p>
        </w:tc>
        <w:tc>
          <w:tcPr>
            <w:tcW w:w="9998" w:type="dxa"/>
            <w:tcBorders/>
            <w:shd w:fill="auto" w:val="clear"/>
            <w:vAlign w:val="center"/>
          </w:tcPr>
          <w:p>
            <w:pPr>
              <w:pStyle w:val="TableContents"/>
              <w:spacing w:before="0" w:after="0"/>
              <w:rPr/>
            </w:pPr>
            <w:r>
              <w:rPr/>
              <w:t> </w:t>
            </w:r>
          </w:p>
        </w:tc>
      </w:tr>
      <w:tr>
        <w:trPr/>
        <w:tc>
          <w:tcPr>
            <w:tcW w:w="20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99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Estimated solely for purposes of calculating the registration fee pursuant to Securities Act Rule 457(c) and (h).  The proposed maximum offering price per share, proposed maximum aggregate offering price and the amount of the registration fee are based on the average of the high and low prices of the Registrant’s Common Stock reported on the Nasdaq Capital Market on September 22, 2021.  </w:t>
            </w:r>
          </w:p>
        </w:tc>
      </w:tr>
    </w:tbl>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 w:name="pgbrk1"/>
      <w:bookmarkStart w:id="4" w:name="pgbrk1"/>
      <w:bookmarkEnd w:id="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 w:name="ftr"/>
      <w:bookmarkEnd w:id="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 w:name="pb"/>
      <w:bookmarkStart w:id="7" w:name="pb"/>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 w:name="hdr1"/>
      <w:bookmarkEnd w:id="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EXPLANATORY NOTE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color w:val="000000"/>
          <w:sz w:val="20"/>
        </w:rPr>
        <w:t>This Registration Statement on Form S-8 (the “</w:t>
      </w:r>
      <w:r>
        <w:rPr>
          <w:rFonts w:ascii="Times New Roman" w:hAnsi="Times New Roman"/>
          <w:i/>
          <w:color w:val="000000"/>
          <w:sz w:val="20"/>
        </w:rPr>
        <w:t>Registration Statement”</w:t>
      </w:r>
      <w:r>
        <w:rPr>
          <w:rFonts w:ascii="Times New Roman" w:hAnsi="Times New Roman"/>
          <w:color w:val="000000"/>
          <w:sz w:val="20"/>
        </w:rPr>
        <w:t>)</w:t>
      </w:r>
      <w:r>
        <w:rPr>
          <w:rFonts w:ascii="Times New Roman" w:hAnsi="Times New Roman"/>
          <w:sz w:val="20"/>
        </w:rPr>
        <w:t xml:space="preserve"> is filed by VistaGen Therapeutics, Inc.  (the “</w:t>
      </w:r>
      <w:r>
        <w:rPr>
          <w:rFonts w:ascii="Times New Roman" w:hAnsi="Times New Roman"/>
          <w:i/>
          <w:sz w:val="20"/>
        </w:rPr>
        <w:t>Registrant”</w:t>
      </w:r>
      <w:r>
        <w:rPr>
          <w:rFonts w:ascii="Times New Roman" w:hAnsi="Times New Roman"/>
          <w:sz w:val="20"/>
        </w:rPr>
        <w:t xml:space="preserve">) to register </w:t>
      </w:r>
      <w:r>
        <w:rPr>
          <w:rFonts w:ascii="Times New Roman" w:hAnsi="Times New Roman"/>
          <w:color w:val="000000"/>
          <w:sz w:val="20"/>
        </w:rPr>
        <w:t>an additional 10,500,000 shares (the “</w:t>
      </w:r>
      <w:r>
        <w:rPr>
          <w:rFonts w:ascii="Times New Roman" w:hAnsi="Times New Roman"/>
          <w:i/>
          <w:color w:val="000000"/>
          <w:sz w:val="20"/>
        </w:rPr>
        <w:t>Shares</w:t>
      </w:r>
      <w:r>
        <w:rPr>
          <w:rFonts w:ascii="Times New Roman" w:hAnsi="Times New Roman"/>
          <w:color w:val="000000"/>
          <w:sz w:val="20"/>
        </w:rPr>
        <w:t>”) of</w:t>
      </w:r>
      <w:r>
        <w:rPr>
          <w:rFonts w:ascii="Times New Roman" w:hAnsi="Times New Roman"/>
          <w:sz w:val="20"/>
        </w:rPr>
        <w:t xml:space="preserve"> its common stock, $0.001 par value per share (“</w:t>
      </w:r>
      <w:r>
        <w:rPr>
          <w:rFonts w:ascii="Times New Roman" w:hAnsi="Times New Roman"/>
          <w:i/>
          <w:sz w:val="20"/>
        </w:rPr>
        <w:t>Common Stock”</w:t>
      </w:r>
      <w:r>
        <w:rPr>
          <w:rFonts w:ascii="Times New Roman" w:hAnsi="Times New Roman"/>
          <w:sz w:val="20"/>
        </w:rPr>
        <w:t xml:space="preserve">), </w:t>
      </w:r>
      <w:r>
        <w:rPr>
          <w:rFonts w:ascii="Times New Roman" w:hAnsi="Times New Roman"/>
          <w:color w:val="000000"/>
          <w:sz w:val="20"/>
        </w:rPr>
        <w:t>issuable pursuant to the</w:t>
      </w:r>
      <w:r>
        <w:rPr>
          <w:rFonts w:ascii="Times New Roman" w:hAnsi="Times New Roman"/>
          <w:sz w:val="20"/>
        </w:rPr>
        <w:t xml:space="preserve"> Registrant’s Amended and Restated 2019 Omnibus Equity Incentive Plan (the “</w:t>
      </w:r>
      <w:r>
        <w:rPr>
          <w:rFonts w:ascii="Times New Roman" w:hAnsi="Times New Roman"/>
          <w:i/>
          <w:sz w:val="20"/>
        </w:rPr>
        <w:t>2019 Plan</w:t>
      </w:r>
      <w:r>
        <w:rPr>
          <w:rFonts w:ascii="Times New Roman" w:hAnsi="Times New Roman"/>
          <w:sz w:val="20"/>
        </w:rPr>
        <w:t xml:space="preserve">)”. </w:t>
      </w:r>
      <w:r>
        <w:rPr>
          <w:rFonts w:ascii="Times New Roman" w:hAnsi="Times New Roman"/>
          <w:color w:val="000000"/>
          <w:sz w:val="20"/>
        </w:rPr>
        <w:t>The Shares registered on this Registration Statement, along with shares of Common Stock registered on the previous Registration Statement on Form S-8 (File No. 333-234026) (the “</w:t>
      </w:r>
      <w:r>
        <w:rPr>
          <w:rFonts w:ascii="Times New Roman" w:hAnsi="Times New Roman"/>
          <w:i/>
          <w:color w:val="000000"/>
          <w:sz w:val="20"/>
        </w:rPr>
        <w:t>Prior Registration Statement</w:t>
      </w:r>
      <w:r>
        <w:rPr>
          <w:rFonts w:ascii="Times New Roman" w:hAnsi="Times New Roman"/>
          <w:color w:val="000000"/>
          <w:sz w:val="20"/>
        </w:rPr>
        <w:t>”) amount to a total of 18,000,000 shares of registered Common Stock authorized for issuance under the 2019 Plan as of the date of this Registration Statement.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PART I</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INFORMATION REQUIRED IN THE SECTION 10(a) PROSPECTUS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Item 1.  Plan Information.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color w:val="000000"/>
          <w:sz w:val="20"/>
          <w:highlight w:val="white"/>
        </w:rPr>
        <w:t>The information called for by Part I of Form S-8 is omitted from this Registration Statement in accordance with Rule 428 of the Securities Act of 1933, as amended (the</w:t>
      </w:r>
      <w:r>
        <w:rPr>
          <w:rFonts w:ascii="Times New Roman" w:hAnsi="Times New Roman"/>
          <w:sz w:val="20"/>
        </w:rPr>
        <w:t xml:space="preserve"> “</w:t>
      </w:r>
      <w:r>
        <w:rPr>
          <w:rFonts w:ascii="Times New Roman" w:hAnsi="Times New Roman"/>
          <w:i/>
          <w:color w:val="000000"/>
          <w:sz w:val="20"/>
          <w:highlight w:val="white"/>
        </w:rPr>
        <w:t>Securities Act”</w:t>
      </w:r>
      <w:r>
        <w:rPr>
          <w:rFonts w:ascii="Times New Roman" w:hAnsi="Times New Roman"/>
          <w:color w:val="000000"/>
          <w:sz w:val="20"/>
          <w:highlight w:val="white"/>
        </w:rPr>
        <w:t>) and the instructions to Form S-8. In accordance with the rules and regulations of the Securities and Exchange Commission (the</w:t>
      </w:r>
      <w:r>
        <w:rPr>
          <w:rFonts w:ascii="Times New Roman" w:hAnsi="Times New Roman"/>
          <w:sz w:val="20"/>
        </w:rPr>
        <w:t xml:space="preserve"> “</w:t>
      </w:r>
      <w:r>
        <w:rPr>
          <w:rFonts w:ascii="Times New Roman" w:hAnsi="Times New Roman"/>
          <w:i/>
          <w:color w:val="000000"/>
          <w:sz w:val="20"/>
          <w:highlight w:val="white"/>
        </w:rPr>
        <w:t>Commission”</w:t>
      </w:r>
      <w:r>
        <w:rPr>
          <w:rFonts w:ascii="Times New Roman" w:hAnsi="Times New Roman"/>
          <w:color w:val="000000"/>
          <w:sz w:val="20"/>
          <w:highlight w:val="white"/>
        </w:rPr>
        <w:t>) and the instructions to Form S-8, such documents are not being filed with the Commission either as part of this Registration Statement or as prospectuses or prospectus supplements pursuant to Rule 424.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II</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INFORMATION REQUIRED IN THE REGISTRATION STATEMENT</w:t>
      </w:r>
    </w:p>
    <w:p>
      <w:pPr>
        <w:pStyle w:val="TextBody"/>
        <w:spacing w:before="0" w:after="0"/>
        <w:ind w:left="0" w:right="0" w:hanging="0"/>
        <w:jc w:val="left"/>
        <w:rPr/>
      </w:pPr>
      <w:r>
        <w:rPr/>
        <w:t> </w:t>
      </w:r>
    </w:p>
    <w:tbl>
      <w:tblPr>
        <w:tblW w:w="4180" w:type="dxa"/>
        <w:jc w:val="left"/>
        <w:tblInd w:w="0" w:type="dxa"/>
        <w:tblCellMar>
          <w:top w:w="0" w:type="dxa"/>
          <w:left w:w="0" w:type="dxa"/>
          <w:bottom w:w="0" w:type="dxa"/>
          <w:right w:w="0" w:type="dxa"/>
        </w:tblCellMar>
      </w:tblPr>
      <w:tblGrid>
        <w:gridCol w:w="620"/>
        <w:gridCol w:w="3560"/>
      </w:tblGrid>
      <w:tr>
        <w:trPr/>
        <w:tc>
          <w:tcPr>
            <w:tcW w:w="62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Item 3.</w:t>
            </w:r>
          </w:p>
        </w:tc>
        <w:tc>
          <w:tcPr>
            <w:tcW w:w="356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Incorporation of Documents by Reference</w:t>
            </w:r>
          </w:p>
        </w:tc>
      </w:tr>
    </w:tbl>
    <w:p>
      <w:pPr>
        <w:pStyle w:val="TextBody"/>
        <w:spacing w:before="0" w:after="0"/>
        <w:ind w:left="0" w:right="0" w:hanging="0"/>
        <w:jc w:val="both"/>
        <w:rPr/>
      </w:pPr>
      <w:r>
        <w:rPr/>
        <w:t> </w:t>
      </w:r>
    </w:p>
    <w:p>
      <w:pPr>
        <w:pStyle w:val="TextBody"/>
        <w:spacing w:before="0" w:after="0"/>
        <w:ind w:left="0" w:right="0" w:firstLine="720"/>
        <w:jc w:val="both"/>
        <w:rPr>
          <w:highlight w:val="white"/>
        </w:rPr>
      </w:pPr>
      <w:r>
        <w:rPr>
          <w:highlight w:val="white"/>
        </w:rPr>
        <w:t> </w:t>
      </w:r>
      <w:r>
        <w:rPr>
          <w:rFonts w:ascii="Times New Roman" w:hAnsi="Times New Roman"/>
          <w:sz w:val="20"/>
          <w:highlight w:val="white"/>
        </w:rPr>
        <w:t>The following documents, which have been previously filed by the Registrant with the Commission, are hereby incorporated by reference in this Registration Statement:</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year ended March 31, 2021, filed on June 29,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Quarterly Report on </w:t>
      </w:r>
      <w:hyperlink r:id="rId3">
        <w:r>
          <w:rPr>
            <w:rStyle w:val="InternetLink"/>
            <w:rFonts w:ascii="Times New Roman" w:hAnsi="Times New Roman"/>
            <w:sz w:val="20"/>
          </w:rPr>
          <w:t>Form 10-Q</w:t>
        </w:r>
      </w:hyperlink>
      <w:r>
        <w:rPr>
          <w:rFonts w:ascii="Times New Roman" w:hAnsi="Times New Roman"/>
          <w:sz w:val="20"/>
        </w:rPr>
        <w:t xml:space="preserve"> for the year ended June 30, 2021, filed on August 12, 2021;  </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4">
        <w:r>
          <w:rPr>
            <w:rStyle w:val="InternetLink"/>
            <w:rFonts w:ascii="Times New Roman" w:hAnsi="Times New Roman"/>
            <w:sz w:val="20"/>
          </w:rPr>
          <w:t>Form 8-K</w:t>
        </w:r>
      </w:hyperlink>
      <w:r>
        <w:rPr>
          <w:rFonts w:ascii="Times New Roman" w:hAnsi="Times New Roman"/>
          <w:sz w:val="20"/>
        </w:rPr>
        <w:t>, filed on April 26,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5">
        <w:r>
          <w:rPr>
            <w:rStyle w:val="InternetLink"/>
            <w:rFonts w:ascii="Times New Roman" w:hAnsi="Times New Roman"/>
            <w:sz w:val="20"/>
          </w:rPr>
          <w:t>Form 8-K</w:t>
        </w:r>
      </w:hyperlink>
      <w:r>
        <w:rPr>
          <w:rFonts w:ascii="Times New Roman" w:hAnsi="Times New Roman"/>
          <w:sz w:val="20"/>
        </w:rPr>
        <w:t>, filed on April 27,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6">
        <w:r>
          <w:rPr>
            <w:rStyle w:val="InternetLink"/>
            <w:rFonts w:ascii="Times New Roman" w:hAnsi="Times New Roman"/>
            <w:sz w:val="20"/>
          </w:rPr>
          <w:t>Form 8-K</w:t>
        </w:r>
      </w:hyperlink>
      <w:r>
        <w:rPr>
          <w:rFonts w:ascii="Times New Roman" w:hAnsi="Times New Roman"/>
          <w:sz w:val="20"/>
        </w:rPr>
        <w:t>, filed on May 4,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7">
        <w:r>
          <w:rPr>
            <w:rStyle w:val="InternetLink"/>
            <w:rFonts w:ascii="Times New Roman" w:hAnsi="Times New Roman"/>
            <w:sz w:val="20"/>
          </w:rPr>
          <w:t>Form 8-K</w:t>
        </w:r>
      </w:hyperlink>
      <w:r>
        <w:rPr>
          <w:rFonts w:ascii="Times New Roman" w:hAnsi="Times New Roman"/>
          <w:sz w:val="20"/>
        </w:rPr>
        <w:t>, filed on May 14,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8">
        <w:r>
          <w:rPr>
            <w:rStyle w:val="InternetLink"/>
            <w:rFonts w:ascii="Times New Roman" w:hAnsi="Times New Roman"/>
            <w:sz w:val="20"/>
          </w:rPr>
          <w:t>Form 8-K</w:t>
        </w:r>
      </w:hyperlink>
      <w:r>
        <w:rPr>
          <w:rFonts w:ascii="Times New Roman" w:hAnsi="Times New Roman"/>
          <w:sz w:val="20"/>
        </w:rPr>
        <w:t>, filed on May 27,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9">
        <w:r>
          <w:rPr>
            <w:rStyle w:val="InternetLink"/>
            <w:rFonts w:ascii="Times New Roman" w:hAnsi="Times New Roman"/>
            <w:sz w:val="20"/>
          </w:rPr>
          <w:t>Form 8-K</w:t>
        </w:r>
      </w:hyperlink>
      <w:r>
        <w:rPr>
          <w:rFonts w:ascii="Times New Roman" w:hAnsi="Times New Roman"/>
          <w:sz w:val="20"/>
        </w:rPr>
        <w:t>, filed on June 17,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10">
        <w:r>
          <w:rPr>
            <w:rStyle w:val="InternetLink"/>
            <w:rFonts w:ascii="Times New Roman" w:hAnsi="Times New Roman"/>
            <w:sz w:val="20"/>
          </w:rPr>
          <w:t>Form 8-K</w:t>
        </w:r>
      </w:hyperlink>
      <w:r>
        <w:rPr>
          <w:rFonts w:ascii="Times New Roman" w:hAnsi="Times New Roman"/>
          <w:sz w:val="20"/>
        </w:rPr>
        <w:t>, filed on July 8,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11">
        <w:r>
          <w:rPr>
            <w:rStyle w:val="InternetLink"/>
            <w:rFonts w:ascii="Times New Roman" w:hAnsi="Times New Roman"/>
            <w:sz w:val="20"/>
          </w:rPr>
          <w:t>Form 8-K</w:t>
        </w:r>
      </w:hyperlink>
      <w:r>
        <w:rPr>
          <w:rFonts w:ascii="Times New Roman" w:hAnsi="Times New Roman"/>
          <w:sz w:val="20"/>
        </w:rPr>
        <w:t>, filed on July 21,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12">
        <w:r>
          <w:rPr>
            <w:rStyle w:val="InternetLink"/>
            <w:rFonts w:ascii="Times New Roman" w:hAnsi="Times New Roman"/>
            <w:sz w:val="20"/>
          </w:rPr>
          <w:t>Form 8-K</w:t>
        </w:r>
      </w:hyperlink>
      <w:r>
        <w:rPr>
          <w:rFonts w:ascii="Times New Roman" w:hAnsi="Times New Roman"/>
          <w:sz w:val="20"/>
        </w:rPr>
        <w:t>, filed on July 22,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13">
        <w:r>
          <w:rPr>
            <w:rStyle w:val="InternetLink"/>
            <w:rFonts w:ascii="Times New Roman" w:hAnsi="Times New Roman"/>
            <w:sz w:val="20"/>
          </w:rPr>
          <w:t>Form 8-K</w:t>
        </w:r>
      </w:hyperlink>
      <w:r>
        <w:rPr>
          <w:rFonts w:ascii="Times New Roman" w:hAnsi="Times New Roman"/>
          <w:sz w:val="20"/>
        </w:rPr>
        <w:t>, filed on September 13, 2021;</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pPr>
      <w:r>
        <w:rPr>
          <w:rFonts w:ascii="Times New Roman" w:hAnsi="Times New Roman"/>
          <w:sz w:val="20"/>
        </w:rPr>
        <w:t xml:space="preserve">our Current Report on </w:t>
      </w:r>
      <w:hyperlink r:id="rId14">
        <w:r>
          <w:rPr>
            <w:rStyle w:val="InternetLink"/>
            <w:rFonts w:ascii="Times New Roman" w:hAnsi="Times New Roman"/>
            <w:sz w:val="20"/>
          </w:rPr>
          <w:t>Form 8-K</w:t>
        </w:r>
      </w:hyperlink>
      <w:r>
        <w:rPr>
          <w:rFonts w:ascii="Times New Roman" w:hAnsi="Times New Roman"/>
          <w:sz w:val="20"/>
        </w:rPr>
        <w:t>, filed on September 17, 2021; and</w:t>
      </w:r>
    </w:p>
    <w:p>
      <w:pPr>
        <w:pStyle w:val="TextBody"/>
        <w:spacing w:before="0" w:after="0"/>
        <w:ind w:left="0" w:right="0" w:hanging="0"/>
        <w:jc w:val="both"/>
        <w:rPr/>
      </w:pPr>
      <w:r>
        <w:rPr/>
        <w:t> </w:t>
      </w:r>
    </w:p>
    <w:p>
      <w:pPr>
        <w:pStyle w:val="TextBody"/>
        <w:spacing w:before="0" w:after="0"/>
        <w:ind w:left="360" w:right="0" w:hanging="0"/>
        <w:jc w:val="left"/>
        <w:rPr/>
      </w:pPr>
      <w:r>
        <w:rPr/>
        <w:t>●</w:t>
      </w:r>
    </w:p>
    <w:p>
      <w:pPr>
        <w:pStyle w:val="TextBody"/>
        <w:spacing w:before="0" w:after="0"/>
        <w:jc w:val="both"/>
        <w:rPr>
          <w:rFonts w:ascii="Times New Roman" w:hAnsi="Times New Roman"/>
          <w:sz w:val="20"/>
        </w:rPr>
      </w:pPr>
      <w:r>
        <w:rPr>
          <w:rFonts w:ascii="Times New Roman" w:hAnsi="Times New Roman"/>
          <w:sz w:val="20"/>
        </w:rPr>
        <w:t>the description of our common stock contained in the Registration Statement on Form 8-A filed pursuant to Section 12(b) of the Exchange Act on May 3, 2016, including any amendment or report filed with the Commission for the purpose of updating this description.</w:t>
      </w:r>
    </w:p>
    <w:p>
      <w:pPr>
        <w:pStyle w:val="TextBody"/>
        <w:spacing w:before="0" w:after="0"/>
        <w:ind w:left="0" w:right="0" w:hanging="0"/>
        <w:jc w:val="left"/>
        <w:rPr/>
      </w:pPr>
      <w:r>
        <w:rPr/>
        <w:t> </w:t>
      </w:r>
    </w:p>
    <w:p>
      <w:pPr>
        <w:pStyle w:val="TextBody"/>
        <w:spacing w:before="0" w:after="0"/>
        <w:ind w:left="0" w:right="0" w:hanging="0"/>
        <w:jc w:val="both"/>
        <w:rPr/>
      </w:pPr>
      <w:r>
        <w:rPr/>
        <w:t>                 </w:t>
      </w:r>
      <w:r>
        <w:rPr>
          <w:rFonts w:ascii="Times New Roman" w:hAnsi="Times New Roman"/>
          <w:sz w:val="20"/>
        </w:rPr>
        <w:t>Until such time that a post-effective amendment to this Registration Statement has been filed which indicates that all securities offered hereby have been sold or which deregisters all securities remaining unsold at the time of such amendment, all documents subsequently filed by the Registrant pursuant to Sections 13(a), 13(c), 14 and 15(d) of the Securities Exchange Act of 1934, as amended, shall be deemed to be incorporated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also deemed to be incorporated by reference herein modifies or supersedes such statement. Any such statement so modified or superseded shall not be deemed, except as so modified or superseded, to constitute a part of this Registration Statement.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 w:name="pgbrk2"/>
      <w:bookmarkStart w:id="10" w:name="pgbrk2"/>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 w:name="ftr1"/>
      <w:bookmarkEnd w:id="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 w:name="pb1"/>
      <w:bookmarkStart w:id="13" w:name="pb1"/>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 w:name="hdr2"/>
      <w:bookmarkEnd w:id="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2710" w:type="dxa"/>
        <w:jc w:val="left"/>
        <w:tblInd w:w="0" w:type="dxa"/>
        <w:tblCellMar>
          <w:top w:w="0" w:type="dxa"/>
          <w:left w:w="0" w:type="dxa"/>
          <w:bottom w:w="0" w:type="dxa"/>
          <w:right w:w="0" w:type="dxa"/>
        </w:tblCellMar>
      </w:tblPr>
      <w:tblGrid>
        <w:gridCol w:w="620"/>
        <w:gridCol w:w="2090"/>
      </w:tblGrid>
      <w:tr>
        <w:trPr/>
        <w:tc>
          <w:tcPr>
            <w:tcW w:w="62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Item 4.</w:t>
            </w:r>
          </w:p>
        </w:tc>
        <w:tc>
          <w:tcPr>
            <w:tcW w:w="209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 of Securities</w:t>
            </w:r>
          </w:p>
        </w:tc>
      </w:tr>
    </w:tbl>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Not applicable.</w:t>
      </w:r>
    </w:p>
    <w:p>
      <w:pPr>
        <w:pStyle w:val="TextBody"/>
        <w:spacing w:before="0" w:after="0"/>
        <w:ind w:left="0" w:right="0" w:hanging="0"/>
        <w:jc w:val="both"/>
        <w:rPr/>
      </w:pPr>
      <w:r>
        <w:rPr/>
        <w:t> </w:t>
      </w:r>
    </w:p>
    <w:tbl>
      <w:tblPr>
        <w:tblW w:w="4015" w:type="dxa"/>
        <w:jc w:val="left"/>
        <w:tblInd w:w="0" w:type="dxa"/>
        <w:tblCellMar>
          <w:top w:w="0" w:type="dxa"/>
          <w:left w:w="0" w:type="dxa"/>
          <w:bottom w:w="0" w:type="dxa"/>
          <w:right w:w="0" w:type="dxa"/>
        </w:tblCellMar>
      </w:tblPr>
      <w:tblGrid>
        <w:gridCol w:w="620"/>
        <w:gridCol w:w="3395"/>
      </w:tblGrid>
      <w:tr>
        <w:trPr/>
        <w:tc>
          <w:tcPr>
            <w:tcW w:w="62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Item 5.</w:t>
            </w:r>
          </w:p>
        </w:tc>
        <w:tc>
          <w:tcPr>
            <w:tcW w:w="3395"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Interests of Named Experts and Counsel</w:t>
            </w:r>
          </w:p>
        </w:tc>
      </w:tr>
    </w:tbl>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Not applicable.</w:t>
      </w:r>
    </w:p>
    <w:p>
      <w:pPr>
        <w:pStyle w:val="TextBody"/>
        <w:spacing w:before="0" w:after="0"/>
        <w:ind w:left="0" w:right="0" w:hanging="0"/>
        <w:jc w:val="both"/>
        <w:rPr/>
      </w:pPr>
      <w:r>
        <w:rPr/>
        <w:t> </w:t>
      </w:r>
    </w:p>
    <w:tbl>
      <w:tblPr>
        <w:tblW w:w="4135" w:type="dxa"/>
        <w:jc w:val="left"/>
        <w:tblInd w:w="0" w:type="dxa"/>
        <w:tblCellMar>
          <w:top w:w="0" w:type="dxa"/>
          <w:left w:w="0" w:type="dxa"/>
          <w:bottom w:w="0" w:type="dxa"/>
          <w:right w:w="0" w:type="dxa"/>
        </w:tblCellMar>
      </w:tblPr>
      <w:tblGrid>
        <w:gridCol w:w="620"/>
        <w:gridCol w:w="3515"/>
      </w:tblGrid>
      <w:tr>
        <w:trPr/>
        <w:tc>
          <w:tcPr>
            <w:tcW w:w="62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Item 6.</w:t>
            </w:r>
          </w:p>
        </w:tc>
        <w:tc>
          <w:tcPr>
            <w:tcW w:w="3515"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Indemnification of Directors and Officers</w:t>
            </w:r>
          </w:p>
        </w:tc>
      </w:tr>
    </w:tbl>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b/>
          <w:i/>
          <w:sz w:val="20"/>
        </w:rPr>
      </w:pPr>
      <w:r>
        <w:rPr>
          <w:rFonts w:ascii="Times New Roman" w:hAnsi="Times New Roman"/>
          <w:b/>
          <w:i/>
          <w:sz w:val="20"/>
        </w:rPr>
        <w:t>Limitations of liability and indemnification</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amended and restated bylaws (“</w:t>
      </w:r>
      <w:r>
        <w:rPr>
          <w:rFonts w:ascii="Times New Roman" w:hAnsi="Times New Roman"/>
          <w:i/>
          <w:sz w:val="20"/>
        </w:rPr>
        <w:t>Bylaws”</w:t>
      </w:r>
      <w:r>
        <w:rPr>
          <w:rFonts w:ascii="Times New Roman" w:hAnsi="Times New Roman"/>
          <w:sz w:val="20"/>
        </w:rPr>
        <w:t>) provide that we will indemnify our directors, officers and employees to the fullest extent permitted by the Nevada Revised Statutes (“</w:t>
      </w:r>
      <w:r>
        <w:rPr>
          <w:rFonts w:ascii="Times New Roman" w:hAnsi="Times New Roman"/>
          <w:i/>
          <w:sz w:val="20"/>
        </w:rPr>
        <w:t>NRS”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The limitation of liability and indemnification provisions in our bylaws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our directors and officers pursuant to these indemnification provisions.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There is no pending litigation or proceeding naming us or any of our directors or officers as to which indemnification is being sought, nor are we aware of any pending or threatened litigation that may result in claims for indemnification.</w:t>
      </w:r>
    </w:p>
    <w:p>
      <w:pPr>
        <w:pStyle w:val="TextBody"/>
        <w:spacing w:before="0" w:after="0"/>
        <w:ind w:left="0" w:right="0" w:hanging="0"/>
        <w:jc w:val="both"/>
        <w:rPr/>
      </w:pPr>
      <w:r>
        <w:rPr/>
        <w:t> </w:t>
      </w:r>
    </w:p>
    <w:tbl>
      <w:tblPr>
        <w:tblW w:w="3910" w:type="dxa"/>
        <w:jc w:val="left"/>
        <w:tblInd w:w="0" w:type="dxa"/>
        <w:tblCellMar>
          <w:top w:w="0" w:type="dxa"/>
          <w:left w:w="0" w:type="dxa"/>
          <w:bottom w:w="0" w:type="dxa"/>
          <w:right w:w="0" w:type="dxa"/>
        </w:tblCellMar>
      </w:tblPr>
      <w:tblGrid>
        <w:gridCol w:w="620"/>
        <w:gridCol w:w="3290"/>
      </w:tblGrid>
      <w:tr>
        <w:trPr/>
        <w:tc>
          <w:tcPr>
            <w:tcW w:w="62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Item 7.</w:t>
            </w:r>
          </w:p>
        </w:tc>
        <w:tc>
          <w:tcPr>
            <w:tcW w:w="329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Exemption from Registration Claimed</w:t>
            </w:r>
          </w:p>
        </w:tc>
      </w:tr>
    </w:tbl>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3"/>
      <w:bookmarkStart w:id="16" w:name="pgbrk3"/>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 w:name="ftr2"/>
      <w:bookmarkEnd w:id="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
      <w:bookmarkEnd w:id="18"/>
      <w:r>
        <w:rPr>
          <w:rFonts w:ascii="Times New Roman" w:hAnsi="Times New Roman"/>
          <w:sz w:val="20"/>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9" w:name="pb2"/>
      <w:bookmarkStart w:id="20" w:name="pb2"/>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 w:name="hdr3"/>
      <w:bookmarkEnd w:id="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1360" w:type="dxa"/>
        <w:jc w:val="left"/>
        <w:tblInd w:w="0" w:type="dxa"/>
        <w:tblCellMar>
          <w:top w:w="0" w:type="dxa"/>
          <w:left w:w="0" w:type="dxa"/>
          <w:bottom w:w="0" w:type="dxa"/>
          <w:right w:w="0" w:type="dxa"/>
        </w:tblCellMar>
      </w:tblPr>
      <w:tblGrid>
        <w:gridCol w:w="620"/>
        <w:gridCol w:w="740"/>
      </w:tblGrid>
      <w:tr>
        <w:trPr/>
        <w:tc>
          <w:tcPr>
            <w:tcW w:w="62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Item 8.</w:t>
            </w:r>
          </w:p>
        </w:tc>
        <w:tc>
          <w:tcPr>
            <w:tcW w:w="74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Exhibits</w:t>
            </w:r>
          </w:p>
        </w:tc>
      </w:tr>
    </w:tbl>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912"/>
        <w:gridCol w:w="120"/>
        <w:gridCol w:w="4896"/>
        <w:gridCol w:w="120"/>
        <w:gridCol w:w="4081"/>
        <w:gridCol w:w="76"/>
      </w:tblGrid>
      <w:tr>
        <w:trPr/>
        <w:tc>
          <w:tcPr>
            <w:tcW w:w="912"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No.</w:t>
            </w:r>
          </w:p>
        </w:tc>
        <w:tc>
          <w:tcPr>
            <w:tcW w:w="120" w:type="dxa"/>
            <w:tcBorders/>
            <w:shd w:fill="auto" w:val="clear"/>
            <w:tcMar>
              <w:bottom w:w="0" w:type="dxa"/>
            </w:tcMar>
            <w:vAlign w:val="center"/>
          </w:tcPr>
          <w:p>
            <w:pPr>
              <w:pStyle w:val="TableContents"/>
              <w:spacing w:before="0" w:after="0"/>
              <w:ind w:left="0" w:right="0" w:hanging="0"/>
              <w:jc w:val="both"/>
              <w:rPr/>
            </w:pPr>
            <w:r>
              <w:rPr/>
              <w:t>  </w:t>
            </w:r>
          </w:p>
        </w:tc>
        <w:tc>
          <w:tcPr>
            <w:tcW w:w="4896"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b/>
                <w:sz w:val="20"/>
              </w:rPr>
              <w:t>Document Description</w:t>
            </w:r>
            <w:r>
              <w:rPr>
                <w:rFonts w:ascii="Times New Roman" w:hAnsi="Times New Roman"/>
                <w:sz w:val="20"/>
              </w:rPr>
              <w:t xml:space="preserve">  </w:t>
            </w:r>
          </w:p>
        </w:tc>
        <w:tc>
          <w:tcPr>
            <w:tcW w:w="120" w:type="dxa"/>
            <w:tcBorders/>
            <w:shd w:fill="auto" w:val="clear"/>
            <w:tcMar>
              <w:bottom w:w="0" w:type="dxa"/>
            </w:tcMar>
            <w:vAlign w:val="center"/>
          </w:tcPr>
          <w:p>
            <w:pPr>
              <w:pStyle w:val="TableContents"/>
              <w:spacing w:before="0" w:after="0"/>
              <w:ind w:left="0" w:right="0" w:hanging="0"/>
              <w:jc w:val="both"/>
              <w:rPr/>
            </w:pPr>
            <w:r>
              <w:rPr/>
              <w:t>  </w:t>
            </w:r>
          </w:p>
        </w:tc>
        <w:tc>
          <w:tcPr>
            <w:tcW w:w="4081"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b/>
                <w:sz w:val="20"/>
              </w:rPr>
              <w:t>Incorporation by Reference</w:t>
            </w:r>
            <w:r>
              <w:rPr>
                <w:rFonts w:ascii="Times New Roman" w:hAnsi="Times New Roman"/>
                <w:sz w:val="20"/>
              </w:rPr>
              <w:t xml:space="preserve">  </w:t>
            </w:r>
          </w:p>
        </w:tc>
        <w:tc>
          <w:tcPr>
            <w:tcW w:w="76" w:type="dxa"/>
            <w:tcBorders/>
            <w:shd w:fill="auto" w:val="clear"/>
            <w:tcMar>
              <w:bottom w:w="0" w:type="dxa"/>
            </w:tcMar>
            <w:vAlign w:val="center"/>
          </w:tcPr>
          <w:p>
            <w:pPr>
              <w:pStyle w:val="TableContents"/>
              <w:spacing w:before="0" w:after="0"/>
              <w:rPr/>
            </w:pPr>
            <w:r>
              <w:rPr/>
              <w:t> </w:t>
            </w:r>
          </w:p>
        </w:tc>
      </w:tr>
      <w:tr>
        <w:trPr/>
        <w:tc>
          <w:tcPr>
            <w:tcW w:w="912"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ind w:left="0" w:right="0" w:hanging="0"/>
              <w:jc w:val="both"/>
              <w:rPr/>
            </w:pPr>
            <w:r>
              <w:rPr/>
              <w:t>  </w:t>
            </w:r>
          </w:p>
        </w:tc>
        <w:tc>
          <w:tcPr>
            <w:tcW w:w="4896"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ind w:left="0" w:right="0" w:hanging="0"/>
              <w:jc w:val="both"/>
              <w:rPr/>
            </w:pPr>
            <w:r>
              <w:rPr/>
              <w:t>  </w:t>
            </w:r>
          </w:p>
        </w:tc>
        <w:tc>
          <w:tcPr>
            <w:tcW w:w="4081" w:type="dxa"/>
            <w:tcBorders/>
            <w:shd w:fill="auto" w:val="clear"/>
            <w:tcMar>
              <w:bottom w:w="0" w:type="dxa"/>
            </w:tcMar>
            <w:vAlign w:val="center"/>
          </w:tcPr>
          <w:p>
            <w:pPr>
              <w:pStyle w:val="TableContents"/>
              <w:spacing w:before="0" w:after="0"/>
              <w:rPr/>
            </w:pPr>
            <w:r>
              <w:rPr/>
              <w:t> </w:t>
            </w:r>
          </w:p>
        </w:tc>
        <w:tc>
          <w:tcPr>
            <w:tcW w:w="76" w:type="dxa"/>
            <w:tcBorders/>
            <w:shd w:fill="auto" w:val="clear"/>
            <w:tcMar>
              <w:bottom w:w="0" w:type="dxa"/>
            </w:tcMar>
            <w:vAlign w:val="center"/>
          </w:tcPr>
          <w:p>
            <w:pPr>
              <w:pStyle w:val="TableContents"/>
              <w:spacing w:before="0" w:after="0"/>
              <w:rPr/>
            </w:pPr>
            <w:r>
              <w:rPr/>
              <w:t> </w:t>
            </w:r>
          </w:p>
        </w:tc>
      </w:tr>
      <w:tr>
        <w:trPr/>
        <w:tc>
          <w:tcPr>
            <w:tcW w:w="912" w:type="dxa"/>
            <w:tcBorders/>
            <w:shd w:fill="CCEEFF" w:val="clear"/>
            <w:tcMar>
              <w:bottom w:w="0" w:type="dxa"/>
            </w:tcMar>
            <w:vAlign w:val="center"/>
          </w:tcPr>
          <w:p>
            <w:pPr>
              <w:pStyle w:val="TableContents"/>
              <w:spacing w:before="0" w:after="0"/>
              <w:ind w:left="0" w:right="0" w:hanging="0"/>
              <w:jc w:val="center"/>
              <w:rPr/>
            </w:pPr>
            <w:hyperlink w:anchor="ex5-1.htm">
              <w:r>
                <w:rPr>
                  <w:rStyle w:val="InternetLink"/>
                  <w:rFonts w:ascii="Times New Roman" w:hAnsi="Times New Roman"/>
                  <w:sz w:val="20"/>
                </w:rPr>
                <w:t>5.1</w:t>
              </w:r>
            </w:hyperlink>
          </w:p>
        </w:tc>
        <w:tc>
          <w:tcPr>
            <w:tcW w:w="120" w:type="dxa"/>
            <w:tcBorders/>
            <w:shd w:fill="CCEEFF" w:val="clear"/>
            <w:tcMar>
              <w:bottom w:w="0" w:type="dxa"/>
            </w:tcMar>
            <w:vAlign w:val="center"/>
          </w:tcPr>
          <w:p>
            <w:pPr>
              <w:pStyle w:val="TableContents"/>
              <w:spacing w:before="0" w:after="0"/>
              <w:ind w:left="0" w:right="0" w:hanging="0"/>
              <w:jc w:val="both"/>
              <w:rPr/>
            </w:pPr>
            <w:r>
              <w:rPr/>
              <w:t>  </w:t>
            </w:r>
          </w:p>
        </w:tc>
        <w:tc>
          <w:tcPr>
            <w:tcW w:w="4896"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Opinion of Disclosure Law Group, a Professional Corporation.</w:t>
            </w:r>
          </w:p>
        </w:tc>
        <w:tc>
          <w:tcPr>
            <w:tcW w:w="120" w:type="dxa"/>
            <w:tcBorders/>
            <w:shd w:fill="CCEEFF" w:val="clear"/>
            <w:tcMar>
              <w:bottom w:w="0" w:type="dxa"/>
            </w:tcMar>
            <w:vAlign w:val="center"/>
          </w:tcPr>
          <w:p>
            <w:pPr>
              <w:pStyle w:val="TableContents"/>
              <w:spacing w:before="0" w:after="0"/>
              <w:ind w:left="0" w:right="0" w:hanging="0"/>
              <w:jc w:val="both"/>
              <w:rPr/>
            </w:pPr>
            <w:r>
              <w:rPr/>
              <w:t>  </w:t>
            </w:r>
          </w:p>
        </w:tc>
        <w:tc>
          <w:tcPr>
            <w:tcW w:w="4081"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c>
          <w:tcPr>
            <w:tcW w:w="76" w:type="dxa"/>
            <w:tcBorders/>
            <w:shd w:fill="CCEEFF" w:val="clear"/>
            <w:tcMar>
              <w:bottom w:w="0" w:type="dxa"/>
            </w:tcMar>
            <w:vAlign w:val="center"/>
          </w:tcPr>
          <w:p>
            <w:pPr>
              <w:pStyle w:val="TableContents"/>
              <w:spacing w:before="0" w:after="0"/>
              <w:rPr/>
            </w:pPr>
            <w:r>
              <w:rPr/>
              <w:t> </w:t>
            </w:r>
          </w:p>
        </w:tc>
      </w:tr>
      <w:tr>
        <w:trPr/>
        <w:tc>
          <w:tcPr>
            <w:tcW w:w="912"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4896"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4081" w:type="dxa"/>
            <w:tcBorders/>
            <w:shd w:fill="auto" w:val="clear"/>
            <w:tcMar>
              <w:bottom w:w="0" w:type="dxa"/>
            </w:tcMar>
            <w:vAlign w:val="center"/>
          </w:tcPr>
          <w:p>
            <w:pPr>
              <w:pStyle w:val="TableContents"/>
              <w:spacing w:before="0" w:after="0"/>
              <w:rPr/>
            </w:pPr>
            <w:r>
              <w:rPr/>
              <w:t> </w:t>
            </w:r>
          </w:p>
        </w:tc>
        <w:tc>
          <w:tcPr>
            <w:tcW w:w="76" w:type="dxa"/>
            <w:tcBorders/>
            <w:shd w:fill="auto" w:val="clear"/>
            <w:tcMar>
              <w:bottom w:w="0" w:type="dxa"/>
            </w:tcMar>
            <w:vAlign w:val="center"/>
          </w:tcPr>
          <w:p>
            <w:pPr>
              <w:pStyle w:val="TableContents"/>
              <w:spacing w:before="0" w:after="0"/>
              <w:rPr/>
            </w:pPr>
            <w:r>
              <w:rPr/>
              <w:t> </w:t>
            </w:r>
          </w:p>
        </w:tc>
      </w:tr>
      <w:tr>
        <w:trPr/>
        <w:tc>
          <w:tcPr>
            <w:tcW w:w="912" w:type="dxa"/>
            <w:tcBorders/>
            <w:shd w:fill="CCEEFF" w:val="clear"/>
            <w:tcMar>
              <w:bottom w:w="0" w:type="dxa"/>
            </w:tcMar>
            <w:vAlign w:val="center"/>
          </w:tcPr>
          <w:p>
            <w:pPr>
              <w:pStyle w:val="TableContents"/>
              <w:spacing w:before="0" w:after="0"/>
              <w:ind w:left="0" w:right="0" w:hanging="0"/>
              <w:jc w:val="center"/>
              <w:rPr/>
            </w:pPr>
            <w:hyperlink w:anchor="ex23-1.htm">
              <w:r>
                <w:rPr>
                  <w:rStyle w:val="InternetLink"/>
                  <w:rFonts w:ascii="Times New Roman" w:hAnsi="Times New Roman"/>
                  <w:sz w:val="20"/>
                </w:rPr>
                <w:t>23.1</w:t>
              </w:r>
            </w:hyperlink>
          </w:p>
        </w:tc>
        <w:tc>
          <w:tcPr>
            <w:tcW w:w="120" w:type="dxa"/>
            <w:tcBorders/>
            <w:shd w:fill="CCEEFF" w:val="clear"/>
            <w:tcMar>
              <w:bottom w:w="0" w:type="dxa"/>
            </w:tcMar>
            <w:vAlign w:val="center"/>
          </w:tcPr>
          <w:p>
            <w:pPr>
              <w:pStyle w:val="TableContents"/>
              <w:spacing w:before="0" w:after="0"/>
              <w:ind w:left="0" w:right="0" w:hanging="0"/>
              <w:jc w:val="both"/>
              <w:rPr/>
            </w:pPr>
            <w:r>
              <w:rPr/>
              <w:t>  </w:t>
            </w:r>
          </w:p>
        </w:tc>
        <w:tc>
          <w:tcPr>
            <w:tcW w:w="4896"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Consent of OUM &amp; Co. LLP, independent registered public accounting firm</w:t>
            </w:r>
          </w:p>
        </w:tc>
        <w:tc>
          <w:tcPr>
            <w:tcW w:w="120" w:type="dxa"/>
            <w:tcBorders/>
            <w:shd w:fill="CCEEFF" w:val="clear"/>
            <w:tcMar>
              <w:bottom w:w="0" w:type="dxa"/>
            </w:tcMar>
            <w:vAlign w:val="center"/>
          </w:tcPr>
          <w:p>
            <w:pPr>
              <w:pStyle w:val="TableContents"/>
              <w:spacing w:before="0" w:after="0"/>
              <w:ind w:left="0" w:right="0" w:hanging="0"/>
              <w:jc w:val="both"/>
              <w:rPr/>
            </w:pPr>
            <w:r>
              <w:rPr/>
              <w:t>  </w:t>
            </w:r>
          </w:p>
        </w:tc>
        <w:tc>
          <w:tcPr>
            <w:tcW w:w="4081"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c>
          <w:tcPr>
            <w:tcW w:w="76" w:type="dxa"/>
            <w:tcBorders/>
            <w:shd w:fill="CCEEFF" w:val="clear"/>
            <w:tcMar>
              <w:bottom w:w="0" w:type="dxa"/>
            </w:tcMar>
            <w:vAlign w:val="center"/>
          </w:tcPr>
          <w:p>
            <w:pPr>
              <w:pStyle w:val="TableContents"/>
              <w:spacing w:before="0" w:after="0"/>
              <w:rPr/>
            </w:pPr>
            <w:r>
              <w:rPr/>
              <w:t> </w:t>
            </w:r>
          </w:p>
        </w:tc>
      </w:tr>
      <w:tr>
        <w:trPr/>
        <w:tc>
          <w:tcPr>
            <w:tcW w:w="912"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4896"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4081" w:type="dxa"/>
            <w:tcBorders/>
            <w:shd w:fill="auto" w:val="clear"/>
            <w:tcMar>
              <w:bottom w:w="0" w:type="dxa"/>
            </w:tcMar>
            <w:vAlign w:val="center"/>
          </w:tcPr>
          <w:p>
            <w:pPr>
              <w:pStyle w:val="TableContents"/>
              <w:spacing w:before="0" w:after="0"/>
              <w:rPr/>
            </w:pPr>
            <w:r>
              <w:rPr/>
              <w:t> </w:t>
            </w:r>
          </w:p>
        </w:tc>
        <w:tc>
          <w:tcPr>
            <w:tcW w:w="76" w:type="dxa"/>
            <w:tcBorders/>
            <w:shd w:fill="auto" w:val="clear"/>
            <w:tcMar>
              <w:bottom w:w="0" w:type="dxa"/>
            </w:tcMar>
            <w:vAlign w:val="center"/>
          </w:tcPr>
          <w:p>
            <w:pPr>
              <w:pStyle w:val="TableContents"/>
              <w:spacing w:before="0" w:after="0"/>
              <w:rPr/>
            </w:pPr>
            <w:r>
              <w:rPr/>
              <w:t> </w:t>
            </w:r>
          </w:p>
        </w:tc>
      </w:tr>
      <w:tr>
        <w:trPr/>
        <w:tc>
          <w:tcPr>
            <w:tcW w:w="912" w:type="dxa"/>
            <w:tcBorders/>
            <w:shd w:fill="CCEEFF" w:val="clear"/>
            <w:tcMar>
              <w:bottom w:w="0" w:type="dxa"/>
            </w:tcMar>
            <w:vAlign w:val="center"/>
          </w:tcPr>
          <w:p>
            <w:pPr>
              <w:pStyle w:val="TableContents"/>
              <w:spacing w:before="0" w:after="0"/>
              <w:ind w:left="0" w:right="0" w:hanging="0"/>
              <w:jc w:val="center"/>
              <w:rPr/>
            </w:pPr>
            <w:hyperlink w:anchor="ex5-1.htm">
              <w:r>
                <w:rPr>
                  <w:rStyle w:val="InternetLink"/>
                  <w:rFonts w:ascii="Times New Roman" w:hAnsi="Times New Roman"/>
                  <w:sz w:val="20"/>
                </w:rPr>
                <w:t>23.2</w:t>
              </w:r>
            </w:hyperlink>
          </w:p>
        </w:tc>
        <w:tc>
          <w:tcPr>
            <w:tcW w:w="120" w:type="dxa"/>
            <w:tcBorders/>
            <w:shd w:fill="CCEEFF" w:val="clear"/>
            <w:tcMar>
              <w:bottom w:w="0" w:type="dxa"/>
            </w:tcMar>
            <w:vAlign w:val="center"/>
          </w:tcPr>
          <w:p>
            <w:pPr>
              <w:pStyle w:val="TableContents"/>
              <w:spacing w:before="0" w:after="0"/>
              <w:ind w:left="0" w:right="0" w:hanging="0"/>
              <w:jc w:val="both"/>
              <w:rPr/>
            </w:pPr>
            <w:r>
              <w:rPr/>
              <w:t>  </w:t>
            </w:r>
          </w:p>
        </w:tc>
        <w:tc>
          <w:tcPr>
            <w:tcW w:w="4896"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Consent of Disclosure Law Group, a Professional Corporation.</w:t>
            </w:r>
          </w:p>
        </w:tc>
        <w:tc>
          <w:tcPr>
            <w:tcW w:w="120" w:type="dxa"/>
            <w:tcBorders/>
            <w:shd w:fill="CCEEFF" w:val="clear"/>
            <w:tcMar>
              <w:bottom w:w="0" w:type="dxa"/>
            </w:tcMar>
            <w:vAlign w:val="center"/>
          </w:tcPr>
          <w:p>
            <w:pPr>
              <w:pStyle w:val="TableContents"/>
              <w:spacing w:before="0" w:after="0"/>
              <w:ind w:left="0" w:right="0" w:hanging="0"/>
              <w:jc w:val="both"/>
              <w:rPr/>
            </w:pPr>
            <w:r>
              <w:rPr/>
              <w:t>  </w:t>
            </w:r>
          </w:p>
        </w:tc>
        <w:tc>
          <w:tcPr>
            <w:tcW w:w="4081"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Included in Exhibit 5.1.</w:t>
            </w:r>
          </w:p>
        </w:tc>
        <w:tc>
          <w:tcPr>
            <w:tcW w:w="76" w:type="dxa"/>
            <w:tcBorders/>
            <w:shd w:fill="CCEEFF" w:val="clear"/>
            <w:tcMar>
              <w:bottom w:w="0" w:type="dxa"/>
            </w:tcMar>
            <w:vAlign w:val="center"/>
          </w:tcPr>
          <w:p>
            <w:pPr>
              <w:pStyle w:val="TableContents"/>
              <w:spacing w:before="0" w:after="0"/>
              <w:rPr/>
            </w:pPr>
            <w:r>
              <w:rPr/>
              <w:t> </w:t>
            </w:r>
          </w:p>
        </w:tc>
      </w:tr>
      <w:tr>
        <w:trPr/>
        <w:tc>
          <w:tcPr>
            <w:tcW w:w="912"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4896"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4081" w:type="dxa"/>
            <w:tcBorders/>
            <w:shd w:fill="auto" w:val="clear"/>
            <w:tcMar>
              <w:bottom w:w="0" w:type="dxa"/>
            </w:tcMar>
            <w:vAlign w:val="center"/>
          </w:tcPr>
          <w:p>
            <w:pPr>
              <w:pStyle w:val="TableContents"/>
              <w:spacing w:before="0" w:after="0"/>
              <w:rPr/>
            </w:pPr>
            <w:r>
              <w:rPr/>
              <w:t> </w:t>
            </w:r>
          </w:p>
        </w:tc>
        <w:tc>
          <w:tcPr>
            <w:tcW w:w="76" w:type="dxa"/>
            <w:tcBorders/>
            <w:shd w:fill="auto" w:val="clear"/>
            <w:tcMar>
              <w:bottom w:w="0" w:type="dxa"/>
            </w:tcMar>
            <w:vAlign w:val="center"/>
          </w:tcPr>
          <w:p>
            <w:pPr>
              <w:pStyle w:val="TableContents"/>
              <w:spacing w:before="0" w:after="0"/>
              <w:rPr/>
            </w:pPr>
            <w:r>
              <w:rPr/>
              <w:t> </w:t>
            </w:r>
          </w:p>
        </w:tc>
      </w:tr>
      <w:tr>
        <w:trPr/>
        <w:tc>
          <w:tcPr>
            <w:tcW w:w="912" w:type="dxa"/>
            <w:tcBorders/>
            <w:shd w:fill="CCEEFF" w:val="clear"/>
            <w:tcMar>
              <w:bottom w:w="0" w:type="dxa"/>
            </w:tcMar>
            <w:vAlign w:val="center"/>
          </w:tcPr>
          <w:p>
            <w:pPr>
              <w:pStyle w:val="TableContents"/>
              <w:spacing w:before="0" w:after="0"/>
              <w:ind w:left="0" w:right="0" w:hanging="0"/>
              <w:jc w:val="center"/>
              <w:rPr/>
            </w:pPr>
            <w:hyperlink w:anchor="poa">
              <w:r>
                <w:rPr>
                  <w:rStyle w:val="InternetLink"/>
                  <w:rFonts w:ascii="Times New Roman" w:hAnsi="Times New Roman"/>
                  <w:sz w:val="20"/>
                </w:rPr>
                <w:t>24.1</w:t>
              </w:r>
            </w:hyperlink>
          </w:p>
        </w:tc>
        <w:tc>
          <w:tcPr>
            <w:tcW w:w="120" w:type="dxa"/>
            <w:tcBorders/>
            <w:shd w:fill="CCEEFF" w:val="clear"/>
            <w:tcMar>
              <w:bottom w:w="0" w:type="dxa"/>
            </w:tcMar>
            <w:vAlign w:val="center"/>
          </w:tcPr>
          <w:p>
            <w:pPr>
              <w:pStyle w:val="TableContents"/>
              <w:spacing w:before="0" w:after="0"/>
              <w:rPr/>
            </w:pPr>
            <w:r>
              <w:rPr/>
              <w:t> </w:t>
            </w:r>
          </w:p>
        </w:tc>
        <w:tc>
          <w:tcPr>
            <w:tcW w:w="4896"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Power of Attorney</w:t>
            </w:r>
          </w:p>
        </w:tc>
        <w:tc>
          <w:tcPr>
            <w:tcW w:w="120" w:type="dxa"/>
            <w:tcBorders/>
            <w:shd w:fill="CCEEFF" w:val="clear"/>
            <w:tcMar>
              <w:bottom w:w="0" w:type="dxa"/>
            </w:tcMar>
            <w:vAlign w:val="center"/>
          </w:tcPr>
          <w:p>
            <w:pPr>
              <w:pStyle w:val="TableContents"/>
              <w:spacing w:before="0" w:after="0"/>
              <w:rPr/>
            </w:pPr>
            <w:r>
              <w:rPr/>
              <w:t> </w:t>
            </w:r>
          </w:p>
        </w:tc>
        <w:tc>
          <w:tcPr>
            <w:tcW w:w="4081"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Included on the signature page of this Registration Statement.</w:t>
            </w:r>
          </w:p>
        </w:tc>
        <w:tc>
          <w:tcPr>
            <w:tcW w:w="76" w:type="dxa"/>
            <w:tcBorders/>
            <w:shd w:fill="CCEEFF" w:val="clear"/>
            <w:tcMar>
              <w:bottom w:w="0" w:type="dxa"/>
            </w:tcMar>
            <w:vAlign w:val="center"/>
          </w:tcPr>
          <w:p>
            <w:pPr>
              <w:pStyle w:val="TableContents"/>
              <w:spacing w:before="0" w:after="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tbl>
      <w:tblPr>
        <w:tblW w:w="1795" w:type="dxa"/>
        <w:jc w:val="left"/>
        <w:tblInd w:w="0" w:type="dxa"/>
        <w:tblCellMar>
          <w:top w:w="0" w:type="dxa"/>
          <w:left w:w="0" w:type="dxa"/>
          <w:bottom w:w="0" w:type="dxa"/>
          <w:right w:w="0" w:type="dxa"/>
        </w:tblCellMar>
      </w:tblPr>
      <w:tblGrid>
        <w:gridCol w:w="620"/>
        <w:gridCol w:w="1175"/>
      </w:tblGrid>
      <w:tr>
        <w:trPr/>
        <w:tc>
          <w:tcPr>
            <w:tcW w:w="62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Item 9.</w:t>
            </w:r>
          </w:p>
        </w:tc>
        <w:tc>
          <w:tcPr>
            <w:tcW w:w="1175"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Undertakings</w:t>
            </w:r>
          </w:p>
        </w:tc>
      </w:tr>
    </w:tbl>
    <w:p>
      <w:pPr>
        <w:pStyle w:val="TextBody"/>
        <w:spacing w:before="0" w:after="0"/>
        <w:ind w:left="0" w:right="0" w:hanging="0"/>
        <w:jc w:val="left"/>
        <w:rPr/>
      </w:pPr>
      <w:r>
        <w:rPr/>
        <w:t> </w:t>
      </w:r>
    </w:p>
    <w:p>
      <w:pPr>
        <w:pStyle w:val="TextBody"/>
        <w:spacing w:before="0" w:after="0"/>
        <w:ind w:left="0" w:right="0" w:hanging="0"/>
        <w:jc w:val="both"/>
        <w:rPr/>
      </w:pPr>
      <w:r>
        <w:rPr/>
        <w:t>        </w:t>
      </w:r>
      <w:r>
        <w:rPr>
          <w:rFonts w:ascii="Times New Roman" w:hAnsi="Times New Roman"/>
          <w:sz w:val="20"/>
        </w:rPr>
        <w:t>(a)   The undersigned Registrant hereby undertakes:</w:t>
      </w:r>
    </w:p>
    <w:p>
      <w:pPr>
        <w:pStyle w:val="TextBody"/>
        <w:spacing w:before="0" w:after="0"/>
        <w:ind w:left="0" w:right="0" w:hanging="0"/>
        <w:jc w:val="both"/>
        <w:rPr/>
      </w:pPr>
      <w:r>
        <w:rPr/>
        <w:t> </w:t>
      </w:r>
    </w:p>
    <w:p>
      <w:pPr>
        <w:pStyle w:val="TextBody"/>
        <w:spacing w:before="0" w:after="0"/>
        <w:ind w:left="0" w:right="0" w:firstLine="360"/>
        <w:jc w:val="both"/>
        <w:rPr/>
      </w:pPr>
      <w:r>
        <w:rPr/>
        <w:t>        </w:t>
      </w:r>
      <w:r>
        <w:rPr>
          <w:rFonts w:ascii="Times New Roman" w:hAnsi="Times New Roman"/>
          <w:sz w:val="20"/>
        </w:rPr>
        <w:t>(1)   To file, during any period in which offers or sales are being made, a post-effective amendment to this Registration Statement:</w:t>
      </w:r>
    </w:p>
    <w:p>
      <w:pPr>
        <w:pStyle w:val="TextBody"/>
        <w:spacing w:before="0" w:after="0"/>
        <w:ind w:left="0" w:right="0" w:hanging="0"/>
        <w:jc w:val="both"/>
        <w:rPr/>
      </w:pPr>
      <w:r>
        <w:rPr/>
        <w:t> </w:t>
      </w:r>
    </w:p>
    <w:p>
      <w:pPr>
        <w:pStyle w:val="TextBody"/>
        <w:spacing w:before="0" w:after="0"/>
        <w:ind w:left="0" w:right="0" w:firstLine="720"/>
        <w:jc w:val="both"/>
        <w:rPr/>
      </w:pPr>
      <w:r>
        <w:rPr/>
        <w:t xml:space="preserve">         </w:t>
      </w:r>
      <w:r>
        <w:rPr>
          <w:rFonts w:ascii="Times New Roman" w:hAnsi="Times New Roman"/>
          <w:sz w:val="20"/>
        </w:rPr>
        <w:t>(i)    To include any prospectus required by Section 10(a)(3) of the Securities Act; and</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and</w:t>
      </w:r>
    </w:p>
    <w:p>
      <w:pPr>
        <w:pStyle w:val="TextBody"/>
        <w:spacing w:before="0" w:after="0"/>
        <w:ind w:left="0" w:right="0" w:hanging="0"/>
        <w:jc w:val="both"/>
        <w:rPr/>
      </w:pPr>
      <w:r>
        <w:rPr/>
        <w:t> </w:t>
      </w:r>
    </w:p>
    <w:p>
      <w:pPr>
        <w:pStyle w:val="TextBody"/>
        <w:spacing w:before="0" w:after="0"/>
        <w:ind w:left="0" w:right="0" w:firstLine="720"/>
        <w:jc w:val="both"/>
        <w:rPr/>
      </w:pPr>
      <w:r>
        <w:rPr/>
        <w:t xml:space="preserve">         </w:t>
      </w:r>
      <w:r>
        <w:rPr>
          <w:rFonts w:ascii="Times New Roman" w:hAnsi="Times New Roman"/>
          <w:sz w:val="20"/>
        </w:rPr>
        <w:t>(iii)  To include any material information with respect to the plan of distribution not previously disclosed in the Registration Statement or any material change to such information in the Registration Statement; and</w:t>
      </w:r>
    </w:p>
    <w:p>
      <w:pPr>
        <w:pStyle w:val="TextBody"/>
        <w:spacing w:before="0" w:after="0"/>
        <w:ind w:left="0" w:right="0" w:hanging="0"/>
        <w:jc w:val="both"/>
        <w:rPr/>
      </w:pPr>
      <w:r>
        <w:rPr/>
        <w:t> </w:t>
      </w:r>
    </w:p>
    <w:p>
      <w:pPr>
        <w:pStyle w:val="TextBody"/>
        <w:spacing w:before="0" w:after="0"/>
        <w:ind w:left="0" w:right="0" w:firstLine="360"/>
        <w:jc w:val="both"/>
        <w:rPr/>
      </w:pPr>
      <w:r>
        <w:rPr/>
        <w:t>        </w:t>
      </w:r>
      <w:r>
        <w:rPr>
          <w:rFonts w:ascii="Times New Roman" w:hAnsi="Times New Roman"/>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spacing w:before="0" w:after="0"/>
        <w:ind w:left="0" w:right="0" w:hanging="0"/>
        <w:jc w:val="both"/>
        <w:rPr/>
      </w:pPr>
      <w:r>
        <w:rPr/>
        <w:t> </w:t>
      </w:r>
    </w:p>
    <w:p>
      <w:pPr>
        <w:pStyle w:val="TextBody"/>
        <w:spacing w:before="0" w:after="0"/>
        <w:ind w:left="0" w:right="0" w:firstLine="360"/>
        <w:jc w:val="both"/>
        <w:rPr/>
      </w:pPr>
      <w:r>
        <w:rPr/>
        <w:t>        </w:t>
      </w:r>
      <w:r>
        <w:rPr>
          <w:rFonts w:ascii="Times New Roman" w:hAnsi="Times New Roman"/>
          <w:sz w:val="20"/>
        </w:rPr>
        <w:t>(3)   To remove from registration by means of a post-effective amendment any of the securities being registered which remain unsold at the termination of the offering.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paragraphs (1)(i) and (1)(ii) above do not apply if the information required to be included in a post-effective amendment by those paragraphs is contained in reports filed with or furnished to the Commission by the Registrant pursuant to Section 13 or Section 15(d) of the Securities Exchange Act that are incorporated by reference in the Registration Statement.</w:t>
      </w:r>
    </w:p>
    <w:p>
      <w:pPr>
        <w:pStyle w:val="TextBody"/>
        <w:spacing w:before="0" w:after="0"/>
        <w:ind w:left="0" w:right="0" w:hanging="0"/>
        <w:jc w:val="left"/>
        <w:rPr/>
      </w:pPr>
      <w:r>
        <w:rPr/>
        <w:t> </w:t>
      </w:r>
    </w:p>
    <w:p>
      <w:pPr>
        <w:pStyle w:val="TextBody"/>
        <w:spacing w:before="0" w:after="0"/>
        <w:ind w:left="0" w:right="0" w:hanging="0"/>
        <w:jc w:val="both"/>
        <w:rPr/>
      </w:pPr>
      <w:r>
        <w:rPr/>
        <w:t>        </w:t>
      </w:r>
      <w:r>
        <w:rPr>
          <w:rFonts w:ascii="Times New Roman" w:hAnsi="Times New Roman"/>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4"/>
      <w:bookmarkStart w:id="23" w:name="pgbrk4"/>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 w:name="ftr3"/>
      <w:bookmarkEnd w:id="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 w:name="pn1"/>
      <w:bookmarkEnd w:id="25"/>
      <w:r>
        <w:rPr>
          <w:rFonts w:ascii="Times New Roman" w:hAnsi="Times New Roman"/>
          <w:sz w:val="20"/>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6" w:name="pb3"/>
      <w:bookmarkStart w:id="27" w:name="pb3"/>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 w:name="hdr4"/>
      <w:bookmarkEnd w:id="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September 24, 2021.</w:t>
      </w:r>
    </w:p>
    <w:p>
      <w:pPr>
        <w:pStyle w:val="TextBody"/>
        <w:spacing w:before="0" w:after="0"/>
        <w:ind w:left="0" w:right="0" w:hanging="0"/>
        <w:jc w:val="left"/>
        <w:rPr/>
      </w:pPr>
      <w:r>
        <w:rPr/>
        <w:t> </w:t>
      </w:r>
    </w:p>
    <w:tbl>
      <w:tblPr>
        <w:tblW w:w="2525" w:type="dxa"/>
        <w:jc w:val="left"/>
        <w:tblInd w:w="0" w:type="dxa"/>
        <w:tblCellMar>
          <w:top w:w="0" w:type="dxa"/>
          <w:left w:w="0" w:type="dxa"/>
          <w:bottom w:w="0" w:type="dxa"/>
          <w:right w:w="0" w:type="dxa"/>
        </w:tblCellMar>
      </w:tblPr>
      <w:tblGrid>
        <w:gridCol w:w="75"/>
        <w:gridCol w:w="2450"/>
      </w:tblGrid>
      <w:tr>
        <w:trPr/>
        <w:tc>
          <w:tcPr>
            <w:tcW w:w="75" w:type="dxa"/>
            <w:tcBorders/>
            <w:shd w:fill="auto" w:val="clear"/>
            <w:vAlign w:val="center"/>
          </w:tcPr>
          <w:p>
            <w:pPr>
              <w:pStyle w:val="TableContents"/>
              <w:spacing w:before="0" w:after="0"/>
              <w:rPr/>
            </w:pPr>
            <w:r>
              <w:rPr/>
              <w:t> </w:t>
            </w:r>
          </w:p>
        </w:tc>
        <w:tc>
          <w:tcPr>
            <w:tcW w:w="245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r>
      <w:tr>
        <w:trPr/>
        <w:tc>
          <w:tcPr>
            <w:tcW w:w="75" w:type="dxa"/>
            <w:tcBorders/>
            <w:shd w:fill="auto" w:val="clear"/>
            <w:vAlign w:val="center"/>
          </w:tcPr>
          <w:p>
            <w:pPr>
              <w:pStyle w:val="TableContents"/>
              <w:spacing w:before="0" w:after="0"/>
              <w:rPr/>
            </w:pPr>
            <w:r>
              <w:rPr/>
              <w:t> </w:t>
            </w:r>
          </w:p>
        </w:tc>
        <w:tc>
          <w:tcPr>
            <w:tcW w:w="2450" w:type="dxa"/>
            <w:tcBorders/>
            <w:shd w:fill="auto" w:val="clear"/>
            <w:vAlign w:val="center"/>
          </w:tcPr>
          <w:p>
            <w:pPr>
              <w:pStyle w:val="TableContents"/>
              <w:spacing w:before="0" w:after="0"/>
              <w:rPr/>
            </w:pPr>
            <w:r>
              <w:rPr/>
              <w:t> </w:t>
            </w:r>
          </w:p>
        </w:tc>
      </w:tr>
      <w:tr>
        <w:trPr/>
        <w:tc>
          <w:tcPr>
            <w:tcW w:w="75" w:type="dxa"/>
            <w:tcBorders/>
            <w:shd w:fill="auto" w:val="clear"/>
            <w:vAlign w:val="center"/>
          </w:tcPr>
          <w:p>
            <w:pPr>
              <w:pStyle w:val="TableContents"/>
              <w:spacing w:before="0" w:after="0"/>
              <w:rPr/>
            </w:pPr>
            <w:r>
              <w:rPr/>
              <w:t> </w:t>
            </w:r>
          </w:p>
        </w:tc>
        <w:tc>
          <w:tcPr>
            <w:tcW w:w="2450"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By: /s/ Shawn K. Singh</w:t>
            </w:r>
          </w:p>
        </w:tc>
      </w:tr>
      <w:tr>
        <w:trPr/>
        <w:tc>
          <w:tcPr>
            <w:tcW w:w="75" w:type="dxa"/>
            <w:tcBorders/>
            <w:shd w:fill="auto" w:val="clear"/>
            <w:vAlign w:val="center"/>
          </w:tcPr>
          <w:p>
            <w:pPr>
              <w:pStyle w:val="TableContents"/>
              <w:spacing w:before="0" w:after="0"/>
              <w:rPr/>
            </w:pPr>
            <w:r>
              <w:rPr/>
              <w:t> </w:t>
            </w:r>
          </w:p>
        </w:tc>
        <w:tc>
          <w:tcPr>
            <w:tcW w:w="24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Name: Shawn K. Singh</w:t>
            </w:r>
          </w:p>
        </w:tc>
      </w:tr>
      <w:tr>
        <w:trPr/>
        <w:tc>
          <w:tcPr>
            <w:tcW w:w="75" w:type="dxa"/>
            <w:tcBorders/>
            <w:shd w:fill="auto" w:val="clear"/>
            <w:vAlign w:val="center"/>
          </w:tcPr>
          <w:p>
            <w:pPr>
              <w:pStyle w:val="TableContents"/>
              <w:spacing w:before="0" w:after="0"/>
              <w:rPr/>
            </w:pPr>
            <w:r>
              <w:rPr/>
              <w:t> </w:t>
            </w:r>
          </w:p>
        </w:tc>
        <w:tc>
          <w:tcPr>
            <w:tcW w:w="24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20"/>
        </w:rPr>
      </w:pPr>
      <w:bookmarkStart w:id="29" w:name="poa"/>
      <w:bookmarkEnd w:id="29"/>
      <w:r>
        <w:rPr>
          <w:rFonts w:ascii="Times New Roman" w:hAnsi="Times New Roman"/>
          <w:b/>
          <w:color w:val="000000"/>
          <w:sz w:val="20"/>
        </w:rPr>
        <w:t>POWER OF ATTORNEY</w:t>
      </w:r>
    </w:p>
    <w:p>
      <w:pPr>
        <w:pStyle w:val="TextBody"/>
        <w:spacing w:before="0" w:after="0"/>
        <w:ind w:left="0" w:right="0" w:hanging="0"/>
        <w:jc w:val="left"/>
        <w:rPr/>
      </w:pPr>
      <w:r>
        <w:rPr/>
        <w:t> </w:t>
      </w:r>
    </w:p>
    <w:p>
      <w:pPr>
        <w:pStyle w:val="TextBody"/>
        <w:spacing w:before="0" w:after="0"/>
        <w:ind w:left="0" w:right="0" w:firstLine="540"/>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Shawn K. Singh and Jerrold D. Dotson,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jc w:val="both"/>
        <w:rPr/>
      </w:pPr>
      <w:r>
        <w:rPr/>
        <w:t> </w:t>
      </w:r>
    </w:p>
    <w:tbl>
      <w:tblPr>
        <w:tblW w:w="8040" w:type="dxa"/>
        <w:jc w:val="left"/>
        <w:tblInd w:w="0" w:type="dxa"/>
        <w:tblCellMar>
          <w:top w:w="0" w:type="dxa"/>
          <w:left w:w="0" w:type="dxa"/>
          <w:bottom w:w="0" w:type="dxa"/>
          <w:right w:w="0" w:type="dxa"/>
        </w:tblCellMar>
      </w:tblPr>
      <w:tblGrid>
        <w:gridCol w:w="2465"/>
        <w:gridCol w:w="120"/>
        <w:gridCol w:w="3740"/>
        <w:gridCol w:w="60"/>
        <w:gridCol w:w="1655"/>
      </w:tblGrid>
      <w:tr>
        <w:trPr/>
        <w:tc>
          <w:tcPr>
            <w:tcW w:w="2465" w:type="dxa"/>
            <w:tcBorders/>
            <w:shd w:fill="auto" w:val="clear"/>
            <w:vAlign w:val="center"/>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Signature</w:t>
            </w:r>
          </w:p>
        </w:tc>
        <w:tc>
          <w:tcPr>
            <w:tcW w:w="120" w:type="dxa"/>
            <w:tcBorders/>
            <w:shd w:fill="auto" w:val="clear"/>
            <w:vAlign w:val="center"/>
          </w:tcPr>
          <w:p>
            <w:pPr>
              <w:pStyle w:val="TableContents"/>
              <w:spacing w:before="0" w:after="0"/>
              <w:ind w:left="0" w:right="0" w:hanging="0"/>
              <w:jc w:val="left"/>
              <w:rPr>
                <w:color w:val="000000"/>
              </w:rPr>
            </w:pPr>
            <w:r>
              <w:rPr>
                <w:color w:val="000000"/>
              </w:rPr>
              <w:t>  </w:t>
            </w:r>
          </w:p>
        </w:tc>
        <w:tc>
          <w:tcPr>
            <w:tcW w:w="3740" w:type="dxa"/>
            <w:tcBorders/>
            <w:shd w:fill="auto" w:val="clear"/>
            <w:vAlign w:val="center"/>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Title</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Date</w:t>
            </w:r>
          </w:p>
        </w:tc>
      </w:tr>
      <w:tr>
        <w:trPr/>
        <w:tc>
          <w:tcPr>
            <w:tcW w:w="2465" w:type="dxa"/>
            <w:tcBorders/>
            <w:shd w:fill="auto" w:val="clear"/>
            <w:vAlign w:val="center"/>
          </w:tcPr>
          <w:p>
            <w:pPr>
              <w:pStyle w:val="TableContents"/>
              <w:spacing w:before="0" w:after="0"/>
              <w:rPr/>
            </w:pPr>
            <w:r>
              <w:rPr/>
              <w:t> </w:t>
            </w:r>
          </w:p>
        </w:tc>
        <w:tc>
          <w:tcPr>
            <w:tcW w:w="3860" w:type="dxa"/>
            <w:gridSpan w:val="2"/>
            <w:tcBorders/>
            <w:shd w:fill="auto" w:val="clear"/>
            <w:vAlign w:val="center"/>
          </w:tcPr>
          <w:p>
            <w:pPr>
              <w:pStyle w:val="TableContents"/>
              <w:spacing w:before="0" w:after="0"/>
              <w:rPr/>
            </w:pPr>
            <w:r>
              <w:rPr/>
              <w:t> </w:t>
            </w:r>
          </w:p>
        </w:tc>
        <w:tc>
          <w:tcPr>
            <w:tcW w:w="1715" w:type="dxa"/>
            <w:gridSpan w:val="2"/>
            <w:tcBorders/>
            <w:shd w:fill="auto" w:val="clear"/>
            <w:vAlign w:val="center"/>
          </w:tcPr>
          <w:p>
            <w:pPr>
              <w:pStyle w:val="TableContents"/>
              <w:spacing w:before="0" w:after="0"/>
              <w:rPr/>
            </w:pPr>
            <w:r>
              <w:rPr/>
              <w:t> </w:t>
            </w:r>
          </w:p>
        </w:tc>
      </w:tr>
      <w:tr>
        <w:trPr/>
        <w:tc>
          <w:tcPr>
            <w:tcW w:w="2465" w:type="dxa"/>
            <w:tcBorders/>
            <w:shd w:fill="auto" w:val="clear"/>
            <w:vAlign w:val="center"/>
          </w:tcPr>
          <w:p>
            <w:pPr>
              <w:pStyle w:val="TableContents"/>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Shawn K. Singh </w:t>
            </w:r>
          </w:p>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Shawn K. Singh, J.D.</w:t>
            </w:r>
          </w:p>
        </w:tc>
        <w:tc>
          <w:tcPr>
            <w:tcW w:w="120" w:type="dxa"/>
            <w:tcBorders/>
            <w:shd w:fill="auto" w:val="clear"/>
            <w:vAlign w:val="center"/>
          </w:tcPr>
          <w:p>
            <w:pPr>
              <w:pStyle w:val="TableContents"/>
              <w:spacing w:before="0" w:after="0"/>
              <w:ind w:left="0" w:right="0" w:hanging="0"/>
              <w:jc w:val="left"/>
              <w:rPr>
                <w:color w:val="000000"/>
              </w:rPr>
            </w:pPr>
            <w:r>
              <w:rPr>
                <w:color w:val="000000"/>
              </w:rPr>
              <w:t>  </w:t>
            </w:r>
          </w:p>
        </w:tc>
        <w:tc>
          <w:tcPr>
            <w:tcW w:w="37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spacing w:before="0" w:after="0"/>
              <w:ind w:left="0" w:right="0" w:hanging="0"/>
              <w:jc w:val="left"/>
              <w:rPr>
                <w:rFonts w:ascii="Times New Roman" w:hAnsi="Times New Roman"/>
                <w:i/>
                <w:color w:val="000000"/>
                <w:sz w:val="20"/>
              </w:rPr>
            </w:pPr>
            <w:r>
              <w:rPr>
                <w:rFonts w:ascii="Times New Roman" w:hAnsi="Times New Roman"/>
                <w:i/>
                <w:color w:val="000000"/>
                <w:sz w:val="20"/>
              </w:rPr>
              <w:t>(Principal Executive Officer)</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September 24, 2021</w:t>
            </w:r>
          </w:p>
        </w:tc>
      </w:tr>
      <w:tr>
        <w:trPr/>
        <w:tc>
          <w:tcPr>
            <w:tcW w:w="2465" w:type="dxa"/>
            <w:tcBorders/>
            <w:shd w:fill="auto" w:val="clear"/>
            <w:vAlign w:val="center"/>
          </w:tcPr>
          <w:p>
            <w:pPr>
              <w:pStyle w:val="TableContents"/>
              <w:spacing w:before="0" w:after="0"/>
              <w:rPr/>
            </w:pPr>
            <w:r>
              <w:rPr/>
              <w:t> </w:t>
            </w:r>
          </w:p>
        </w:tc>
        <w:tc>
          <w:tcPr>
            <w:tcW w:w="3860" w:type="dxa"/>
            <w:gridSpan w:val="2"/>
            <w:tcBorders/>
            <w:shd w:fill="auto" w:val="clear"/>
            <w:vAlign w:val="center"/>
          </w:tcPr>
          <w:p>
            <w:pPr>
              <w:pStyle w:val="TableContents"/>
              <w:spacing w:before="0" w:after="0"/>
              <w:rPr/>
            </w:pPr>
            <w:r>
              <w:rPr/>
              <w:t> </w:t>
            </w:r>
          </w:p>
        </w:tc>
        <w:tc>
          <w:tcPr>
            <w:tcW w:w="1715" w:type="dxa"/>
            <w:gridSpan w:val="2"/>
            <w:tcBorders/>
            <w:shd w:fill="auto" w:val="clear"/>
            <w:vAlign w:val="center"/>
          </w:tcPr>
          <w:p>
            <w:pPr>
              <w:pStyle w:val="TableContents"/>
              <w:spacing w:before="0" w:after="0"/>
              <w:rPr/>
            </w:pPr>
            <w:r>
              <w:rPr/>
              <w:t> </w:t>
            </w:r>
          </w:p>
        </w:tc>
      </w:tr>
      <w:tr>
        <w:trPr/>
        <w:tc>
          <w:tcPr>
            <w:tcW w:w="2465" w:type="dxa"/>
            <w:tcBorders/>
            <w:shd w:fill="auto" w:val="clear"/>
            <w:vAlign w:val="center"/>
          </w:tcPr>
          <w:p>
            <w:pPr>
              <w:pStyle w:val="TableContents"/>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Jerrold D. Dotson</w:t>
            </w:r>
          </w:p>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Jerrold D. Dotson</w:t>
            </w:r>
          </w:p>
        </w:tc>
        <w:tc>
          <w:tcPr>
            <w:tcW w:w="120" w:type="dxa"/>
            <w:tcBorders/>
            <w:shd w:fill="auto" w:val="clear"/>
            <w:vAlign w:val="center"/>
          </w:tcPr>
          <w:p>
            <w:pPr>
              <w:pStyle w:val="TableContents"/>
              <w:spacing w:before="0" w:after="0"/>
              <w:ind w:left="0" w:right="0" w:hanging="0"/>
              <w:jc w:val="left"/>
              <w:rPr>
                <w:color w:val="000000"/>
              </w:rPr>
            </w:pPr>
            <w:r>
              <w:rPr>
                <w:color w:val="000000"/>
              </w:rPr>
              <w:t>  </w:t>
            </w:r>
          </w:p>
        </w:tc>
        <w:tc>
          <w:tcPr>
            <w:tcW w:w="37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Vice President and Chief Financial Officer</w:t>
            </w:r>
          </w:p>
          <w:p>
            <w:pPr>
              <w:pStyle w:val="TableContents"/>
              <w:spacing w:before="0" w:after="0"/>
              <w:ind w:left="0" w:right="0" w:hanging="0"/>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September 24, 2021</w:t>
            </w:r>
          </w:p>
        </w:tc>
      </w:tr>
      <w:tr>
        <w:trPr/>
        <w:tc>
          <w:tcPr>
            <w:tcW w:w="2465" w:type="dxa"/>
            <w:tcBorders/>
            <w:shd w:fill="auto" w:val="clear"/>
            <w:vAlign w:val="center"/>
          </w:tcPr>
          <w:p>
            <w:pPr>
              <w:pStyle w:val="TableContents"/>
              <w:spacing w:before="0" w:after="0"/>
              <w:rPr/>
            </w:pPr>
            <w:r>
              <w:rPr/>
              <w:t> </w:t>
            </w:r>
          </w:p>
        </w:tc>
        <w:tc>
          <w:tcPr>
            <w:tcW w:w="3860" w:type="dxa"/>
            <w:gridSpan w:val="2"/>
            <w:tcBorders/>
            <w:shd w:fill="auto" w:val="clear"/>
            <w:vAlign w:val="center"/>
          </w:tcPr>
          <w:p>
            <w:pPr>
              <w:pStyle w:val="TableContents"/>
              <w:spacing w:before="0" w:after="0"/>
              <w:rPr/>
            </w:pPr>
            <w:r>
              <w:rPr/>
              <w:t> </w:t>
            </w:r>
          </w:p>
        </w:tc>
        <w:tc>
          <w:tcPr>
            <w:tcW w:w="1715" w:type="dxa"/>
            <w:gridSpan w:val="2"/>
            <w:tcBorders/>
            <w:shd w:fill="auto" w:val="clear"/>
            <w:vAlign w:val="center"/>
          </w:tcPr>
          <w:p>
            <w:pPr>
              <w:pStyle w:val="TableContents"/>
              <w:spacing w:before="0" w:after="0"/>
              <w:rPr/>
            </w:pPr>
            <w:r>
              <w:rPr/>
              <w:t> </w:t>
            </w:r>
          </w:p>
        </w:tc>
      </w:tr>
      <w:tr>
        <w:trPr/>
        <w:tc>
          <w:tcPr>
            <w:tcW w:w="2465" w:type="dxa"/>
            <w:tcBorders/>
            <w:shd w:fill="auto" w:val="clear"/>
            <w:vAlign w:val="center"/>
          </w:tcPr>
          <w:p>
            <w:pPr>
              <w:pStyle w:val="TableContents"/>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Jon S. Saxe</w:t>
            </w:r>
          </w:p>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Jon S. Saxe, J.D., LL.M.</w:t>
            </w:r>
          </w:p>
        </w:tc>
        <w:tc>
          <w:tcPr>
            <w:tcW w:w="120" w:type="dxa"/>
            <w:tcBorders/>
            <w:shd w:fill="auto" w:val="clear"/>
            <w:vAlign w:val="center"/>
          </w:tcPr>
          <w:p>
            <w:pPr>
              <w:pStyle w:val="TableContents"/>
              <w:spacing w:before="0" w:after="0"/>
              <w:ind w:left="0" w:right="0" w:hanging="0"/>
              <w:jc w:val="left"/>
              <w:rPr>
                <w:color w:val="000000"/>
              </w:rPr>
            </w:pPr>
            <w:r>
              <w:rPr>
                <w:color w:val="000000"/>
              </w:rPr>
              <w:t>  </w:t>
            </w:r>
          </w:p>
        </w:tc>
        <w:tc>
          <w:tcPr>
            <w:tcW w:w="37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Chairman of the Board of Directors</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September 24, 2021</w:t>
            </w:r>
          </w:p>
        </w:tc>
      </w:tr>
      <w:tr>
        <w:trPr/>
        <w:tc>
          <w:tcPr>
            <w:tcW w:w="2465" w:type="dxa"/>
            <w:tcBorders/>
            <w:shd w:fill="auto" w:val="clear"/>
            <w:vAlign w:val="center"/>
          </w:tcPr>
          <w:p>
            <w:pPr>
              <w:pStyle w:val="TableContents"/>
              <w:spacing w:before="0" w:after="0"/>
              <w:rPr/>
            </w:pPr>
            <w:r>
              <w:rPr/>
              <w:t> </w:t>
            </w:r>
          </w:p>
        </w:tc>
        <w:tc>
          <w:tcPr>
            <w:tcW w:w="3860" w:type="dxa"/>
            <w:gridSpan w:val="2"/>
            <w:tcBorders/>
            <w:shd w:fill="auto" w:val="clear"/>
            <w:vAlign w:val="center"/>
          </w:tcPr>
          <w:p>
            <w:pPr>
              <w:pStyle w:val="TableContents"/>
              <w:spacing w:before="0" w:after="0"/>
              <w:rPr/>
            </w:pPr>
            <w:r>
              <w:rPr/>
              <w:t> </w:t>
            </w:r>
          </w:p>
        </w:tc>
        <w:tc>
          <w:tcPr>
            <w:tcW w:w="1715" w:type="dxa"/>
            <w:gridSpan w:val="2"/>
            <w:tcBorders/>
            <w:shd w:fill="auto" w:val="clear"/>
            <w:vAlign w:val="center"/>
          </w:tcPr>
          <w:p>
            <w:pPr>
              <w:pStyle w:val="TableContents"/>
              <w:spacing w:before="0" w:after="0"/>
              <w:rPr/>
            </w:pPr>
            <w:r>
              <w:rPr/>
              <w:t> </w:t>
            </w:r>
          </w:p>
        </w:tc>
      </w:tr>
      <w:tr>
        <w:trPr/>
        <w:tc>
          <w:tcPr>
            <w:tcW w:w="2465" w:type="dxa"/>
            <w:tcBorders/>
            <w:shd w:fill="auto" w:val="clear"/>
            <w:vAlign w:val="center"/>
          </w:tcPr>
          <w:p>
            <w:pPr>
              <w:pStyle w:val="TableContents"/>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Ann M. Cunningham</w:t>
            </w:r>
          </w:p>
          <w:p>
            <w:pPr>
              <w:pStyle w:val="TableContents"/>
              <w:spacing w:before="0" w:after="0"/>
              <w:ind w:left="0" w:right="0" w:hanging="0"/>
              <w:jc w:val="left"/>
              <w:rPr>
                <w:color w:val="000000"/>
              </w:rPr>
            </w:pPr>
            <w:r>
              <w:rPr>
                <w:color w:val="000000"/>
              </w:rPr>
              <w:t> </w:t>
            </w:r>
            <w:r>
              <w:rPr>
                <w:rFonts w:ascii="Times New Roman" w:hAnsi="Times New Roman"/>
                <w:color w:val="000000"/>
                <w:sz w:val="20"/>
              </w:rPr>
              <w:t>Ann M. Cunningham, MBA</w:t>
            </w:r>
          </w:p>
        </w:tc>
        <w:tc>
          <w:tcPr>
            <w:tcW w:w="120" w:type="dxa"/>
            <w:tcBorders/>
            <w:shd w:fill="auto" w:val="clear"/>
            <w:vAlign w:val="center"/>
          </w:tcPr>
          <w:p>
            <w:pPr>
              <w:pStyle w:val="TableContents"/>
              <w:spacing w:before="0" w:after="0"/>
              <w:rPr/>
            </w:pPr>
            <w:r>
              <w:rPr/>
              <w:t> </w:t>
            </w:r>
          </w:p>
        </w:tc>
        <w:tc>
          <w:tcPr>
            <w:tcW w:w="37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Director</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September 24, 2021</w:t>
            </w:r>
          </w:p>
        </w:tc>
      </w:tr>
      <w:tr>
        <w:trPr/>
        <w:tc>
          <w:tcPr>
            <w:tcW w:w="246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74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rPr/>
            </w:pPr>
            <w:r>
              <w:rPr/>
              <w:t> </w:t>
            </w:r>
          </w:p>
        </w:tc>
      </w:tr>
      <w:tr>
        <w:trPr/>
        <w:tc>
          <w:tcPr>
            <w:tcW w:w="2465" w:type="dxa"/>
            <w:tcBorders/>
            <w:shd w:fill="auto" w:val="clear"/>
            <w:vAlign w:val="center"/>
          </w:tcPr>
          <w:p>
            <w:pPr>
              <w:pStyle w:val="TableContents"/>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Joanne Curley, Ph.D.</w:t>
            </w:r>
          </w:p>
          <w:p>
            <w:pPr>
              <w:pStyle w:val="TableContents"/>
              <w:spacing w:before="0" w:after="0"/>
              <w:ind w:left="0" w:right="0" w:hanging="0"/>
              <w:jc w:val="left"/>
              <w:rPr>
                <w:color w:val="000000"/>
              </w:rPr>
            </w:pPr>
            <w:r>
              <w:rPr>
                <w:color w:val="000000"/>
              </w:rPr>
              <w:t> </w:t>
            </w:r>
            <w:r>
              <w:rPr>
                <w:rFonts w:ascii="Times New Roman" w:hAnsi="Times New Roman"/>
                <w:color w:val="000000"/>
                <w:sz w:val="20"/>
              </w:rPr>
              <w:t>Joanne Curley, Ph.D.</w:t>
            </w:r>
          </w:p>
        </w:tc>
        <w:tc>
          <w:tcPr>
            <w:tcW w:w="120" w:type="dxa"/>
            <w:tcBorders/>
            <w:shd w:fill="auto" w:val="clear"/>
            <w:vAlign w:val="center"/>
          </w:tcPr>
          <w:p>
            <w:pPr>
              <w:pStyle w:val="TableContents"/>
              <w:spacing w:before="0" w:after="0"/>
              <w:rPr/>
            </w:pPr>
            <w:r>
              <w:rPr/>
              <w:t> </w:t>
            </w:r>
          </w:p>
        </w:tc>
        <w:tc>
          <w:tcPr>
            <w:tcW w:w="37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Director</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September 24, 2021</w:t>
            </w:r>
          </w:p>
        </w:tc>
      </w:tr>
      <w:tr>
        <w:trPr/>
        <w:tc>
          <w:tcPr>
            <w:tcW w:w="246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74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rPr/>
            </w:pPr>
            <w:r>
              <w:rPr/>
              <w:t> </w:t>
            </w:r>
          </w:p>
        </w:tc>
      </w:tr>
      <w:tr>
        <w:trPr/>
        <w:tc>
          <w:tcPr>
            <w:tcW w:w="2465" w:type="dxa"/>
            <w:tcBorders/>
            <w:shd w:fill="auto" w:val="clear"/>
            <w:vAlign w:val="center"/>
          </w:tcPr>
          <w:p>
            <w:pPr>
              <w:pStyle w:val="TableContents"/>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Margaret M. FitzPatrick</w:t>
            </w:r>
          </w:p>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Margaret M. FitzPatrick, M.A.</w:t>
            </w:r>
          </w:p>
        </w:tc>
        <w:tc>
          <w:tcPr>
            <w:tcW w:w="120" w:type="dxa"/>
            <w:tcBorders/>
            <w:shd w:fill="auto" w:val="clear"/>
            <w:vAlign w:val="center"/>
          </w:tcPr>
          <w:p>
            <w:pPr>
              <w:pStyle w:val="TableContents"/>
              <w:spacing w:before="0" w:after="0"/>
              <w:ind w:left="0" w:right="0" w:hanging="0"/>
              <w:jc w:val="left"/>
              <w:rPr>
                <w:color w:val="000000"/>
              </w:rPr>
            </w:pPr>
            <w:r>
              <w:rPr>
                <w:color w:val="000000"/>
              </w:rPr>
              <w:t>  </w:t>
            </w:r>
          </w:p>
        </w:tc>
        <w:tc>
          <w:tcPr>
            <w:tcW w:w="37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Director</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September 24, 2021</w:t>
            </w:r>
          </w:p>
        </w:tc>
      </w:tr>
      <w:tr>
        <w:trPr/>
        <w:tc>
          <w:tcPr>
            <w:tcW w:w="246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74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rPr/>
            </w:pPr>
            <w:r>
              <w:rPr/>
              <w:t> </w:t>
            </w:r>
          </w:p>
        </w:tc>
      </w:tr>
      <w:tr>
        <w:trPr/>
        <w:tc>
          <w:tcPr>
            <w:tcW w:w="2465" w:type="dxa"/>
            <w:tcBorders/>
            <w:shd w:fill="auto" w:val="clear"/>
            <w:vAlign w:val="center"/>
          </w:tcPr>
          <w:p>
            <w:pPr>
              <w:pStyle w:val="TableContents"/>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Jerry B. Gin, Ph.D.</w:t>
            </w:r>
          </w:p>
          <w:p>
            <w:pPr>
              <w:pStyle w:val="TableContents"/>
              <w:spacing w:before="0" w:after="0"/>
              <w:ind w:left="0" w:right="0" w:hanging="0"/>
              <w:jc w:val="left"/>
              <w:rPr>
                <w:color w:val="000000"/>
              </w:rPr>
            </w:pPr>
            <w:r>
              <w:rPr>
                <w:color w:val="000000"/>
              </w:rPr>
              <w:t> </w:t>
            </w:r>
            <w:r>
              <w:rPr>
                <w:rFonts w:ascii="Times New Roman" w:hAnsi="Times New Roman"/>
                <w:color w:val="000000"/>
                <w:sz w:val="20"/>
              </w:rPr>
              <w:t>Jerry B. Gin, Ph.D., MBA</w:t>
            </w:r>
          </w:p>
        </w:tc>
        <w:tc>
          <w:tcPr>
            <w:tcW w:w="120" w:type="dxa"/>
            <w:tcBorders/>
            <w:shd w:fill="auto" w:val="clear"/>
            <w:vAlign w:val="center"/>
          </w:tcPr>
          <w:p>
            <w:pPr>
              <w:pStyle w:val="TableContents"/>
              <w:spacing w:before="0" w:after="0"/>
              <w:ind w:left="0" w:right="0" w:hanging="0"/>
              <w:jc w:val="left"/>
              <w:rPr>
                <w:color w:val="000000"/>
              </w:rPr>
            </w:pPr>
            <w:r>
              <w:rPr>
                <w:color w:val="000000"/>
              </w:rPr>
              <w:t>  </w:t>
            </w:r>
          </w:p>
        </w:tc>
        <w:tc>
          <w:tcPr>
            <w:tcW w:w="37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Director</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September 24, 2021</w:t>
            </w:r>
          </w:p>
        </w:tc>
      </w:tr>
      <w:tr>
        <w:trPr/>
        <w:tc>
          <w:tcPr>
            <w:tcW w:w="246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74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rPr/>
            </w:pPr>
            <w:r>
              <w:rPr/>
              <w:t> </w:t>
            </w:r>
          </w:p>
        </w:tc>
      </w:tr>
      <w:tr>
        <w:trPr/>
        <w:tc>
          <w:tcPr>
            <w:tcW w:w="2465" w:type="dxa"/>
            <w:tcBorders/>
            <w:shd w:fill="auto" w:val="clear"/>
            <w:vAlign w:val="center"/>
          </w:tcPr>
          <w:p>
            <w:pPr>
              <w:pStyle w:val="TableContents"/>
              <w:spacing w:before="0" w:after="0"/>
              <w:ind w:left="0" w:right="0" w:hanging="0"/>
              <w:jc w:val="left"/>
              <w:rPr>
                <w:rFonts w:ascii="Times New Roman" w:hAnsi="Times New Roman"/>
                <w:color w:val="000000"/>
                <w:sz w:val="20"/>
                <w:u w:val="single"/>
              </w:rPr>
            </w:pPr>
            <w:r>
              <w:rPr>
                <w:rFonts w:ascii="Times New Roman" w:hAnsi="Times New Roman"/>
                <w:color w:val="000000"/>
                <w:sz w:val="20"/>
                <w:u w:val="single"/>
              </w:rPr>
              <w:t>/s/  Mary L. Rotunno</w:t>
            </w:r>
          </w:p>
          <w:p>
            <w:pPr>
              <w:pStyle w:val="TableContents"/>
              <w:spacing w:before="0" w:after="0"/>
              <w:ind w:left="0" w:right="0" w:hanging="0"/>
              <w:jc w:val="left"/>
              <w:rPr>
                <w:rFonts w:ascii="Times New Roman" w:hAnsi="Times New Roman"/>
                <w:sz w:val="20"/>
              </w:rPr>
            </w:pPr>
            <w:r>
              <w:rPr>
                <w:rFonts w:ascii="Times New Roman" w:hAnsi="Times New Roman"/>
                <w:sz w:val="20"/>
              </w:rPr>
              <w:t>Mary L. Rotunno, JD</w:t>
            </w:r>
          </w:p>
        </w:tc>
        <w:tc>
          <w:tcPr>
            <w:tcW w:w="120" w:type="dxa"/>
            <w:tcBorders/>
            <w:shd w:fill="auto" w:val="clear"/>
            <w:vAlign w:val="center"/>
          </w:tcPr>
          <w:p>
            <w:pPr>
              <w:pStyle w:val="TableContents"/>
              <w:spacing w:before="0" w:after="0"/>
              <w:ind w:left="0" w:right="0" w:hanging="0"/>
              <w:jc w:val="left"/>
              <w:rPr>
                <w:color w:val="000000"/>
              </w:rPr>
            </w:pPr>
            <w:r>
              <w:rPr>
                <w:color w:val="000000"/>
              </w:rPr>
              <w:t>  </w:t>
            </w:r>
          </w:p>
        </w:tc>
        <w:tc>
          <w:tcPr>
            <w:tcW w:w="37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Director</w:t>
            </w:r>
          </w:p>
        </w:tc>
        <w:tc>
          <w:tcPr>
            <w:tcW w:w="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September 24, 2021</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 w:name="pgbrk5"/>
      <w:bookmarkStart w:id="31" w:name="pgbrk5"/>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2" w:name="ftr4"/>
      <w:bookmarkEnd w:id="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 w:name="pn2"/>
      <w:bookmarkEnd w:id="33"/>
      <w:r>
        <w:rPr>
          <w:rFonts w:ascii="Times New Roman" w:hAnsi="Times New Roman"/>
          <w:sz w:val="20"/>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4" w:name="pb4"/>
      <w:bookmarkStart w:id="35" w:name="pb4"/>
      <w:bookmarkEnd w:id="35"/>
    </w:p>
    <w:p>
      <w:pPr>
        <w:pStyle w:val="TextBody"/>
        <w:ind w:left="0" w:right="0" w:hanging="0"/>
        <w:rPr/>
      </w:pPr>
      <w:r>
        <w:rPr/>
      </w:r>
      <w:bookmarkStart w:id="36" w:name="pgbrk6"/>
      <w:bookmarkStart w:id="37" w:name="pgbrk6"/>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8" w:name="hdr5"/>
      <w:bookmarkEnd w:id="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sz w:val="20"/>
        </w:rPr>
      </w:pPr>
      <w:r>
        <w:rPr>
          <w:rFonts w:ascii="Times New Roman" w:hAnsi="Times New Roman"/>
          <w:sz w:val="20"/>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5.1</w:t>
      </w:r>
    </w:p>
    <w:p>
      <w:pPr>
        <w:pStyle w:val="TextBody"/>
        <w:spacing w:before="0" w:after="0"/>
        <w:ind w:left="0" w:right="0" w:hanging="0"/>
        <w:jc w:val="left"/>
        <w:rPr/>
      </w:pPr>
      <w:r>
        <w:rPr/>
        <w:t> </w:t>
      </w:r>
    </w:p>
    <w:p>
      <w:pPr>
        <w:pStyle w:val="TextBody"/>
        <w:spacing w:before="0" w:after="0"/>
        <w:ind w:left="0" w:right="0" w:hanging="0"/>
        <w:jc w:val="center"/>
        <w:rPr/>
      </w:pPr>
      <w:r>
        <w:rPr/>
        <w:drawing>
          <wp:inline distT="0" distB="0" distL="0" distR="0">
            <wp:extent cx="1857375" cy="1504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857375" cy="150495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September 24, 2021</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VistaGen Therapeutics, Inc.</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343 Allerton Avenue</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South San Francisco, CA 94090</w:t>
      </w:r>
    </w:p>
    <w:p>
      <w:pPr>
        <w:pStyle w:val="TextBody"/>
        <w:spacing w:before="0" w:after="0"/>
        <w:ind w:left="0" w:right="0" w:firstLine="720"/>
        <w:jc w:val="left"/>
        <w:rPr>
          <w:color w:val="000000"/>
        </w:rPr>
      </w:pPr>
      <w:r>
        <w:rPr>
          <w:color w:val="000000"/>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Ladies and Gentlemen:</w:t>
      </w:r>
    </w:p>
    <w:p>
      <w:pPr>
        <w:pStyle w:val="TextBody"/>
        <w:spacing w:before="0" w:after="0"/>
        <w:ind w:left="0" w:right="0" w:firstLine="720"/>
        <w:jc w:val="left"/>
        <w:rPr>
          <w:color w:val="000000"/>
        </w:rPr>
      </w:pPr>
      <w:r>
        <w:rPr>
          <w:color w:val="000000"/>
        </w:rPr>
        <w:t> </w:t>
      </w:r>
    </w:p>
    <w:p>
      <w:pPr>
        <w:pStyle w:val="TextBody"/>
        <w:spacing w:before="0" w:after="0"/>
        <w:ind w:left="0" w:right="0" w:firstLine="720"/>
        <w:jc w:val="both"/>
        <w:rPr>
          <w:rFonts w:ascii="Times New Roman" w:hAnsi="Times New Roman"/>
          <w:sz w:val="20"/>
        </w:rPr>
      </w:pPr>
      <w:r>
        <w:rPr>
          <w:rFonts w:ascii="Times New Roman" w:hAnsi="Times New Roman"/>
          <w:color w:val="000000"/>
          <w:sz w:val="20"/>
        </w:rPr>
        <w:t>We have acted as counsel to VistaGen Therapeutics, Inc., a Nevada corporation (the “</w:t>
      </w:r>
      <w:r>
        <w:rPr>
          <w:rFonts w:ascii="Times New Roman" w:hAnsi="Times New Roman"/>
          <w:i/>
          <w:color w:val="000000"/>
          <w:sz w:val="20"/>
        </w:rPr>
        <w:t>Company</w:t>
      </w:r>
      <w:r>
        <w:rPr>
          <w:rFonts w:ascii="Times New Roman" w:hAnsi="Times New Roman"/>
          <w:color w:val="000000"/>
          <w:sz w:val="20"/>
        </w:rPr>
        <w:t>”), in connection with the preparation of a Registration Statement on Form S-8 (the “</w:t>
      </w:r>
      <w:r>
        <w:rPr>
          <w:rFonts w:ascii="Times New Roman" w:hAnsi="Times New Roman"/>
          <w:i/>
          <w:color w:val="000000"/>
          <w:sz w:val="20"/>
        </w:rPr>
        <w:t>Registration Statement</w:t>
      </w:r>
      <w:r>
        <w:rPr>
          <w:rFonts w:ascii="Times New Roman" w:hAnsi="Times New Roman"/>
          <w:color w:val="000000"/>
          <w:sz w:val="20"/>
        </w:rPr>
        <w:t>”) under the Securities Act of 1933, as amended (the “</w:t>
      </w:r>
      <w:r>
        <w:rPr>
          <w:rFonts w:ascii="Times New Roman" w:hAnsi="Times New Roman"/>
          <w:i/>
          <w:color w:val="000000"/>
          <w:sz w:val="20"/>
        </w:rPr>
        <w:t>Act</w:t>
      </w:r>
      <w:r>
        <w:rPr>
          <w:rFonts w:ascii="Times New Roman" w:hAnsi="Times New Roman"/>
          <w:color w:val="000000"/>
          <w:sz w:val="20"/>
        </w:rPr>
        <w:t>”). The Registration Statement relates to the registration of a total of 10,500,000 shares (the “</w:t>
      </w:r>
      <w:r>
        <w:rPr>
          <w:rFonts w:ascii="Times New Roman" w:hAnsi="Times New Roman"/>
          <w:i/>
          <w:color w:val="000000"/>
          <w:sz w:val="20"/>
        </w:rPr>
        <w:t>Plan Shares</w:t>
      </w:r>
      <w:r>
        <w:rPr>
          <w:rFonts w:ascii="Times New Roman" w:hAnsi="Times New Roman"/>
          <w:color w:val="000000"/>
          <w:sz w:val="20"/>
        </w:rPr>
        <w:t>”) of the Company’s common stock, par value $0.001, issuable under the VistaGen Therapeutics, Inc., Amended and Restated 2019 Omnibus Equity Incentive Plan (the “</w:t>
      </w:r>
      <w:r>
        <w:rPr>
          <w:rFonts w:ascii="Times New Roman" w:hAnsi="Times New Roman"/>
          <w:i/>
          <w:color w:val="000000"/>
          <w:sz w:val="20"/>
        </w:rPr>
        <w:t>Plan</w:t>
      </w:r>
      <w:r>
        <w:rPr>
          <w:rFonts w:ascii="Times New Roman" w:hAnsi="Times New Roman"/>
          <w:color w:val="000000"/>
          <w:sz w:val="20"/>
        </w:rPr>
        <w:t>”).</w:t>
      </w:r>
    </w:p>
    <w:p>
      <w:pPr>
        <w:pStyle w:val="TextBody"/>
        <w:spacing w:before="0" w:after="0"/>
        <w:ind w:left="0" w:right="0" w:hanging="0"/>
        <w:jc w:val="both"/>
        <w:rPr>
          <w:color w:val="000000"/>
        </w:rPr>
      </w:pPr>
      <w:r>
        <w:rPr>
          <w:color w:val="000000"/>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In connection with this opinion letter, we have examined and relied upon the Registration Statement, the Company’s Restated and Amended Articles of Incorporation and Amended and Restated Bylaws, as currently in effect, and the originals or copies certified to our satisfaction of such records, documents, certificates, memoranda and other instruments as we have deemed relevant in connection with this opinion. We have assumed the genuineness and authenticity of all documents submitted to us as originals, the conformity to originals of all documents submitted to us as copies, and the accuracy, completeness and authenticity of certificates of public officials.</w:t>
      </w:r>
    </w:p>
    <w:p>
      <w:pPr>
        <w:pStyle w:val="TextBody"/>
        <w:spacing w:before="0" w:after="0"/>
        <w:ind w:left="0" w:right="0" w:hanging="0"/>
        <w:jc w:val="both"/>
        <w:rPr>
          <w:color w:val="000000"/>
        </w:rPr>
      </w:pPr>
      <w:r>
        <w:rPr>
          <w:color w:val="000000"/>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The opinions set forth in this letter are limited to the Nevada Revised Statutes and the law of the State of California, in each case as in effect on the date hereof. We are not rendering any opinion as to compliance with any federal or state antifraud law, rule or regulation relating to securities or to the sale or issuance thereof. On the basis of the foregoing, and in reliance thereon, and subject to the qualifications herein stated, we are of the opinion that the Plan Shares have been duly authorized by all necessary corporate action on the part of the Company, and when and to the extent issued in accordance with the terms of the Plan and, with respect to the Plan Shares, when and to the extent issued in accordance with the terms of any award agreement entered into under the Plan, the Plan Shares will be validly issued, fully paid and nonassessable.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pStyle w:val="TextBody"/>
        <w:spacing w:before="0" w:after="0"/>
        <w:ind w:left="0" w:right="0" w:hanging="0"/>
        <w:jc w:val="both"/>
        <w:rPr>
          <w:color w:val="000000"/>
        </w:rPr>
      </w:pPr>
      <w:r>
        <w:rPr>
          <w:color w:val="000000"/>
        </w:rPr>
        <w:t> </w:t>
      </w:r>
    </w:p>
    <w:p>
      <w:pPr>
        <w:pStyle w:val="TextBody"/>
        <w:spacing w:before="0" w:after="0"/>
        <w:ind w:left="0" w:right="0" w:firstLine="2160"/>
        <w:jc w:val="both"/>
        <w:rPr>
          <w:rFonts w:ascii="Times New Roman" w:hAnsi="Times New Roman"/>
          <w:color w:val="000000"/>
          <w:sz w:val="20"/>
        </w:rPr>
      </w:pPr>
      <w:r>
        <w:rPr>
          <w:rFonts w:ascii="Times New Roman" w:hAnsi="Times New Roman"/>
          <w:color w:val="000000"/>
          <w:sz w:val="20"/>
        </w:rPr>
        <w:t>Very truly yours,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color w:val="000000"/>
        </w:rPr>
      </w:pPr>
      <w:r>
        <w:rPr>
          <w:color w:val="000000"/>
        </w:rPr>
        <w:t> </w:t>
      </w:r>
    </w:p>
    <w:p>
      <w:pPr>
        <w:pStyle w:val="TextBody"/>
        <w:spacing w:before="0" w:after="0"/>
        <w:ind w:left="0" w:right="0" w:firstLine="2160"/>
        <w:jc w:val="both"/>
        <w:rPr>
          <w:rFonts w:ascii="Times New Roman" w:hAnsi="Times New Roman"/>
          <w:color w:val="000000"/>
          <w:sz w:val="20"/>
          <w:u w:val="single"/>
        </w:rPr>
      </w:pPr>
      <w:r>
        <w:rPr>
          <w:rFonts w:ascii="Times New Roman" w:hAnsi="Times New Roman"/>
          <w:color w:val="000000"/>
          <w:sz w:val="20"/>
          <w:u w:val="single"/>
        </w:rPr>
        <w:t>/s/ Disclosure Law Group</w:t>
      </w:r>
    </w:p>
    <w:p>
      <w:pPr>
        <w:pStyle w:val="TextBody"/>
        <w:spacing w:before="0" w:after="0"/>
        <w:ind w:left="0" w:right="0" w:firstLine="2160"/>
        <w:jc w:val="both"/>
        <w:rPr>
          <w:rFonts w:ascii="Times New Roman" w:hAnsi="Times New Roman"/>
          <w:color w:val="000000"/>
          <w:sz w:val="20"/>
        </w:rPr>
      </w:pPr>
      <w:r>
        <w:rPr>
          <w:rFonts w:ascii="Times New Roman" w:hAnsi="Times New Roman"/>
          <w:color w:val="000000"/>
          <w:sz w:val="20"/>
        </w:rPr>
        <w:t>Disclosure Law Group, a Professional Corporation</w:t>
      </w:r>
    </w:p>
    <w:p>
      <w:pPr>
        <w:pStyle w:val="TextBody"/>
        <w:spacing w:before="0" w:after="0"/>
        <w:rPr/>
      </w:pPr>
      <w:r>
        <w:rPr/>
        <w:t> </w:t>
      </w:r>
    </w:p>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 w:name="pgbrk7"/>
      <w:bookmarkStart w:id="40" w:name="pgbrk7"/>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1" w:name="ftr5"/>
      <w:bookmarkEnd w:id="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2" w:name="pb5"/>
      <w:bookmarkStart w:id="43" w:name="pb5"/>
      <w:bookmarkEnd w:id="43"/>
    </w:p>
    <w:p>
      <w:pPr>
        <w:pStyle w:val="TextBody"/>
        <w:ind w:left="0" w:right="0" w:hanging="0"/>
        <w:rPr/>
      </w:pPr>
      <w:r>
        <w:rPr/>
      </w:r>
      <w:bookmarkStart w:id="44" w:name="pgbrk8"/>
      <w:bookmarkStart w:id="45" w:name="pgbrk8"/>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6" w:name="hdr6"/>
      <w:bookmarkEnd w:id="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20"/>
        </w:rPr>
      </w:pPr>
      <w:r>
        <w:rPr>
          <w:rFonts w:ascii="Times New Roman" w:hAnsi="Times New Roman"/>
          <w:b/>
          <w:sz w:val="20"/>
        </w:rPr>
        <w:t>Exhibit 23.1</w:t>
      </w: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center"/>
        <w:rPr>
          <w:rFonts w:ascii="Times New Roman" w:hAnsi="Times New Roman"/>
          <w:b/>
          <w:color w:val="000000"/>
          <w:sz w:val="20"/>
          <w:u w:val="single"/>
        </w:rPr>
      </w:pPr>
      <w:r>
        <w:rPr>
          <w:rFonts w:ascii="Times New Roman" w:hAnsi="Times New Roman"/>
          <w:b/>
          <w:color w:val="000000"/>
          <w:sz w:val="20"/>
          <w:u w:val="single"/>
        </w:rPr>
        <w:t>CONSENT OF INDEPENDENT REGISTERED PUBLIC ACCOUNTING FIRM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hereby consent to the incorporation by reference in this Registration Statement </w:t>
      </w:r>
      <w:r>
        <w:rPr>
          <w:rFonts w:ascii="Times New Roman" w:hAnsi="Times New Roman"/>
          <w:color w:val="000000"/>
          <w:sz w:val="20"/>
        </w:rPr>
        <w:t>on Form S-8</w:t>
      </w:r>
      <w:r>
        <w:rPr>
          <w:rFonts w:ascii="Times New Roman" w:hAnsi="Times New Roman"/>
          <w:sz w:val="20"/>
        </w:rPr>
        <w:t xml:space="preserve"> of VistaGen Therapeutics, Inc.</w:t>
      </w:r>
      <w:r>
        <w:rPr>
          <w:rFonts w:ascii="Times New Roman" w:hAnsi="Times New Roman"/>
          <w:color w:val="000000"/>
          <w:sz w:val="20"/>
        </w:rPr>
        <w:t>, pertaining to the</w:t>
      </w:r>
      <w:r>
        <w:rPr>
          <w:rFonts w:ascii="Times New Roman" w:hAnsi="Times New Roman"/>
          <w:sz w:val="20"/>
        </w:rPr>
        <w:t xml:space="preserve"> VistaGen Therapeutics, Inc. Amended and Restated 2019 Omnibus Equity Incentive Plan of our report dated June 29, 2021, relating to the consolidated financial statements </w:t>
      </w:r>
      <w:r>
        <w:rPr>
          <w:rFonts w:ascii="Times New Roman" w:hAnsi="Times New Roman"/>
          <w:color w:val="000000"/>
          <w:sz w:val="20"/>
        </w:rPr>
        <w:t>of VistaGen Therapeutics, Inc. appearing</w:t>
      </w:r>
      <w:r>
        <w:rPr>
          <w:rFonts w:ascii="Times New Roman" w:hAnsi="Times New Roman"/>
          <w:sz w:val="20"/>
        </w:rPr>
        <w:t xml:space="preserve"> in </w:t>
      </w:r>
      <w:r>
        <w:rPr>
          <w:rFonts w:ascii="Times New Roman" w:hAnsi="Times New Roman"/>
          <w:color w:val="000000"/>
          <w:sz w:val="20"/>
        </w:rPr>
        <w:t>the Company’s</w:t>
      </w:r>
      <w:r>
        <w:rPr>
          <w:rFonts w:ascii="Times New Roman" w:hAnsi="Times New Roman"/>
          <w:sz w:val="20"/>
        </w:rPr>
        <w:t xml:space="preserve"> Annual Report on Form 10-K for the fiscal year ended March 31, 2021.</w:t>
      </w:r>
    </w:p>
    <w:p>
      <w:pPr>
        <w:pStyle w:val="TextBody"/>
        <w:spacing w:before="0" w:after="0"/>
        <w:rPr/>
      </w:pPr>
      <w:r>
        <w:rPr/>
        <w:t> </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/s/ OUM &amp; CO.</w:t>
      </w:r>
      <w:r>
        <w:rPr>
          <w:rFonts w:ascii="Times New Roman" w:hAnsi="Times New Roman"/>
          <w:sz w:val="20"/>
        </w:rPr>
        <w:t xml:space="preserve"> LLP</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San Francisco, California</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September 24, 2021</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 w:name="pgbrk9"/>
      <w:bookmarkStart w:id="48" w:name="pgbrk9"/>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9" w:name="ftr6"/>
      <w:bookmarkEnd w:id="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0" w:name="pb6"/>
      <w:bookmarkStart w:id="51" w:name="pb6"/>
      <w:bookmarkEnd w:id="51"/>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11685/000165495421007380/0001654954-21-007380-index.htm" TargetMode="External"/><Relationship Id="rId3" Type="http://schemas.openxmlformats.org/officeDocument/2006/relationships/hyperlink" Target="http://www.sec.gov/Archives/edgar/data/1411685/000165495421008845/0001654954-21-008845-index.htm" TargetMode="External"/><Relationship Id="rId4" Type="http://schemas.openxmlformats.org/officeDocument/2006/relationships/hyperlink" Target="http://www.sec.gov/Archives/edgar/data/1411685/000165495421004643/vtgn8k.htm" TargetMode="External"/><Relationship Id="rId5" Type="http://schemas.openxmlformats.org/officeDocument/2006/relationships/hyperlink" Target="http://www.sec.gov/Archives/edgar/data/1411685/000165495421004680/vtgn8k_apr232021.htm" TargetMode="External"/><Relationship Id="rId6" Type="http://schemas.openxmlformats.org/officeDocument/2006/relationships/hyperlink" Target="http://www.sec.gov/Archives/edgar/data/1411685/000165495421005102/vtgn8k_05012021.htm" TargetMode="External"/><Relationship Id="rId7" Type="http://schemas.openxmlformats.org/officeDocument/2006/relationships/hyperlink" Target="http://www.sec.gov/Archives/edgar/data/1411685/000165495421005701/vtgn8k_may2021.htm" TargetMode="External"/><Relationship Id="rId8" Type="http://schemas.openxmlformats.org/officeDocument/2006/relationships/hyperlink" Target="http://www.sec.gov/Archives/edgar/data/1411685/000165495421006329/vtgn8k_05262021.htm" TargetMode="External"/><Relationship Id="rId9" Type="http://schemas.openxmlformats.org/officeDocument/2006/relationships/hyperlink" Target="http://www.sec.gov/Archives/edgar/data/1411685/000165495421006979/vtgn8k_062021.htm" TargetMode="External"/><Relationship Id="rId10" Type="http://schemas.openxmlformats.org/officeDocument/2006/relationships/hyperlink" Target="http://www.sec.gov/Archives/edgar/data/1411685/000165495421007757/vtgn8k_07062021.htm" TargetMode="External"/><Relationship Id="rId11" Type="http://schemas.openxmlformats.org/officeDocument/2006/relationships/hyperlink" Target="http://www.sec.gov/Archives/edgar/data/1411685/000165495421008103/vtgn8k_july2021.htm" TargetMode="External"/><Relationship Id="rId12" Type="http://schemas.openxmlformats.org/officeDocument/2006/relationships/hyperlink" Target="http://www.sec.gov/Archives/edgar/data/1411685/000165495421008125/vtgn8k_july212021.htm" TargetMode="External"/><Relationship Id="rId13" Type="http://schemas.openxmlformats.org/officeDocument/2006/relationships/hyperlink" Target="http://www.sec.gov/Archives/edgar/data/1411685/000165495421009957/0001654954-21-009957-index.htm" TargetMode="External"/><Relationship Id="rId14" Type="http://schemas.openxmlformats.org/officeDocument/2006/relationships/hyperlink" Target="http://www.sec.gov/Archives/edgar/data/1411685/000165495421010193/0001654954-21-010193-index.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3188</Words>
  <CharactersWithSpaces>20649</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