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 filed with the Securities and Exchange Commission on December 7, 2017</w:t>
      </w:r>
    </w:p>
    <w:p>
      <w:pPr>
        <w:spacing w:after="0" w:line="248" w:lineRule="exact"/>
        <w:rPr>
          <w:sz w:val="24"/>
          <w:szCs w:val="24"/>
          <w:color w:val="auto"/>
        </w:rPr>
      </w:pPr>
    </w:p>
    <w:p>
      <w:pPr>
        <w:ind w:left="9300"/>
        <w:spacing w:after="0"/>
        <w:rPr>
          <w:sz w:val="20"/>
          <w:szCs w:val="20"/>
          <w:color w:val="auto"/>
        </w:rPr>
      </w:pPr>
      <w:r>
        <w:rPr>
          <w:rFonts w:ascii="Times New Roman" w:cs="Times New Roman" w:eastAsia="Times New Roman" w:hAnsi="Times New Roman"/>
          <w:sz w:val="16"/>
          <w:szCs w:val="16"/>
          <w:b w:val="1"/>
          <w:bCs w:val="1"/>
          <w:color w:val="auto"/>
        </w:rPr>
        <w:t>Registration No. 333-221009</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420"/>
          </w:cols>
          <w:pgMar w:left="240" w:top="920" w:right="239" w:bottom="1440" w:gutter="0" w:footer="0" w:header="0"/>
        </w:sectPr>
      </w:pPr>
    </w:p>
    <w:p>
      <w:pPr>
        <w:spacing w:after="0" w:line="211"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3"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3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3841</w:t>
      </w:r>
    </w:p>
    <w:p>
      <w:pPr>
        <w:spacing w:after="0" w:line="23"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6"/>
          <w:szCs w:val="16"/>
          <w:color w:val="auto"/>
        </w:rPr>
        <w:t>(Primary Standard Industrial</w:t>
      </w:r>
    </w:p>
    <w:p>
      <w:pPr>
        <w:spacing w:after="0" w:line="32"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6"/>
          <w:szCs w:val="16"/>
          <w:color w:val="auto"/>
        </w:rPr>
        <w:t>Classification Code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23"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6"/>
          <w:szCs w:val="16"/>
          <w:color w:val="auto"/>
        </w:rPr>
        <w:t>Identification Number)</w:t>
      </w:r>
    </w:p>
    <w:p>
      <w:pPr>
        <w:spacing w:after="0" w:line="200" w:lineRule="exact"/>
        <w:rPr>
          <w:sz w:val="24"/>
          <w:szCs w:val="24"/>
          <w:color w:val="auto"/>
        </w:rPr>
      </w:pPr>
    </w:p>
    <w:p>
      <w:pPr>
        <w:sectPr>
          <w:pgSz w:w="11900" w:h="16838" w:orient="portrait"/>
          <w:cols w:equalWidth="0" w:num="3">
            <w:col w:w="4020" w:space="720"/>
            <w:col w:w="3660" w:space="720"/>
            <w:col w:w="2300"/>
          </w:cols>
          <w:pgMar w:left="240" w:top="920" w:right="239" w:bottom="1440" w:gutter="0" w:footer="0" w:header="0"/>
          <w:type w:val="continuous"/>
        </w:sectPr>
      </w:pP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Shawn K. Singh</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11" w:lineRule="exact"/>
        <w:rPr>
          <w:sz w:val="24"/>
          <w:szCs w:val="24"/>
          <w:color w:val="auto"/>
        </w:rPr>
      </w:pPr>
    </w:p>
    <w:tbl>
      <w:tblPr>
        <w:tblLayout w:type="fixed"/>
        <w:tblInd w:w="150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p>
        </w:tc>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Copies of all communications to:</w:t>
            </w:r>
          </w:p>
        </w:tc>
      </w:tr>
      <w:tr>
        <w:trPr>
          <w:trHeight w:val="418"/>
        </w:trPr>
        <w:tc>
          <w:tcPr>
            <w:tcW w:w="2660" w:type="dxa"/>
            <w:vAlign w:val="bottom"/>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5"/>
              </w:rPr>
              <w:t>Daniel W. Rumsey, Esq.</w:t>
            </w:r>
          </w:p>
        </w:tc>
        <w:tc>
          <w:tcPr>
            <w:tcW w:w="5260" w:type="dxa"/>
            <w:vAlign w:val="bottom"/>
          </w:tcPr>
          <w:p>
            <w:pPr>
              <w:spacing w:after="0"/>
              <w:rPr>
                <w:sz w:val="24"/>
                <w:szCs w:val="24"/>
                <w:color w:val="auto"/>
              </w:rPr>
            </w:pPr>
          </w:p>
        </w:tc>
      </w:tr>
      <w:tr>
        <w:trPr>
          <w:trHeight w:val="216"/>
        </w:trPr>
        <w:tc>
          <w:tcPr>
            <w:tcW w:w="2660" w:type="dxa"/>
            <w:vAlign w:val="bottom"/>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7"/>
              </w:rPr>
              <w:t>Jessica R. Sudweeks, Esq.</w:t>
            </w:r>
          </w:p>
        </w:tc>
        <w:tc>
          <w:tcPr>
            <w:tcW w:w="5260" w:type="dxa"/>
            <w:vAlign w:val="bottom"/>
          </w:tcPr>
          <w:p>
            <w:pPr>
              <w:jc w:val="center"/>
              <w:ind w:left="3012"/>
              <w:spacing w:after="0"/>
              <w:rPr>
                <w:sz w:val="20"/>
                <w:szCs w:val="20"/>
                <w:color w:val="auto"/>
              </w:rPr>
            </w:pPr>
            <w:r>
              <w:rPr>
                <w:rFonts w:ascii="Times New Roman" w:cs="Times New Roman" w:eastAsia="Times New Roman" w:hAnsi="Times New Roman"/>
                <w:sz w:val="18"/>
                <w:szCs w:val="18"/>
                <w:b w:val="1"/>
                <w:bCs w:val="1"/>
                <w:color w:val="auto"/>
                <w:w w:val="98"/>
              </w:rPr>
              <w:t>John D. Hogoboom, Esq.</w:t>
            </w:r>
          </w:p>
        </w:tc>
      </w:tr>
      <w:tr>
        <w:trPr>
          <w:trHeight w:val="216"/>
        </w:trPr>
        <w:tc>
          <w:tcPr>
            <w:tcW w:w="2660" w:type="dxa"/>
            <w:vAlign w:val="bottom"/>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7"/>
              </w:rPr>
              <w:t>Disclosure Law Group,</w:t>
            </w:r>
          </w:p>
        </w:tc>
        <w:tc>
          <w:tcPr>
            <w:tcW w:w="5260" w:type="dxa"/>
            <w:vAlign w:val="bottom"/>
          </w:tcPr>
          <w:p>
            <w:pPr>
              <w:jc w:val="center"/>
              <w:ind w:left="3032"/>
              <w:spacing w:after="0"/>
              <w:rPr>
                <w:sz w:val="20"/>
                <w:szCs w:val="20"/>
                <w:color w:val="auto"/>
              </w:rPr>
            </w:pPr>
            <w:r>
              <w:rPr>
                <w:rFonts w:ascii="Times New Roman" w:cs="Times New Roman" w:eastAsia="Times New Roman" w:hAnsi="Times New Roman"/>
                <w:sz w:val="18"/>
                <w:szCs w:val="18"/>
                <w:b w:val="1"/>
                <w:bCs w:val="1"/>
                <w:color w:val="auto"/>
                <w:w w:val="96"/>
              </w:rPr>
              <w:t>Lowenstein Sandler, LLP</w:t>
            </w:r>
          </w:p>
        </w:tc>
      </w:tr>
      <w:tr>
        <w:trPr>
          <w:trHeight w:val="216"/>
        </w:trPr>
        <w:tc>
          <w:tcPr>
            <w:tcW w:w="2660" w:type="dxa"/>
            <w:vAlign w:val="bottom"/>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7"/>
              </w:rPr>
              <w:t>a Professional Corporation</w:t>
            </w:r>
          </w:p>
        </w:tc>
        <w:tc>
          <w:tcPr>
            <w:tcW w:w="5260" w:type="dxa"/>
            <w:vAlign w:val="bottom"/>
          </w:tcPr>
          <w:p>
            <w:pPr>
              <w:jc w:val="center"/>
              <w:ind w:left="3012"/>
              <w:spacing w:after="0"/>
              <w:rPr>
                <w:sz w:val="20"/>
                <w:szCs w:val="20"/>
                <w:color w:val="auto"/>
              </w:rPr>
            </w:pPr>
            <w:r>
              <w:rPr>
                <w:rFonts w:ascii="Times New Roman" w:cs="Times New Roman" w:eastAsia="Times New Roman" w:hAnsi="Times New Roman"/>
                <w:sz w:val="18"/>
                <w:szCs w:val="18"/>
                <w:b w:val="1"/>
                <w:bCs w:val="1"/>
                <w:color w:val="auto"/>
                <w:w w:val="96"/>
              </w:rPr>
              <w:t>1251 Avenue of the Americas</w:t>
            </w:r>
          </w:p>
        </w:tc>
      </w:tr>
      <w:tr>
        <w:trPr>
          <w:trHeight w:val="216"/>
        </w:trPr>
        <w:tc>
          <w:tcPr>
            <w:tcW w:w="2660" w:type="dxa"/>
            <w:vAlign w:val="bottom"/>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6"/>
              </w:rPr>
              <w:t>600 West Broadway, Suite 700</w:t>
            </w:r>
          </w:p>
        </w:tc>
        <w:tc>
          <w:tcPr>
            <w:tcW w:w="5260" w:type="dxa"/>
            <w:vAlign w:val="bottom"/>
          </w:tcPr>
          <w:p>
            <w:pPr>
              <w:jc w:val="center"/>
              <w:ind w:left="3012"/>
              <w:spacing w:after="0"/>
              <w:rPr>
                <w:sz w:val="20"/>
                <w:szCs w:val="20"/>
                <w:color w:val="auto"/>
              </w:rPr>
            </w:pPr>
            <w:r>
              <w:rPr>
                <w:rFonts w:ascii="Times New Roman" w:cs="Times New Roman" w:eastAsia="Times New Roman" w:hAnsi="Times New Roman"/>
                <w:sz w:val="18"/>
                <w:szCs w:val="18"/>
                <w:b w:val="1"/>
                <w:bCs w:val="1"/>
                <w:color w:val="auto"/>
                <w:w w:val="95"/>
              </w:rPr>
              <w:t>New York, NY 10020</w:t>
            </w:r>
          </w:p>
        </w:tc>
      </w:tr>
      <w:tr>
        <w:trPr>
          <w:trHeight w:val="216"/>
        </w:trPr>
        <w:tc>
          <w:tcPr>
            <w:tcW w:w="2660" w:type="dxa"/>
            <w:vAlign w:val="bottom"/>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7"/>
              </w:rPr>
              <w:t>San Diego, California 92101</w:t>
            </w:r>
          </w:p>
        </w:tc>
        <w:tc>
          <w:tcPr>
            <w:tcW w:w="5260" w:type="dxa"/>
            <w:vAlign w:val="bottom"/>
          </w:tcPr>
          <w:p>
            <w:pPr>
              <w:jc w:val="center"/>
              <w:ind w:left="3012"/>
              <w:spacing w:after="0"/>
              <w:rPr>
                <w:sz w:val="20"/>
                <w:szCs w:val="20"/>
                <w:color w:val="auto"/>
              </w:rPr>
            </w:pPr>
            <w:r>
              <w:rPr>
                <w:rFonts w:ascii="Times New Roman" w:cs="Times New Roman" w:eastAsia="Times New Roman" w:hAnsi="Times New Roman"/>
                <w:sz w:val="18"/>
                <w:szCs w:val="18"/>
                <w:b w:val="1"/>
                <w:bCs w:val="1"/>
                <w:color w:val="auto"/>
                <w:w w:val="97"/>
              </w:rPr>
              <w:t>Tel: (212) 262-6700</w:t>
            </w:r>
          </w:p>
        </w:tc>
      </w:tr>
      <w:tr>
        <w:trPr>
          <w:trHeight w:val="216"/>
        </w:trPr>
        <w:tc>
          <w:tcPr>
            <w:tcW w:w="2660" w:type="dxa"/>
            <w:vAlign w:val="bottom"/>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5"/>
              </w:rPr>
              <w:t>Tel: (619) 795-1134</w:t>
            </w:r>
          </w:p>
        </w:tc>
        <w:tc>
          <w:tcPr>
            <w:tcW w:w="5260" w:type="dxa"/>
            <w:vAlign w:val="bottom"/>
          </w:tcPr>
          <w:p>
            <w:pPr>
              <w:jc w:val="center"/>
              <w:ind w:left="3012"/>
              <w:spacing w:after="0"/>
              <w:rPr>
                <w:sz w:val="20"/>
                <w:szCs w:val="20"/>
                <w:color w:val="auto"/>
              </w:rPr>
            </w:pPr>
            <w:r>
              <w:rPr>
                <w:rFonts w:ascii="Times New Roman" w:cs="Times New Roman" w:eastAsia="Times New Roman" w:hAnsi="Times New Roman"/>
                <w:sz w:val="18"/>
                <w:szCs w:val="18"/>
                <w:b w:val="1"/>
                <w:bCs w:val="1"/>
                <w:color w:val="auto"/>
                <w:w w:val="97"/>
              </w:rPr>
              <w:t>Fax: (212) 262-7402</w:t>
            </w:r>
          </w:p>
        </w:tc>
      </w:tr>
      <w:tr>
        <w:trPr>
          <w:trHeight w:val="230"/>
        </w:trPr>
        <w:tc>
          <w:tcPr>
            <w:tcW w:w="2660" w:type="dxa"/>
            <w:vAlign w:val="bottom"/>
          </w:tcPr>
          <w:p>
            <w:pPr>
              <w:jc w:val="center"/>
              <w:ind w:right="292"/>
              <w:spacing w:after="0"/>
              <w:rPr>
                <w:sz w:val="20"/>
                <w:szCs w:val="20"/>
                <w:color w:val="auto"/>
              </w:rPr>
            </w:pPr>
            <w:r>
              <w:rPr>
                <w:rFonts w:ascii="Times New Roman" w:cs="Times New Roman" w:eastAsia="Times New Roman" w:hAnsi="Times New Roman"/>
                <w:sz w:val="18"/>
                <w:szCs w:val="18"/>
                <w:b w:val="1"/>
                <w:bCs w:val="1"/>
                <w:color w:val="auto"/>
                <w:w w:val="97"/>
              </w:rPr>
              <w:t>Fax: (619) 330-2101</w:t>
            </w:r>
          </w:p>
        </w:tc>
        <w:tc>
          <w:tcPr>
            <w:tcW w:w="5260" w:type="dxa"/>
            <w:vAlign w:val="bottom"/>
          </w:tcPr>
          <w:p>
            <w:pPr>
              <w:spacing w:after="0"/>
              <w:rPr>
                <w:sz w:val="20"/>
                <w:szCs w:val="20"/>
                <w:color w:val="auto"/>
              </w:rPr>
            </w:pPr>
          </w:p>
        </w:tc>
      </w:tr>
    </w:tbl>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this registration statement becomes effective.</w:t>
      </w:r>
    </w:p>
    <w:p>
      <w:pPr>
        <w:spacing w:after="0" w:line="227" w:lineRule="exact"/>
        <w:rPr>
          <w:sz w:val="24"/>
          <w:szCs w:val="24"/>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If any of the securities being registered on this Form are to be offered on a delayed or continuous basis pursuant to Rule 415 under the Securities Act, check the following box.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694055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20" w:right="239" w:bottom="1440" w:gutter="0" w:footer="0" w:header="0"/>
          <w:type w:val="continuous"/>
        </w:sectPr>
      </w:pPr>
    </w:p>
    <w:bookmarkStart w:id="1" w:name="page2"/>
    <w:bookmarkEnd w:id="1"/>
    <w:p>
      <w:pPr>
        <w:ind w:right="120"/>
        <w:spacing w:after="0" w:line="275" w:lineRule="auto"/>
        <w:rPr>
          <w:sz w:val="20"/>
          <w:szCs w:val="20"/>
          <w:color w:val="auto"/>
        </w:rPr>
      </w:pPr>
      <w:r>
        <w:rPr>
          <w:rFonts w:ascii="Times New Roman" w:cs="Times New Roman" w:eastAsia="Times New Roman" w:hAnsi="Times New Roman"/>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74"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38"/>
              <w:spacing w:after="0"/>
              <w:rPr>
                <w:sz w:val="20"/>
                <w:szCs w:val="20"/>
                <w:color w:val="auto"/>
              </w:rPr>
            </w:pPr>
            <w:r>
              <w:rPr>
                <w:rFonts w:ascii="Times New Roman" w:cs="Times New Roman" w:eastAsia="Times New Roman" w:hAnsi="Times New Roman"/>
                <w:sz w:val="16"/>
                <w:szCs w:val="16"/>
                <w:color w:val="auto"/>
                <w:w w:val="74"/>
              </w:rPr>
              <w:t>]</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Accelerated filer</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38"/>
              <w:spacing w:after="0"/>
              <w:rPr>
                <w:sz w:val="20"/>
                <w:szCs w:val="20"/>
                <w:color w:val="auto"/>
              </w:rPr>
            </w:pPr>
            <w:r>
              <w:rPr>
                <w:rFonts w:ascii="Times New Roman" w:cs="Times New Roman" w:eastAsia="Times New Roman" w:hAnsi="Times New Roman"/>
                <w:sz w:val="16"/>
                <w:szCs w:val="16"/>
                <w:color w:val="auto"/>
                <w:w w:val="74"/>
              </w:rPr>
              <w:t>]</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87"/>
              </w:rPr>
              <w:t>[X]</w:t>
            </w:r>
          </w:p>
        </w:tc>
      </w:tr>
      <w:tr>
        <w:trPr>
          <w:trHeight w:val="22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(Do not check if a smaller reporting company)</w:t>
            </w:r>
          </w:p>
        </w:tc>
        <w:tc>
          <w:tcPr>
            <w:tcW w:w="1480" w:type="dxa"/>
            <w:vAlign w:val="bottom"/>
          </w:tcPr>
          <w:p>
            <w:pPr>
              <w:spacing w:after="0"/>
              <w:rPr>
                <w:sz w:val="19"/>
                <w:szCs w:val="19"/>
                <w:color w:val="auto"/>
              </w:rPr>
            </w:pP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4"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557"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0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ind w:right="56"/>
              <w:spacing w:after="0"/>
              <w:rPr>
                <w:sz w:val="20"/>
                <w:szCs w:val="20"/>
                <w:color w:val="auto"/>
              </w:rPr>
            </w:pPr>
            <w:r>
              <w:rPr>
                <w:rFonts w:ascii="Times New Roman" w:cs="Times New Roman" w:eastAsia="Times New Roman" w:hAnsi="Times New Roman"/>
                <w:sz w:val="18"/>
                <w:szCs w:val="18"/>
                <w:b w:val="1"/>
                <w:bCs w:val="1"/>
                <w:color w:val="auto"/>
                <w:w w:val="97"/>
              </w:rPr>
              <w:t>Proposed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36"/>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36"/>
              <w:spacing w:after="0"/>
              <w:rPr>
                <w:sz w:val="20"/>
                <w:szCs w:val="20"/>
                <w:color w:val="auto"/>
              </w:rPr>
            </w:pPr>
            <w:r>
              <w:rPr>
                <w:rFonts w:ascii="Times New Roman" w:cs="Times New Roman" w:eastAsia="Times New Roman" w:hAnsi="Times New Roman"/>
                <w:sz w:val="18"/>
                <w:szCs w:val="18"/>
                <w:b w:val="1"/>
                <w:bCs w:val="1"/>
                <w:color w:val="auto"/>
                <w:w w:val="95"/>
              </w:rPr>
              <w:t>aggregate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Amount of</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offering price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registration</w:t>
            </w:r>
          </w:p>
        </w:tc>
      </w:tr>
      <w:tr>
        <w:trPr>
          <w:trHeight w:val="239"/>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 of securities to be registered</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0"/>
              </w:rPr>
              <w:t>fee</w:t>
            </w:r>
          </w:p>
        </w:tc>
        <w:tc>
          <w:tcPr>
            <w:tcW w:w="160" w:type="dxa"/>
            <w:vAlign w:val="bottom"/>
            <w:gridSpan w:val="2"/>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Common stock, $0.001 par value </w:t>
            </w:r>
            <w:r>
              <w:rPr>
                <w:rFonts w:ascii="Times New Roman" w:cs="Times New Roman" w:eastAsia="Times New Roman" w:hAnsi="Times New Roman"/>
                <w:sz w:val="24"/>
                <w:szCs w:val="24"/>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1,867.50</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Warrants to purchase shares of common stock </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Shares of common stock issuable upon exercise of warrants </w:t>
            </w:r>
            <w:r>
              <w:rPr>
                <w:rFonts w:ascii="Times New Roman" w:cs="Times New Roman" w:eastAsia="Times New Roman" w:hAnsi="Times New Roman"/>
                <w:sz w:val="24"/>
                <w:szCs w:val="24"/>
                <w:color w:val="auto"/>
                <w:vertAlign w:val="superscript"/>
              </w:rPr>
              <w:t>(1)(2)(3)</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1,867.50</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8"/>
                <w:szCs w:val="18"/>
                <w:color w:val="auto"/>
              </w:rPr>
              <w:t>3,735.00</w:t>
            </w:r>
            <w:r>
              <w:rPr>
                <w:rFonts w:ascii="Times New Roman" w:cs="Times New Roman" w:eastAsia="Times New Roman" w:hAnsi="Times New Roman"/>
                <w:sz w:val="24"/>
                <w:szCs w:val="24"/>
                <w:color w:val="auto"/>
                <w:vertAlign w:val="subscript"/>
              </w:rPr>
              <w:t>(4)</w:t>
            </w:r>
          </w:p>
        </w:tc>
        <w:tc>
          <w:tcPr>
            <w:tcW w:w="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r>
    </w:tbl>
    <w:p>
      <w:pPr>
        <w:spacing w:after="0" w:line="202" w:lineRule="exact"/>
        <w:rPr>
          <w:sz w:val="20"/>
          <w:szCs w:val="20"/>
          <w:color w:val="auto"/>
        </w:rPr>
      </w:pPr>
    </w:p>
    <w:p>
      <w:pPr>
        <w:ind w:left="360" w:hanging="352"/>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457(o) under the Securities Act of 1933, as amended.</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required pursuant to Rule 457(g).</w:t>
      </w:r>
    </w:p>
    <w:p>
      <w:pPr>
        <w:spacing w:after="0" w:line="225" w:lineRule="exact"/>
        <w:rPr>
          <w:rFonts w:ascii="Times New Roman" w:cs="Times New Roman" w:eastAsia="Times New Roman" w:hAnsi="Times New Roman"/>
          <w:sz w:val="18"/>
          <w:szCs w:val="18"/>
          <w:color w:val="auto"/>
        </w:rPr>
      </w:pPr>
    </w:p>
    <w:p>
      <w:pPr>
        <w:ind w:left="360" w:right="200" w:hanging="352"/>
        <w:spacing w:after="0" w:line="275" w:lineRule="auto"/>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there is also being registered such indeterminable additional securities as may be issued to prevent dilution as a result of stock splits, stock dividends or similar transactions.</w:t>
      </w:r>
    </w:p>
    <w:p>
      <w:pPr>
        <w:spacing w:after="0" w:line="173"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$2,863.50 previously paid.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1" w:right="239" w:bottom="1440" w:gutter="0" w:footer="0" w:header="0"/>
        </w:sectPr>
      </w:pPr>
    </w:p>
    <w:bookmarkStart w:id="3" w:name="page4"/>
    <w:bookmarkEnd w:id="3"/>
    <w:p>
      <w:pPr>
        <w:ind w:left="120" w:right="240"/>
        <w:spacing w:after="0" w:line="264" w:lineRule="auto"/>
        <w:rPr>
          <w:sz w:val="20"/>
          <w:szCs w:val="20"/>
          <w:color w:val="auto"/>
        </w:rPr>
      </w:pPr>
      <w:r>
        <w:rPr>
          <w:rFonts w:ascii="Times New Roman" w:cs="Times New Roman" w:eastAsia="Times New Roman" w:hAnsi="Times New Roman"/>
          <w:sz w:val="18"/>
          <w:szCs w:val="18"/>
          <w:b w:val="1"/>
          <w:bCs w:val="1"/>
          <w:color w:val="FF0000"/>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7118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711835"/>
                    </a:xfrm>
                    <a:prstGeom prst="rect">
                      <a:avLst/>
                    </a:prstGeom>
                    <a:noFill/>
                  </pic:spPr>
                </pic:pic>
              </a:graphicData>
            </a:graphic>
          </wp:anchor>
        </w:drawing>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does it seek an offer to buy these securities in any jurisdiction where the offer or sale is not permitted.</w:t>
      </w:r>
    </w:p>
    <w:p>
      <w:pPr>
        <w:spacing w:after="0" w:line="200" w:lineRule="exact"/>
        <w:rPr>
          <w:sz w:val="20"/>
          <w:szCs w:val="20"/>
          <w:color w:val="auto"/>
        </w:rPr>
      </w:pPr>
    </w:p>
    <w:p>
      <w:pPr>
        <w:spacing w:after="0" w:line="224" w:lineRule="exact"/>
        <w:rPr>
          <w:sz w:val="20"/>
          <w:szCs w:val="20"/>
          <w:color w:val="auto"/>
        </w:rPr>
      </w:pPr>
    </w:p>
    <w:p>
      <w:pPr>
        <w:spacing w:after="0"/>
        <w:tabs>
          <w:tab w:leader="none" w:pos="4520" w:val="left"/>
          <w:tab w:leader="none" w:pos="9120" w:val="left"/>
          <w:tab w:leader="none" w:pos="10960" w:val="left"/>
        </w:tabs>
        <w:rPr>
          <w:sz w:val="20"/>
          <w:szCs w:val="20"/>
          <w:color w:val="auto"/>
        </w:rPr>
      </w:pPr>
      <w:r>
        <w:rPr>
          <w:rFonts w:ascii="Times New Roman" w:cs="Times New Roman" w:eastAsia="Times New Roman" w:hAnsi="Times New Roman"/>
          <w:sz w:val="18"/>
          <w:szCs w:val="18"/>
          <w:b w:val="1"/>
          <w:bCs w:val="1"/>
          <w:color w:val="FF0000"/>
        </w:rPr>
        <w:t>PRELIMINARY PROSPECTUS</w:t>
      </w:r>
      <w:r>
        <w:rPr>
          <w:sz w:val="20"/>
          <w:szCs w:val="20"/>
          <w:color w:val="auto"/>
        </w:rPr>
        <w:tab/>
      </w:r>
      <w:r>
        <w:rPr>
          <w:rFonts w:ascii="Times New Roman" w:cs="Times New Roman" w:eastAsia="Times New Roman" w:hAnsi="Times New Roman"/>
          <w:sz w:val="18"/>
          <w:szCs w:val="18"/>
          <w:b w:val="1"/>
          <w:bCs w:val="1"/>
          <w:color w:val="FF0000"/>
        </w:rPr>
        <w:t>SUBJECT TO COMPLETION</w:t>
      </w:r>
      <w:r>
        <w:rPr>
          <w:sz w:val="20"/>
          <w:szCs w:val="20"/>
          <w:color w:val="auto"/>
        </w:rPr>
        <w:tab/>
      </w:r>
      <w:r>
        <w:rPr>
          <w:rFonts w:ascii="Times New Roman" w:cs="Times New Roman" w:eastAsia="Times New Roman" w:hAnsi="Times New Roman"/>
          <w:sz w:val="18"/>
          <w:szCs w:val="18"/>
          <w:b w:val="1"/>
          <w:bCs w:val="1"/>
          <w:color w:val="FF0000"/>
        </w:rPr>
        <w:t>DATED DECEMBER</w:t>
      </w:r>
      <w:r>
        <w:rPr>
          <w:sz w:val="20"/>
          <w:szCs w:val="20"/>
          <w:color w:val="auto"/>
        </w:rPr>
        <w:tab/>
      </w:r>
      <w:r>
        <w:rPr>
          <w:rFonts w:ascii="Times New Roman" w:cs="Times New Roman" w:eastAsia="Times New Roman" w:hAnsi="Times New Roman"/>
          <w:sz w:val="16"/>
          <w:szCs w:val="16"/>
          <w:b w:val="1"/>
          <w:bCs w:val="1"/>
          <w:color w:val="FF0000"/>
        </w:rPr>
        <w:t>, 2017</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8,333,333 Shares of Common Stock</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Warrants to Purchase up to 8,333,333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153670</wp:posOffset>
            </wp:positionV>
            <wp:extent cx="1191895" cy="926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9189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offering 8,333,333 shares of our common stock and warrants to purchase up to 8,333,333 shares of our common stock. Each share of common stock will be accompanied by a warrant to purchase one share of common stock for an assumed combined public offering price of $1.80 per share and related warrant (the last reported sale price of our common stock on the NASDAQ Capital Market on December 6, 2017). The common stock and warrants are immediately separable but can only be purchased together in this offering. The warrants are exercisable immediately and expire five years from the date of issuance, at an exercise price per share equal to 100% of the combined public offering price per share of common stock and related warrant in this offering. The shares of our common stock issuable from time to time upon exercise of the warrants are also being offered pursuant to this prospectus.</w:t>
      </w:r>
    </w:p>
    <w:p>
      <w:pPr>
        <w:spacing w:after="0" w:line="19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common stock is presently traded on the NASDAQ Capital Market under the symbol “VTGN.” On December 6, 2017, the last reported sale price of our common stock was $1.80 per share. The actual combined public offering price will be as determined by us and the underwriters at the time of pricing, and may be at a discount to the current market price. Accordingly, the recent market price used throughout this prospectus may not be indicative of the actual combined public offering price. There is no established public trading market for the warrants being offered by this prospectus and we do not intend to have the warrants listed on a national securities exchange or any other recognized trading system in the future. Without an active market, the liquidity of any warrants sold by means of this prospectus will be limited</w:t>
      </w:r>
      <w:r>
        <w:rPr>
          <w:rFonts w:ascii="Times New Roman" w:cs="Times New Roman" w:eastAsia="Times New Roman" w:hAnsi="Times New Roman"/>
          <w:sz w:val="21"/>
          <w:szCs w:val="21"/>
          <w:color w:val="auto"/>
        </w:rPr>
        <w: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7 of this prospectus.</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47"/>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 Share and</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Related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Warrant</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public offering price</w:t>
            </w:r>
          </w:p>
        </w:tc>
        <w:tc>
          <w:tcPr>
            <w:tcW w:w="110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Underwriting discount </w:t>
            </w:r>
            <w:r>
              <w:rPr>
                <w:rFonts w:ascii="Times New Roman" w:cs="Times New Roman" w:eastAsia="Times New Roman" w:hAnsi="Times New Roman"/>
                <w:sz w:val="24"/>
                <w:szCs w:val="24"/>
                <w:color w:val="auto"/>
                <w:vertAlign w:val="superscript"/>
              </w:rPr>
              <w:t>(1)</w:t>
            </w:r>
          </w:p>
        </w:tc>
        <w:tc>
          <w:tcPr>
            <w:tcW w:w="110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10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5" w:lineRule="exact"/>
        <w:rPr>
          <w:sz w:val="20"/>
          <w:szCs w:val="20"/>
          <w:color w:val="auto"/>
        </w:rPr>
      </w:pPr>
    </w:p>
    <w:p>
      <w:pPr>
        <w:ind w:left="360" w:right="440" w:hanging="352"/>
        <w:spacing w:after="0" w:line="277" w:lineRule="auto"/>
        <w:tabs>
          <w:tab w:leader="none" w:pos="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see the section titled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beginning on page 105 of this prospectus for additional information regarding the total compensation to be received by the underwriters.</w:t>
      </w:r>
    </w:p>
    <w:p>
      <w:pPr>
        <w:spacing w:after="0" w:line="105"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w w:val="99"/>
              </w:rPr>
              <w:t>The underwriters expect to deliver the shares of common stock and related warrants against payment on or about December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2017.</w:t>
            </w:r>
          </w:p>
        </w:tc>
      </w:tr>
    </w:tbl>
    <w:p>
      <w:pPr>
        <w:spacing w:after="0" w:line="20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___________________________</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Sole Book-Running Manager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Oppenheimer &amp; Co.</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Lead Manager</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Chardan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2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900" w:type="dxa"/>
            <w:vAlign w:val="bottom"/>
          </w:tcPr>
          <w:p>
            <w:pPr>
              <w:jc w:val="right"/>
              <w:ind w:right="3952"/>
              <w:spacing w:after="0"/>
              <w:rPr>
                <w:sz w:val="20"/>
                <w:szCs w:val="20"/>
                <w:color w:val="auto"/>
              </w:rPr>
            </w:pPr>
            <w:r>
              <w:rPr>
                <w:rFonts w:ascii="Times New Roman" w:cs="Times New Roman" w:eastAsia="Times New Roman" w:hAnsi="Times New Roman"/>
                <w:sz w:val="18"/>
                <w:szCs w:val="18"/>
                <w:color w:val="auto"/>
              </w:rPr>
              <w:t>, 2017</w:t>
            </w:r>
          </w:p>
        </w:tc>
      </w:tr>
      <w:tr>
        <w:trPr>
          <w:trHeight w:val="441"/>
        </w:trPr>
        <w:tc>
          <w:tcPr>
            <w:tcW w:w="65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85" w:right="239" w:bottom="954"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00" w:type="dxa"/>
            <w:vAlign w:val="bottom"/>
            <w:tcBorders>
              <w:bottom w:val="single" w:sz="8" w:color="0000FF"/>
            </w:tcBorders>
            <w:gridSpan w:val="12"/>
            <w:shd w:val="clear" w:color="auto" w:fill="CCEEFF"/>
          </w:tcPr>
          <w:p>
            <w:pPr>
              <w:spacing w:after="0" w:line="176" w:lineRule="exact"/>
              <w:rPr>
                <w:rFonts w:ascii="Times New Roman" w:cs="Times New Roman" w:eastAsia="Times New Roman" w:hAnsi="Times New Roman"/>
                <w:sz w:val="18"/>
                <w:szCs w:val="18"/>
                <w:color w:val="0000FF"/>
                <w:w w:val="96"/>
              </w:rPr>
            </w:pPr>
            <w:hyperlink w:anchor="page6">
              <w:r>
                <w:rPr>
                  <w:rFonts w:ascii="Times New Roman" w:cs="Times New Roman" w:eastAsia="Times New Roman" w:hAnsi="Times New Roman"/>
                  <w:sz w:val="18"/>
                  <w:szCs w:val="18"/>
                  <w:color w:val="0000FF"/>
                  <w:w w:val="96"/>
                </w:rPr>
                <w:t>Forward-looking Statements</w:t>
              </w:r>
            </w:hyperlink>
          </w:p>
        </w:tc>
        <w:tc>
          <w:tcPr>
            <w:tcW w:w="8380" w:type="dxa"/>
            <w:vAlign w:val="bottom"/>
            <w:tcBorders>
              <w:bottom w:val="single" w:sz="8" w:color="CCEEFF"/>
            </w:tcBorders>
            <w:gridSpan w:val="9"/>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21"/>
          </w:tcPr>
          <w:p>
            <w:pPr>
              <w:spacing w:after="0" w:line="176" w:lineRule="exact"/>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Prospectus Summary</w:t>
              </w:r>
            </w:hyperlink>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tcBorders>
              <w:bottom w:val="single" w:sz="8" w:color="0000FF"/>
            </w:tcBorders>
            <w:gridSpan w:val="4"/>
            <w:shd w:val="clear" w:color="auto" w:fill="CCEEFF"/>
          </w:tcPr>
          <w:p>
            <w:pPr>
              <w:spacing w:after="0" w:line="176" w:lineRule="exact"/>
              <w:rPr>
                <w:rFonts w:ascii="Times New Roman" w:cs="Times New Roman" w:eastAsia="Times New Roman" w:hAnsi="Times New Roman"/>
                <w:sz w:val="18"/>
                <w:szCs w:val="18"/>
                <w:color w:val="0000FF"/>
                <w:w w:val="94"/>
              </w:rPr>
            </w:pPr>
            <w:hyperlink w:anchor="page13">
              <w:r>
                <w:rPr>
                  <w:rFonts w:ascii="Times New Roman" w:cs="Times New Roman" w:eastAsia="Times New Roman" w:hAnsi="Times New Roman"/>
                  <w:sz w:val="18"/>
                  <w:szCs w:val="18"/>
                  <w:color w:val="0000FF"/>
                  <w:w w:val="94"/>
                </w:rPr>
                <w:t>Risk Factors</w:t>
              </w:r>
            </w:hyperlink>
          </w:p>
        </w:tc>
        <w:tc>
          <w:tcPr>
            <w:tcW w:w="9500" w:type="dxa"/>
            <w:vAlign w:val="bottom"/>
            <w:tcBorders>
              <w:bottom w:val="single" w:sz="8" w:color="CCEEFF"/>
            </w:tcBorders>
            <w:gridSpan w:val="17"/>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21"/>
          </w:tcPr>
          <w:p>
            <w:pPr>
              <w:spacing w:after="0" w:line="176" w:lineRule="exact"/>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Use of Proceeds</w:t>
              </w:r>
            </w:hyperlink>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Market for Our Common Stock</w:t>
              </w:r>
            </w:hyperlink>
          </w:p>
        </w:tc>
        <w:tc>
          <w:tcPr>
            <w:tcW w:w="1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tcBorders>
              <w:top w:val="single" w:sz="8" w:color="0000FF"/>
            </w:tcBorders>
            <w:gridSpan w:val="14"/>
          </w:tcPr>
          <w:p>
            <w:pPr>
              <w:spacing w:after="0" w:line="176" w:lineRule="exact"/>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Dividend Policy</w:t>
              </w:r>
            </w:hyperlink>
          </w:p>
        </w:tc>
        <w:tc>
          <w:tcPr>
            <w:tcW w:w="8180" w:type="dxa"/>
            <w:vAlign w:val="bottom"/>
            <w:tcBorders>
              <w:top w:val="single" w:sz="8" w:color="CCEEFF"/>
            </w:tcBorders>
            <w:gridSpan w:val="7"/>
          </w:tcPr>
          <w:p>
            <w:pPr>
              <w:spacing w:after="0"/>
              <w:rPr>
                <w:sz w:val="15"/>
                <w:szCs w:val="15"/>
                <w:color w:val="auto"/>
              </w:rPr>
            </w:pPr>
          </w:p>
        </w:tc>
        <w:tc>
          <w:tcPr>
            <w:tcW w:w="10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tcBorders>
              <w:bottom w:val="single" w:sz="8" w:color="0000FF"/>
            </w:tcBorders>
            <w:gridSpan w:val="2"/>
            <w:shd w:val="clear" w:color="auto" w:fill="CCEEFF"/>
          </w:tcPr>
          <w:p>
            <w:pPr>
              <w:spacing w:after="0" w:line="176" w:lineRule="exact"/>
              <w:rPr>
                <w:rFonts w:ascii="Times New Roman" w:cs="Times New Roman" w:eastAsia="Times New Roman" w:hAnsi="Times New Roman"/>
                <w:sz w:val="18"/>
                <w:szCs w:val="18"/>
                <w:color w:val="0000FF"/>
                <w:w w:val="93"/>
              </w:rPr>
            </w:pPr>
            <w:hyperlink w:anchor="page50">
              <w:r>
                <w:rPr>
                  <w:rFonts w:ascii="Times New Roman" w:cs="Times New Roman" w:eastAsia="Times New Roman" w:hAnsi="Times New Roman"/>
                  <w:sz w:val="18"/>
                  <w:szCs w:val="18"/>
                  <w:color w:val="0000FF"/>
                  <w:w w:val="93"/>
                </w:rPr>
                <w:t>Dilution</w:t>
              </w:r>
            </w:hyperlink>
          </w:p>
        </w:tc>
        <w:tc>
          <w:tcPr>
            <w:tcW w:w="9800" w:type="dxa"/>
            <w:vAlign w:val="bottom"/>
            <w:tcBorders>
              <w:bottom w:val="single" w:sz="8" w:color="CCEEFF"/>
            </w:tcBorders>
            <w:gridSpan w:val="19"/>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21"/>
          </w:tcPr>
          <w:p>
            <w:pPr>
              <w:spacing w:after="0" w:line="176" w:lineRule="exact"/>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Capitalization</w:t>
              </w:r>
            </w:hyperlink>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Selected Consolidated Financial Data</w:t>
              </w:r>
            </w:hyperlink>
          </w:p>
        </w:tc>
        <w:tc>
          <w:tcPr>
            <w:tcW w:w="1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21"/>
          </w:tcPr>
          <w:p>
            <w:pPr>
              <w:spacing w:after="0" w:line="176" w:lineRule="exact"/>
              <w:rPr>
                <w:rFonts w:ascii="Times New Roman" w:cs="Times New Roman" w:eastAsia="Times New Roman" w:hAnsi="Times New Roman"/>
                <w:sz w:val="18"/>
                <w:szCs w:val="18"/>
                <w:color w:val="0000FF"/>
              </w:rPr>
            </w:pPr>
            <w:hyperlink w:anchor="page53">
              <w:r>
                <w:rPr>
                  <w:rFonts w:ascii="Times New Roman" w:cs="Times New Roman" w:eastAsia="Times New Roman" w:hAnsi="Times New Roman"/>
                  <w:sz w:val="18"/>
                  <w:szCs w:val="18"/>
                  <w:color w:val="0000FF"/>
                </w:rPr>
                <w:t>Management’s Discussion and Analysis of Financial Condition and Results of Operations</w:t>
              </w:r>
            </w:hyperlink>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tcBorders>
              <w:bottom w:val="single" w:sz="8" w:color="0000FF"/>
            </w:tcBorders>
            <w:gridSpan w:val="3"/>
            <w:shd w:val="clear" w:color="auto" w:fill="CCEEFF"/>
          </w:tcPr>
          <w:p>
            <w:pPr>
              <w:spacing w:after="0" w:line="176" w:lineRule="exact"/>
              <w:rPr>
                <w:rFonts w:ascii="Times New Roman" w:cs="Times New Roman" w:eastAsia="Times New Roman" w:hAnsi="Times New Roman"/>
                <w:sz w:val="18"/>
                <w:szCs w:val="18"/>
                <w:color w:val="0000FF"/>
                <w:w w:val="93"/>
              </w:rPr>
            </w:pPr>
            <w:hyperlink w:anchor="page72">
              <w:r>
                <w:rPr>
                  <w:rFonts w:ascii="Times New Roman" w:cs="Times New Roman" w:eastAsia="Times New Roman" w:hAnsi="Times New Roman"/>
                  <w:sz w:val="18"/>
                  <w:szCs w:val="18"/>
                  <w:color w:val="0000FF"/>
                  <w:w w:val="93"/>
                </w:rPr>
                <w:t>Business</w:t>
              </w:r>
            </w:hyperlink>
          </w:p>
        </w:tc>
        <w:tc>
          <w:tcPr>
            <w:tcW w:w="9760" w:type="dxa"/>
            <w:vAlign w:val="bottom"/>
            <w:tcBorders>
              <w:bottom w:val="single" w:sz="8" w:color="CCEEFF"/>
            </w:tcBorders>
            <w:gridSpan w:val="18"/>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21"/>
          </w:tcPr>
          <w:p>
            <w:pPr>
              <w:spacing w:after="0" w:line="176" w:lineRule="exact"/>
              <w:rPr>
                <w:rFonts w:ascii="Times New Roman" w:cs="Times New Roman" w:eastAsia="Times New Roman" w:hAnsi="Times New Roman"/>
                <w:sz w:val="18"/>
                <w:szCs w:val="18"/>
                <w:color w:val="0000FF"/>
              </w:rPr>
            </w:pPr>
            <w:hyperlink w:anchor="page91">
              <w:r>
                <w:rPr>
                  <w:rFonts w:ascii="Times New Roman" w:cs="Times New Roman" w:eastAsia="Times New Roman" w:hAnsi="Times New Roman"/>
                  <w:sz w:val="18"/>
                  <w:szCs w:val="18"/>
                  <w:color w:val="0000FF"/>
                </w:rPr>
                <w:t>Directors and Executive Officers</w:t>
              </w:r>
            </w:hyperlink>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760" w:type="dxa"/>
            <w:vAlign w:val="bottom"/>
            <w:tcBorders>
              <w:bottom w:val="single" w:sz="8" w:color="0000FF"/>
            </w:tcBorders>
            <w:gridSpan w:val="19"/>
            <w:shd w:val="clear" w:color="auto" w:fill="CCEEFF"/>
          </w:tcPr>
          <w:p>
            <w:pPr>
              <w:spacing w:after="0" w:line="176" w:lineRule="exact"/>
              <w:rPr>
                <w:rFonts w:ascii="Times New Roman" w:cs="Times New Roman" w:eastAsia="Times New Roman" w:hAnsi="Times New Roman"/>
                <w:sz w:val="18"/>
                <w:szCs w:val="18"/>
                <w:color w:val="0000FF"/>
                <w:w w:val="97"/>
              </w:rPr>
            </w:pPr>
            <w:hyperlink w:anchor="page105">
              <w:r>
                <w:rPr>
                  <w:rFonts w:ascii="Times New Roman" w:cs="Times New Roman" w:eastAsia="Times New Roman" w:hAnsi="Times New Roman"/>
                  <w:sz w:val="18"/>
                  <w:szCs w:val="18"/>
                  <w:color w:val="0000FF"/>
                  <w:w w:val="97"/>
                </w:rPr>
                <w:t>Security Ownership of Certain Beneficial Owners and Management</w:t>
              </w:r>
            </w:hyperlink>
          </w:p>
        </w:tc>
        <w:tc>
          <w:tcPr>
            <w:tcW w:w="5620" w:type="dxa"/>
            <w:vAlign w:val="bottom"/>
            <w:tcBorders>
              <w:bottom w:val="single" w:sz="8" w:color="CCEEFF"/>
            </w:tcBorders>
            <w:gridSpan w:val="2"/>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21"/>
          </w:tcPr>
          <w:p>
            <w:pPr>
              <w:spacing w:after="0" w:line="176" w:lineRule="exact"/>
              <w:rPr>
                <w:rFonts w:ascii="Times New Roman" w:cs="Times New Roman" w:eastAsia="Times New Roman" w:hAnsi="Times New Roman"/>
                <w:sz w:val="18"/>
                <w:szCs w:val="18"/>
                <w:color w:val="0000FF"/>
              </w:rPr>
            </w:pPr>
            <w:hyperlink w:anchor="page111">
              <w:r>
                <w:rPr>
                  <w:rFonts w:ascii="Times New Roman" w:cs="Times New Roman" w:eastAsia="Times New Roman" w:hAnsi="Times New Roman"/>
                  <w:sz w:val="18"/>
                  <w:szCs w:val="18"/>
                  <w:color w:val="0000FF"/>
                </w:rPr>
                <w:t>Certain Relationships and Related Transactions</w:t>
              </w:r>
            </w:hyperlink>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40" w:type="dxa"/>
            <w:vAlign w:val="bottom"/>
            <w:tcBorders>
              <w:bottom w:val="single" w:sz="8" w:color="0000FF"/>
            </w:tcBorders>
            <w:gridSpan w:val="11"/>
            <w:shd w:val="clear" w:color="auto" w:fill="CCEEFF"/>
          </w:tcPr>
          <w:p>
            <w:pPr>
              <w:spacing w:after="0" w:line="176" w:lineRule="exact"/>
              <w:rPr>
                <w:rFonts w:ascii="Times New Roman" w:cs="Times New Roman" w:eastAsia="Times New Roman" w:hAnsi="Times New Roman"/>
                <w:sz w:val="18"/>
                <w:szCs w:val="18"/>
                <w:color w:val="0000FF"/>
                <w:w w:val="96"/>
              </w:rPr>
            </w:pPr>
            <w:hyperlink w:anchor="page112">
              <w:r>
                <w:rPr>
                  <w:rFonts w:ascii="Times New Roman" w:cs="Times New Roman" w:eastAsia="Times New Roman" w:hAnsi="Times New Roman"/>
                  <w:sz w:val="18"/>
                  <w:szCs w:val="18"/>
                  <w:color w:val="0000FF"/>
                  <w:w w:val="96"/>
                </w:rPr>
                <w:t>Description of Securities</w:t>
              </w:r>
            </w:hyperlink>
          </w:p>
        </w:tc>
        <w:tc>
          <w:tcPr>
            <w:tcW w:w="8640" w:type="dxa"/>
            <w:vAlign w:val="bottom"/>
            <w:tcBorders>
              <w:bottom w:val="single" w:sz="8" w:color="CCEEFF"/>
            </w:tcBorders>
            <w:gridSpan w:val="10"/>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FF"/>
              </w:rPr>
              <w:t>Underwriting</w:t>
            </w: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FF"/>
              </w:rPr>
            </w:pPr>
            <w:hyperlink w:anchor="page121">
              <w:r>
                <w:rPr>
                  <w:rFonts w:ascii="Times New Roman" w:cs="Times New Roman" w:eastAsia="Times New Roman" w:hAnsi="Times New Roman"/>
                  <w:sz w:val="18"/>
                  <w:szCs w:val="18"/>
                  <w:color w:val="0000FF"/>
                </w:rPr>
                <w:t>Legal Matters</w:t>
              </w:r>
            </w:hyperlink>
          </w:p>
        </w:tc>
        <w:tc>
          <w:tcPr>
            <w:tcW w:w="1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0" w:type="dxa"/>
            <w:vAlign w:val="bottom"/>
            <w:tcBorders>
              <w:top w:val="single" w:sz="8" w:color="0000FF"/>
            </w:tcBorders>
            <w:gridSpan w:val="6"/>
          </w:tcPr>
          <w:p>
            <w:pPr>
              <w:spacing w:after="0" w:line="176" w:lineRule="exact"/>
              <w:rPr>
                <w:rFonts w:ascii="Times New Roman" w:cs="Times New Roman" w:eastAsia="Times New Roman" w:hAnsi="Times New Roman"/>
                <w:sz w:val="18"/>
                <w:szCs w:val="18"/>
                <w:color w:val="0000FF"/>
              </w:rPr>
            </w:pPr>
            <w:hyperlink w:anchor="page121">
              <w:r>
                <w:rPr>
                  <w:rFonts w:ascii="Times New Roman" w:cs="Times New Roman" w:eastAsia="Times New Roman" w:hAnsi="Times New Roman"/>
                  <w:sz w:val="18"/>
                  <w:szCs w:val="18"/>
                  <w:color w:val="0000FF"/>
                </w:rPr>
                <w:t>Experts</w:t>
              </w:r>
            </w:hyperlink>
          </w:p>
        </w:tc>
        <w:tc>
          <w:tcPr>
            <w:tcW w:w="9420" w:type="dxa"/>
            <w:vAlign w:val="bottom"/>
            <w:tcBorders>
              <w:top w:val="single" w:sz="8" w:color="CCEEFF"/>
            </w:tcBorders>
            <w:gridSpan w:val="15"/>
          </w:tcPr>
          <w:p>
            <w:pPr>
              <w:spacing w:after="0"/>
              <w:rPr>
                <w:sz w:val="15"/>
                <w:szCs w:val="15"/>
                <w:color w:val="auto"/>
              </w:rPr>
            </w:pPr>
          </w:p>
        </w:tc>
        <w:tc>
          <w:tcPr>
            <w:tcW w:w="10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FF"/>
              </w:rPr>
            </w:pPr>
            <w:hyperlink w:anchor="page121">
              <w:r>
                <w:rPr>
                  <w:rFonts w:ascii="Times New Roman" w:cs="Times New Roman" w:eastAsia="Times New Roman" w:hAnsi="Times New Roman"/>
                  <w:sz w:val="18"/>
                  <w:szCs w:val="18"/>
                  <w:color w:val="0000FF"/>
                </w:rPr>
                <w:t>Where You Can Find More Information</w:t>
              </w:r>
            </w:hyperlink>
          </w:p>
        </w:tc>
        <w:tc>
          <w:tcPr>
            <w:tcW w:w="1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80" w:type="dxa"/>
            <w:vAlign w:val="bottom"/>
            <w:tcBorders>
              <w:top w:val="single" w:sz="8" w:color="0000FF"/>
            </w:tcBorders>
            <w:gridSpan w:val="17"/>
          </w:tcPr>
          <w:p>
            <w:pPr>
              <w:spacing w:after="0" w:line="176" w:lineRule="exact"/>
              <w:rPr>
                <w:rFonts w:ascii="Times New Roman" w:cs="Times New Roman" w:eastAsia="Times New Roman" w:hAnsi="Times New Roman"/>
                <w:sz w:val="18"/>
                <w:szCs w:val="18"/>
                <w:color w:val="0000FF"/>
              </w:rPr>
            </w:pPr>
            <w:hyperlink w:anchor="page122">
              <w:r>
                <w:rPr>
                  <w:rFonts w:ascii="Times New Roman" w:cs="Times New Roman" w:eastAsia="Times New Roman" w:hAnsi="Times New Roman"/>
                  <w:sz w:val="18"/>
                  <w:szCs w:val="18"/>
                  <w:color w:val="0000FF"/>
                </w:rPr>
                <w:t>Index to Financial Statements</w:t>
              </w:r>
            </w:hyperlink>
          </w:p>
        </w:tc>
        <w:tc>
          <w:tcPr>
            <w:tcW w:w="7600" w:type="dxa"/>
            <w:vAlign w:val="bottom"/>
            <w:tcBorders>
              <w:top w:val="single" w:sz="8" w:color="CCEEFF"/>
            </w:tcBorders>
            <w:gridSpan w:val="4"/>
          </w:tcPr>
          <w:p>
            <w:pPr>
              <w:spacing w:after="0"/>
              <w:rPr>
                <w:sz w:val="15"/>
                <w:szCs w:val="15"/>
                <w:color w:val="auto"/>
              </w:rPr>
            </w:pPr>
          </w:p>
        </w:tc>
        <w:tc>
          <w:tcPr>
            <w:tcW w:w="10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110</w:t>
            </w: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5" w:name="page6"/>
    <w:bookmarkEnd w:id="5"/>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ABOUT THIS PROSPECTUS</w:t>
      </w:r>
    </w:p>
    <w:p>
      <w:pPr>
        <w:spacing w:after="0" w:line="22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you with information that is different from that contained in this prospectus or in any free writing prospectus we may authorize to be delivered or made available to you. We take no responsibility for, and can provide no assurance as to the reliability of, any other information that others may give you. We and the underwriters are offering to sell shares of common stock and related warrants and seeking offers to buy shares of common stock and related warrants only in jurisdictions where offers and sales are permitted. The information contained in this prospectus is accurate only as of the date on the front of this prospectus, regardless of the time of delivery of this prospectus or any sale of shares of our common stock and related warrants.</w:t>
      </w:r>
    </w:p>
    <w:p>
      <w:pPr>
        <w:spacing w:after="0" w:line="19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Neither we nor the underwriters have done anything that would permit this offering or possession or distribution of this prospectus in any jurisdiction where action for that purpose is required, other than the U.S. You are required to inform yourself about, and to observe any restrictions relating to, this offering and the distribution of this prospectus.</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includes industry and market data that we obtained from industry publications, internal estimates and other third-party sources. These sources may include government and industry sources. Industry publications and surveys generally state that the information contained therein has been obtained from sources believed to be reliable. Although we believe the industry and market data to be reliable as of the date of this prospectus,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the sources relied upon or cited herein.</w:t>
      </w:r>
    </w:p>
    <w:p>
      <w:pPr>
        <w:spacing w:after="0" w:line="19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the registration statement of which this prospectus forms a part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3" w:right="299" w:bottom="1440" w:gutter="0" w:footer="0" w:header="0"/>
        </w:sectPr>
      </w:pPr>
    </w:p>
    <w:bookmarkStart w:id="6" w:name="page7"/>
    <w:bookmarkEnd w:id="6"/>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290830</wp:posOffset>
            </wp:positionV>
            <wp:extent cx="7031990" cy="74612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1990" cy="7461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PROSPECTUS SUMMARY</w:t>
      </w:r>
    </w:p>
    <w:p>
      <w:pPr>
        <w:spacing w:after="0" w:line="221" w:lineRule="exact"/>
        <w:rPr>
          <w:sz w:val="20"/>
          <w:szCs w:val="20"/>
          <w:color w:val="auto"/>
        </w:rPr>
      </w:pPr>
    </w:p>
    <w:p>
      <w:pPr>
        <w:ind w:left="340" w:right="160"/>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and does not contain all of the information you should consider in making your investment decision. Before deciding to invest in our common stock, you should read this entire prospectus carefully, including the sections of this prospectus entitled “Risk Factors” and “Management’s Discussion and Analysis of Financial Condition and Results of Operations” and our consolidated financial statements and related notes contained elsewhere in this prospectus. Unless the context otherwise requires, the words “VistaGen Therapeutics, Inc.” “VistaGen,” “we,” “the Company,” “us” and “our” refer to VistaGen Therapeutics, Inc., a Nevada corporation. “VistaStem Therapeutics, Inc.” and “VistaGen California” refers to our wholly owned subsidiary, VistaGen Therapeutics, Inc., a California corporation doing business as VistaStem Therapeutics, Inc.</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7" w:lineRule="exact"/>
        <w:rPr>
          <w:sz w:val="20"/>
          <w:szCs w:val="20"/>
          <w:color w:val="auto"/>
        </w:rPr>
      </w:pPr>
    </w:p>
    <w:p>
      <w:pPr>
        <w:ind w:left="340" w:right="80"/>
        <w:spacing w:after="0" w:line="258"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new generation medicines for depression and other central nervous system (</w:t>
      </w:r>
      <w:r>
        <w:rPr>
          <w:rFonts w:ascii="Times New Roman" w:cs="Times New Roman" w:eastAsia="Times New Roman" w:hAnsi="Times New Roman"/>
          <w:sz w:val="18"/>
          <w:szCs w:val="18"/>
          <w:i w:val="1"/>
          <w:iCs w:val="1"/>
          <w:color w:val="auto"/>
        </w:rPr>
        <w:t>CNS</w:t>
      </w:r>
      <w:r>
        <w:rPr>
          <w:rFonts w:ascii="Times New Roman" w:cs="Times New Roman" w:eastAsia="Times New Roman" w:hAnsi="Times New Roman"/>
          <w:sz w:val="18"/>
          <w:szCs w:val="18"/>
          <w:color w:val="auto"/>
        </w:rPr>
        <w:t>) disorders. Unless the context otherwise requires, the words “</w:t>
      </w:r>
      <w:r>
        <w:rPr>
          <w:rFonts w:ascii="Times New Roman" w:cs="Times New Roman" w:eastAsia="Times New Roman" w:hAnsi="Times New Roman"/>
          <w:sz w:val="18"/>
          <w:szCs w:val="18"/>
          <w:i w:val="1"/>
          <w:iCs w:val="1"/>
          <w:color w:val="auto"/>
        </w:rPr>
        <w:t>VistaGen Therapeutics, Inc.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VistaGen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refer to VistaGen Therapeutics, Inc., a Nevada corporation. All references to future quarters and years in this prospectus refer to calendar quarters and calendar years, unless reference is made otherwise.</w:t>
      </w:r>
    </w:p>
    <w:p>
      <w:pPr>
        <w:spacing w:after="0" w:line="190" w:lineRule="exact"/>
        <w:rPr>
          <w:sz w:val="20"/>
          <w:szCs w:val="20"/>
          <w:color w:val="auto"/>
        </w:rPr>
      </w:pPr>
    </w:p>
    <w:p>
      <w:pPr>
        <w:ind w:left="340" w:right="140"/>
        <w:spacing w:after="0" w:line="290" w:lineRule="auto"/>
        <w:rPr>
          <w:sz w:val="20"/>
          <w:szCs w:val="20"/>
          <w:color w:val="auto"/>
        </w:rPr>
      </w:pPr>
      <w:r>
        <w:rPr>
          <w:rFonts w:ascii="Times New Roman" w:cs="Times New Roman" w:eastAsia="Times New Roman" w:hAnsi="Times New Roman"/>
          <w:sz w:val="16"/>
          <w:szCs w:val="16"/>
          <w:color w:val="auto"/>
        </w:rPr>
        <w:t>AV-101 is our oral CNS product candidate in Phase 2 clinical development in the United States, initially as a new generation adjunctive treatment for Major Depressive Disorder (</w:t>
      </w:r>
      <w:r>
        <w:rPr>
          <w:rFonts w:ascii="Times New Roman" w:cs="Times New Roman" w:eastAsia="Times New Roman" w:hAnsi="Times New Roman"/>
          <w:sz w:val="16"/>
          <w:szCs w:val="16"/>
          <w:i w:val="1"/>
          <w:iCs w:val="1"/>
          <w:color w:val="auto"/>
        </w:rPr>
        <w:t>MDD</w:t>
      </w:r>
      <w:r>
        <w:rPr>
          <w:rFonts w:ascii="Times New Roman" w:cs="Times New Roman" w:eastAsia="Times New Roman" w:hAnsi="Times New Roman"/>
          <w:sz w:val="16"/>
          <w:szCs w:val="16"/>
          <w:color w:val="auto"/>
        </w:rPr>
        <w:t>) in patients with an inadequate response to standard antidepressants approved by the U.S. Food and Drug Administration (</w:t>
      </w:r>
      <w:r>
        <w:rPr>
          <w:rFonts w:ascii="Times New Roman" w:cs="Times New Roman" w:eastAsia="Times New Roman" w:hAnsi="Times New Roman"/>
          <w:sz w:val="16"/>
          <w:szCs w:val="16"/>
          <w:i w:val="1"/>
          <w:iCs w:val="1"/>
          <w:color w:val="auto"/>
        </w:rPr>
        <w:t>FDA</w:t>
      </w:r>
      <w:r>
        <w:rPr>
          <w:rFonts w:ascii="Times New Roman" w:cs="Times New Roman" w:eastAsia="Times New Roman" w:hAnsi="Times New Roman"/>
          <w:sz w:val="16"/>
          <w:szCs w:val="16"/>
          <w:color w:val="auto"/>
        </w:rPr>
        <w:t>). AV-101’s mechanism of action (</w:t>
      </w:r>
      <w:r>
        <w:rPr>
          <w:rFonts w:ascii="Times New Roman" w:cs="Times New Roman" w:eastAsia="Times New Roman" w:hAnsi="Times New Roman"/>
          <w:sz w:val="16"/>
          <w:szCs w:val="16"/>
          <w:i w:val="1"/>
          <w:iCs w:val="1"/>
          <w:color w:val="auto"/>
        </w:rPr>
        <w:t>MOA</w:t>
      </w:r>
      <w:r>
        <w:rPr>
          <w:rFonts w:ascii="Times New Roman" w:cs="Times New Roman" w:eastAsia="Times New Roman" w:hAnsi="Times New Roman"/>
          <w:sz w:val="16"/>
          <w:szCs w:val="16"/>
          <w:color w:val="auto"/>
        </w:rPr>
        <w:t xml:space="preserve">) involves both NMDA (N-methyl-D-aspartate) and AMPA (alpha-amino-3-hydroxy-5-methyl-4-isoxazolepropionic acid) receptors in the brain responsible for fast excitatory synaptic activity throughout the CNS. AV-101’s MOA is fundamentally differentiated from all FDA-approved antidepressants, as well as all atypical antipsychotics, such as aripiprazole, often used adjunctively to augment them. We believe AV-101 also has potential as a non-opioid treatment alternative for neuropathic pain, as well as several additional CNS indications </w:t>
      </w:r>
      <w:r>
        <w:rPr>
          <w:rFonts w:ascii="Times New Roman" w:cs="Times New Roman" w:eastAsia="Times New Roman" w:hAnsi="Times New Roman"/>
          <w:sz w:val="16"/>
          <w:szCs w:val="16"/>
          <w:color w:val="333333"/>
        </w:rPr>
        <w:t>where modulation of the NMDA receptors, activation of AMPA pathways and/or key active metabolites of AV-101 may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333333"/>
        </w:rPr>
        <w:t>achieve therapeutic benefit</w:t>
      </w:r>
      <w:r>
        <w:rPr>
          <w:rFonts w:ascii="Times New Roman" w:cs="Times New Roman" w:eastAsia="Times New Roman" w:hAnsi="Times New Roman"/>
          <w:sz w:val="16"/>
          <w:szCs w:val="16"/>
          <w:color w:val="000000"/>
        </w:rPr>
        <w:t>, including Parkinson’s disease levodopa -induced dyskinesia (</w:t>
      </w:r>
      <w:r>
        <w:rPr>
          <w:rFonts w:ascii="Times New Roman" w:cs="Times New Roman" w:eastAsia="Times New Roman" w:hAnsi="Times New Roman"/>
          <w:sz w:val="16"/>
          <w:szCs w:val="16"/>
          <w:i w:val="1"/>
          <w:iCs w:val="1"/>
          <w:color w:val="000000"/>
        </w:rPr>
        <w:t>PD LID</w:t>
      </w:r>
      <w:r>
        <w:rPr>
          <w:rFonts w:ascii="Times New Roman" w:cs="Times New Roman" w:eastAsia="Times New Roman" w:hAnsi="Times New Roman"/>
          <w:sz w:val="16"/>
          <w:szCs w:val="16"/>
          <w:color w:val="000000"/>
        </w:rPr>
        <w:t>), epilepsy and Huntington’s disease.</w:t>
      </w:r>
    </w:p>
    <w:p>
      <w:pPr>
        <w:spacing w:after="0" w:line="164" w:lineRule="exact"/>
        <w:rPr>
          <w:sz w:val="20"/>
          <w:szCs w:val="20"/>
          <w:color w:val="auto"/>
        </w:rPr>
      </w:pPr>
    </w:p>
    <w:p>
      <w:pPr>
        <w:ind w:left="340" w:right="140"/>
        <w:spacing w:after="0" w:line="293" w:lineRule="auto"/>
        <w:rPr>
          <w:sz w:val="20"/>
          <w:szCs w:val="20"/>
          <w:color w:val="auto"/>
        </w:rPr>
      </w:pPr>
      <w:r>
        <w:rPr>
          <w:rFonts w:ascii="Times New Roman" w:cs="Times New Roman" w:eastAsia="Times New Roman" w:hAnsi="Times New Roman"/>
          <w:sz w:val="16"/>
          <w:szCs w:val="16"/>
          <w:color w:val="auto"/>
        </w:rPr>
        <w:t>Clinical studies conducted at the U.S. National Institute of Mental Health (</w:t>
      </w:r>
      <w:r>
        <w:rPr>
          <w:rFonts w:ascii="Times New Roman" w:cs="Times New Roman" w:eastAsia="Times New Roman" w:hAnsi="Times New Roman"/>
          <w:sz w:val="16"/>
          <w:szCs w:val="16"/>
          <w:i w:val="1"/>
          <w:iCs w:val="1"/>
          <w:color w:val="auto"/>
        </w:rPr>
        <w:t>NIMH</w:t>
      </w:r>
      <w:r>
        <w:rPr>
          <w:rFonts w:ascii="Times New Roman" w:cs="Times New Roman" w:eastAsia="Times New Roman" w:hAnsi="Times New Roman"/>
          <w:sz w:val="16"/>
          <w:szCs w:val="16"/>
          <w:color w:val="auto"/>
        </w:rPr>
        <w:t>), part of the U.S. National Institutes of Health (</w:t>
      </w:r>
      <w:r>
        <w:rPr>
          <w:rFonts w:ascii="Times New Roman" w:cs="Times New Roman" w:eastAsia="Times New Roman" w:hAnsi="Times New Roman"/>
          <w:sz w:val="16"/>
          <w:szCs w:val="16"/>
          <w:i w:val="1"/>
          <w:iCs w:val="1"/>
          <w:color w:val="auto"/>
        </w:rPr>
        <w:t>NIH</w:t>
      </w:r>
      <w:r>
        <w:rPr>
          <w:rFonts w:ascii="Times New Roman" w:cs="Times New Roman" w:eastAsia="Times New Roman" w:hAnsi="Times New Roman"/>
          <w:sz w:val="16"/>
          <w:szCs w:val="16"/>
          <w:color w:val="auto"/>
        </w:rPr>
        <w:t>), by Dr. Carlos Zarate, Jr., Chief of the NIMH’s Experimental Therapeutics &amp; Pathophysiology Branch and its Section on Neurobiology and Treatment of Mood and Anxiety Disorders, have focused on the antidepressant effects of ketamine hydrochloride injection (</w:t>
      </w:r>
      <w:r>
        <w:rPr>
          <w:rFonts w:ascii="Times New Roman" w:cs="Times New Roman" w:eastAsia="Times New Roman" w:hAnsi="Times New Roman"/>
          <w:sz w:val="16"/>
          <w:szCs w:val="16"/>
          <w:i w:val="1"/>
          <w:iCs w:val="1"/>
          <w:color w:val="auto"/>
        </w:rPr>
        <w:t>ketamine</w:t>
      </w:r>
      <w:r>
        <w:rPr>
          <w:rFonts w:ascii="Times New Roman" w:cs="Times New Roman" w:eastAsia="Times New Roman" w:hAnsi="Times New Roman"/>
          <w:sz w:val="16"/>
          <w:szCs w:val="16"/>
          <w:color w:val="auto"/>
        </w:rPr>
        <w:t>), an ion-channel blocking NMDA receptor antagonist approved by the FDA as an anesthetic, in MDD patients with inadequate responses to multiple standard antidepressants. These NIMH studies, as well as clinical research at Yale University and other academic institutions, have demonstrated ketamine’s robust antidepressant effects in treatment-resistant MDD patients within twenty-four hours of a single sub-anesthetic dose administered by intravenous (</w:t>
      </w:r>
      <w:r>
        <w:rPr>
          <w:rFonts w:ascii="Times New Roman" w:cs="Times New Roman" w:eastAsia="Times New Roman" w:hAnsi="Times New Roman"/>
          <w:sz w:val="16"/>
          <w:szCs w:val="16"/>
          <w:i w:val="1"/>
          <w:iCs w:val="1"/>
          <w:color w:val="auto"/>
        </w:rPr>
        <w:t>IV</w:t>
      </w:r>
      <w:r>
        <w:rPr>
          <w:rFonts w:ascii="Times New Roman" w:cs="Times New Roman" w:eastAsia="Times New Roman" w:hAnsi="Times New Roman"/>
          <w:sz w:val="16"/>
          <w:szCs w:val="16"/>
          <w:color w:val="auto"/>
        </w:rPr>
        <w:t>) injection.</w:t>
      </w:r>
    </w:p>
    <w:p>
      <w:pPr>
        <w:spacing w:after="0" w:line="167" w:lineRule="exact"/>
        <w:rPr>
          <w:sz w:val="20"/>
          <w:szCs w:val="20"/>
          <w:color w:val="auto"/>
        </w:rPr>
      </w:pPr>
    </w:p>
    <w:p>
      <w:pPr>
        <w:ind w:left="340"/>
        <w:spacing w:after="0" w:line="254" w:lineRule="auto"/>
        <w:rPr>
          <w:sz w:val="20"/>
          <w:szCs w:val="20"/>
          <w:color w:val="auto"/>
        </w:rPr>
      </w:pPr>
      <w:r>
        <w:rPr>
          <w:rFonts w:ascii="Times New Roman" w:cs="Times New Roman" w:eastAsia="Times New Roman" w:hAnsi="Times New Roman"/>
          <w:sz w:val="18"/>
          <w:szCs w:val="18"/>
          <w:color w:val="auto"/>
        </w:rPr>
        <w:t xml:space="preserve">We believe AV-101 may have potential to deliver ketamine-like antidepressant effects, without the need for IV administration and ketamine’s psychological and other negative side effects. As published in the October 2015 issue of the peer-reviewed, </w:t>
      </w:r>
      <w:r>
        <w:rPr>
          <w:rFonts w:ascii="Times New Roman" w:cs="Times New Roman" w:eastAsia="Times New Roman" w:hAnsi="Times New Roman"/>
          <w:sz w:val="18"/>
          <w:szCs w:val="18"/>
          <w:i w:val="1"/>
          <w:iCs w:val="1"/>
          <w:color w:val="auto"/>
        </w:rPr>
        <w:t>Journal of Pharmacology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Experimental Therapeutics, </w:t>
      </w:r>
      <w:r>
        <w:rPr>
          <w:rFonts w:ascii="Times New Roman" w:cs="Times New Roman" w:eastAsia="Times New Roman" w:hAnsi="Times New Roman"/>
          <w:sz w:val="18"/>
          <w:szCs w:val="18"/>
          <w:color w:val="auto"/>
        </w:rPr>
        <w:t>in an article titled,</w:t>
      </w:r>
      <w:r>
        <w:rPr>
          <w:rFonts w:ascii="Times New Roman" w:cs="Times New Roman" w:eastAsia="Times New Roman" w:hAnsi="Times New Roman"/>
          <w:sz w:val="18"/>
          <w:szCs w:val="18"/>
          <w:i w:val="1"/>
          <w:iCs w:val="1"/>
          <w:color w:val="auto"/>
        </w:rPr>
        <w:t xml:space="preserve"> The prodrug 4-chlorokynurenine causes ketamine-like antidepressant effects, but not side effects, by NMDA/glycineB-site inhibition, </w:t>
      </w:r>
      <w:r>
        <w:rPr>
          <w:rFonts w:ascii="Times New Roman" w:cs="Times New Roman" w:eastAsia="Times New Roman" w:hAnsi="Times New Roman"/>
          <w:sz w:val="18"/>
          <w:szCs w:val="18"/>
          <w:color w:val="auto"/>
        </w:rPr>
        <w:t>using well-established preclinical models of depression, AV-101 was shown to induce fast-acting, dose-dependent,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persistent and 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both inhibiting the GlyB site of the NMDA receptor and activating the AMPA receptor pathway in the brain.</w:t>
      </w:r>
    </w:p>
    <w:p>
      <w:pPr>
        <w:spacing w:after="0" w:line="193" w:lineRule="exact"/>
        <w:rPr>
          <w:sz w:val="20"/>
          <w:szCs w:val="20"/>
          <w:color w:val="auto"/>
        </w:rPr>
      </w:pPr>
    </w:p>
    <w:p>
      <w:pPr>
        <w:ind w:left="340"/>
        <w:spacing w:after="0" w:line="253" w:lineRule="auto"/>
        <w:rPr>
          <w:sz w:val="20"/>
          <w:szCs w:val="20"/>
          <w:color w:val="auto"/>
        </w:rPr>
      </w:pPr>
      <w:r>
        <w:rPr>
          <w:rFonts w:ascii="Times New Roman" w:cs="Times New Roman" w:eastAsia="Times New Roman" w:hAnsi="Times New Roman"/>
          <w:sz w:val="18"/>
          <w:szCs w:val="18"/>
          <w:color w:val="auto"/>
        </w:rPr>
        <w:t>Pursuant to our Cooperative Research and Development Agreement (</w:t>
      </w:r>
      <w:r>
        <w:rPr>
          <w:rFonts w:ascii="Times New Roman" w:cs="Times New Roman" w:eastAsia="Times New Roman" w:hAnsi="Times New Roman"/>
          <w:sz w:val="18"/>
          <w:szCs w:val="18"/>
          <w:i w:val="1"/>
          <w:iCs w:val="1"/>
          <w:color w:val="auto"/>
        </w:rPr>
        <w:t>CRADA</w:t>
      </w:r>
      <w:r>
        <w:rPr>
          <w:rFonts w:ascii="Times New Roman" w:cs="Times New Roman" w:eastAsia="Times New Roman" w:hAnsi="Times New Roman"/>
          <w:sz w:val="18"/>
          <w:szCs w:val="18"/>
          <w:color w:val="auto"/>
        </w:rPr>
        <w:t xml:space="preserve">) with the NIMH, the NIMH is currently funding, and Dr. Zarate, as Principal Investigator, and his team are currently conducting, a small Phase 2 clinical study of AV-101 as a monotherapy in subjects with treatment-resistant MDD (the </w:t>
      </w:r>
      <w:r>
        <w:rPr>
          <w:rFonts w:ascii="Times New Roman" w:cs="Times New Roman" w:eastAsia="Times New Roman" w:hAnsi="Times New Roman"/>
          <w:sz w:val="18"/>
          <w:szCs w:val="18"/>
          <w:i w:val="1"/>
          <w:iCs w:val="1"/>
          <w:color w:val="auto"/>
        </w:rPr>
        <w:t>NIMH AV-101 MDD Phase 2 Monotherapy Study</w:t>
      </w:r>
      <w:r>
        <w:rPr>
          <w:rFonts w:ascii="Times New Roman" w:cs="Times New Roman" w:eastAsia="Times New Roman" w:hAnsi="Times New Roman"/>
          <w:sz w:val="18"/>
          <w:szCs w:val="18"/>
          <w:color w:val="auto"/>
        </w:rPr>
        <w:t xml:space="preserve">). In October 2017, we received FDA authorization to launch our 180-patient Phase 2 multi-center, multi-dose, double blind, placebo-controlled efficacy and safety study of AV-101 as a new generation adjunctive treatment of MDD in adult patients with an inadequate therapeutic response to standard, FDA-approved antidepressants (the </w:t>
      </w:r>
      <w:r>
        <w:rPr>
          <w:rFonts w:ascii="Times New Roman" w:cs="Times New Roman" w:eastAsia="Times New Roman" w:hAnsi="Times New Roman"/>
          <w:sz w:val="18"/>
          <w:szCs w:val="18"/>
          <w:i w:val="1"/>
          <w:iCs w:val="1"/>
          <w:color w:val="auto"/>
        </w:rPr>
        <w:t>AV-101 MDD Phase 2 Adjunctive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Treatment Study</w:t>
      </w:r>
      <w:r>
        <w:rPr>
          <w:rFonts w:ascii="Times New Roman" w:cs="Times New Roman" w:eastAsia="Times New Roman" w:hAnsi="Times New Roman"/>
          <w:sz w:val="18"/>
          <w:szCs w:val="18"/>
          <w:color w:val="auto"/>
        </w:rPr>
        <w:t>). Subject to completion of this offering, we intend to launch the AV-101 MDD Phase 2 Adjunctive Treatment Study in the first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2018 with Dr. Maurizio Fava, Professor of Psychiatry at Harvard Medical School and Director, Division of Clinical Research, Massachusetts General Hospital (</w:t>
      </w:r>
      <w:r>
        <w:rPr>
          <w:rFonts w:ascii="Times New Roman" w:cs="Times New Roman" w:eastAsia="Times New Roman" w:hAnsi="Times New Roman"/>
          <w:sz w:val="18"/>
          <w:szCs w:val="18"/>
          <w:i w:val="1"/>
          <w:iCs w:val="1"/>
          <w:color w:val="auto"/>
        </w:rPr>
        <w:t>MGH</w:t>
      </w:r>
      <w:r>
        <w:rPr>
          <w:rFonts w:ascii="Times New Roman" w:cs="Times New Roman" w:eastAsia="Times New Roman" w:hAnsi="Times New Roman"/>
          <w:sz w:val="18"/>
          <w:szCs w:val="18"/>
          <w:color w:val="auto"/>
        </w:rPr>
        <w:t xml:space="preserve">) Research Institute, as the Principal Investigator. Dr. Fava was the co-Principal Investigator with Dr. A. John Rush of the STAR*D study, the largest clinical trial conducted in depression to date, whose findings were published in journals such as the </w:t>
      </w:r>
      <w:r>
        <w:rPr>
          <w:rFonts w:ascii="Times New Roman" w:cs="Times New Roman" w:eastAsia="Times New Roman" w:hAnsi="Times New Roman"/>
          <w:sz w:val="18"/>
          <w:szCs w:val="18"/>
          <w:i w:val="1"/>
          <w:iCs w:val="1"/>
          <w:color w:val="auto"/>
        </w:rPr>
        <w:t>New England Journal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Medicine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NEJM</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i w:val="1"/>
          <w:iCs w:val="1"/>
          <w:color w:val="auto"/>
        </w:rPr>
        <w:t xml:space="preserve"> Journal of the American Medical Association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JAMA</w:t>
      </w:r>
      <w:r>
        <w:rPr>
          <w:rFonts w:ascii="Times New Roman" w:cs="Times New Roman" w:eastAsia="Times New Roman" w:hAnsi="Times New Roman"/>
          <w:sz w:val="18"/>
          <w:szCs w:val="18"/>
          <w:color w:val="auto"/>
        </w:rPr>
        <w:t>). We expect to complete this study by the end of 2018, with top 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available in the first quarter of 2019.</w:t>
      </w:r>
    </w:p>
    <w:p>
      <w:pPr>
        <w:sectPr>
          <w:pgSz w:w="11900" w:h="16838" w:orient="portrait"/>
          <w:cols w:equalWidth="0" w:num="1">
            <w:col w:w="10940"/>
          </w:cols>
          <w:pgMar w:left="240" w:top="123"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123" w:right="719" w:bottom="1440" w:gutter="0" w:footer="0" w:header="0"/>
          <w:type w:val="continuous"/>
        </w:sectPr>
      </w:pPr>
    </w:p>
    <w:bookmarkStart w:id="7" w:name="page8"/>
    <w:bookmarkEnd w:id="7"/>
    <w:p>
      <w:pPr>
        <w:spacing w:after="0" w:line="1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568960</wp:posOffset>
            </wp:positionV>
            <wp:extent cx="7031990" cy="73063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1990" cy="7306310"/>
                    </a:xfrm>
                    <a:prstGeom prst="rect">
                      <a:avLst/>
                    </a:prstGeom>
                    <a:noFill/>
                  </pic:spPr>
                </pic:pic>
              </a:graphicData>
            </a:graphic>
          </wp:anchor>
        </w:drawing>
      </w:r>
    </w:p>
    <w:p>
      <w:pPr>
        <w:ind w:right="60"/>
        <w:spacing w:after="0" w:line="253" w:lineRule="auto"/>
        <w:rPr>
          <w:sz w:val="20"/>
          <w:szCs w:val="20"/>
          <w:color w:val="auto"/>
        </w:rPr>
      </w:pPr>
      <w:r>
        <w:rPr>
          <w:rFonts w:ascii="Times New Roman" w:cs="Times New Roman" w:eastAsia="Times New Roman" w:hAnsi="Times New Roman"/>
          <w:sz w:val="18"/>
          <w:szCs w:val="18"/>
          <w:color w:val="auto"/>
        </w:rPr>
        <w:t>VistaStem Therapeutics (</w:t>
      </w:r>
      <w:r>
        <w:rPr>
          <w:rFonts w:ascii="Times New Roman" w:cs="Times New Roman" w:eastAsia="Times New Roman" w:hAnsi="Times New Roman"/>
          <w:sz w:val="18"/>
          <w:szCs w:val="18"/>
          <w:i w:val="1"/>
          <w:iCs w:val="1"/>
          <w:color w:val="auto"/>
        </w:rPr>
        <w:t>VistaStem</w:t>
      </w:r>
      <w:r>
        <w:rPr>
          <w:rFonts w:ascii="Times New Roman" w:cs="Times New Roman" w:eastAsia="Times New Roman" w:hAnsi="Times New Roman"/>
          <w:sz w:val="18"/>
          <w:szCs w:val="18"/>
          <w:color w:val="auto"/>
        </w:rPr>
        <w:t>) is our wholly owned subsidiary focused on applying human pluripotent stem cell (</w:t>
      </w:r>
      <w:r>
        <w:rPr>
          <w:rFonts w:ascii="Times New Roman" w:cs="Times New Roman" w:eastAsia="Times New Roman" w:hAnsi="Times New Roman"/>
          <w:sz w:val="18"/>
          <w:szCs w:val="18"/>
          <w:i w:val="1"/>
          <w:iCs w:val="1"/>
          <w:color w:val="auto"/>
        </w:rPr>
        <w:t>hPSC</w:t>
      </w:r>
      <w:r>
        <w:rPr>
          <w:rFonts w:ascii="Times New Roman" w:cs="Times New Roman" w:eastAsia="Times New Roman" w:hAnsi="Times New Roman"/>
          <w:sz w:val="18"/>
          <w:szCs w:val="18"/>
          <w:color w:val="auto"/>
        </w:rPr>
        <w:t>) technology to discover, rescue, develop and commercialize (i) proprietary new chemical entities (</w:t>
      </w:r>
      <w:r>
        <w:rPr>
          <w:rFonts w:ascii="Times New Roman" w:cs="Times New Roman" w:eastAsia="Times New Roman" w:hAnsi="Times New Roman"/>
          <w:sz w:val="18"/>
          <w:szCs w:val="18"/>
          <w:i w:val="1"/>
          <w:iCs w:val="1"/>
          <w:color w:val="auto"/>
        </w:rPr>
        <w:t>NCEs</w:t>
      </w:r>
      <w:r>
        <w:rPr>
          <w:rFonts w:ascii="Times New Roman" w:cs="Times New Roman" w:eastAsia="Times New Roman" w:hAnsi="Times New Roman"/>
          <w:sz w:val="18"/>
          <w:szCs w:val="18"/>
          <w:color w:val="auto"/>
        </w:rPr>
        <w:t>) for CNS and other diseases and (ii) regenerative medicine (</w:t>
      </w:r>
      <w:r>
        <w:rPr>
          <w:rFonts w:ascii="Times New Roman" w:cs="Times New Roman" w:eastAsia="Times New Roman" w:hAnsi="Times New Roman"/>
          <w:sz w:val="18"/>
          <w:szCs w:val="18"/>
          <w:i w:val="1"/>
          <w:iCs w:val="1"/>
          <w:color w:val="auto"/>
        </w:rPr>
        <w:t>RM</w:t>
      </w:r>
      <w:r>
        <w:rPr>
          <w:rFonts w:ascii="Times New Roman" w:cs="Times New Roman" w:eastAsia="Times New Roman" w:hAnsi="Times New Roman"/>
          <w:sz w:val="18"/>
          <w:szCs w:val="18"/>
          <w:color w:val="auto"/>
        </w:rPr>
        <w:t xml:space="preserve">) involving hPSC-derived blood, cartilage, heart and liver cells. Our internal drug rescue programs are designed to utilize </w:t>
      </w:r>
      <w:r>
        <w:rPr>
          <w:rFonts w:ascii="Times New Roman" w:cs="Times New Roman" w:eastAsia="Times New Roman" w:hAnsi="Times New Roman"/>
          <w:sz w:val="18"/>
          <w:szCs w:val="18"/>
          <w:i w:val="1"/>
          <w:iCs w:val="1"/>
          <w:color w:val="auto"/>
        </w:rPr>
        <w:t>CardioSafe 3D</w:t>
      </w:r>
      <w:r>
        <w:rPr>
          <w:rFonts w:ascii="Times New Roman" w:cs="Times New Roman" w:eastAsia="Times New Roman" w:hAnsi="Times New Roman"/>
          <w:sz w:val="18"/>
          <w:szCs w:val="18"/>
          <w:color w:val="auto"/>
        </w:rPr>
        <w:t>, our customized cardiac bioassay system, to develop small molecule NCEs for our pipeline. To advance potential RM applications of our cardiac stem cell technology, in December 2016, we exclusively sublicensed to BlueRock Therapeutics LP, a next generation RM company established by Bayer AG and Versant Ventures (</w:t>
      </w:r>
      <w:r>
        <w:rPr>
          <w:rFonts w:ascii="Times New Roman" w:cs="Times New Roman" w:eastAsia="Times New Roman" w:hAnsi="Times New Roman"/>
          <w:sz w:val="18"/>
          <w:szCs w:val="18"/>
          <w:i w:val="1"/>
          <w:iCs w:val="1"/>
          <w:color w:val="auto"/>
        </w:rPr>
        <w:t>BlueRock Therapeutics</w:t>
      </w:r>
      <w:r>
        <w:rPr>
          <w:rFonts w:ascii="Times New Roman" w:cs="Times New Roman" w:eastAsia="Times New Roman" w:hAnsi="Times New Roman"/>
          <w:sz w:val="18"/>
          <w:szCs w:val="18"/>
          <w:color w:val="auto"/>
        </w:rPr>
        <w:t xml:space="preserve">), rights to certain proprietary technologies relating to the production of cardiac stem cells for the treatment of heart disease (the </w:t>
      </w:r>
      <w:r>
        <w:rPr>
          <w:rFonts w:ascii="Times New Roman" w:cs="Times New Roman" w:eastAsia="Times New Roman" w:hAnsi="Times New Roman"/>
          <w:sz w:val="18"/>
          <w:szCs w:val="18"/>
          <w:i w:val="1"/>
          <w:iCs w:val="1"/>
          <w:color w:val="auto"/>
        </w:rPr>
        <w:t>BlueRock Agreement</w:t>
      </w:r>
      <w:r>
        <w:rPr>
          <w:rFonts w:ascii="Times New Roman" w:cs="Times New Roman" w:eastAsia="Times New Roman" w:hAnsi="Times New Roman"/>
          <w:sz w:val="18"/>
          <w:szCs w:val="18"/>
          <w:color w:val="auto"/>
        </w:rPr>
        <w:t>). In a manner similar to our exclusive sublicense agreement with BlueRock Therapeutics, we may pursue additional RM collaborations or licensing transactions involving blood, cartilage, and/or liver cells derived from hPSCs for (A) cell-based therapy, (B) cell repair therapy, and/or (C) tissue engineering.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AV-101 and Major Depressive Disorder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w:t>
      </w:r>
    </w:p>
    <w:p>
      <w:pPr>
        <w:spacing w:after="0" w:line="2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World Health Organization (</w:t>
      </w:r>
      <w:r>
        <w:rPr>
          <w:rFonts w:ascii="Times New Roman" w:cs="Times New Roman" w:eastAsia="Times New Roman" w:hAnsi="Times New Roman"/>
          <w:sz w:val="18"/>
          <w:szCs w:val="18"/>
          <w:i w:val="1"/>
          <w:iCs w:val="1"/>
          <w:color w:val="auto"/>
        </w:rPr>
        <w:t>WHO</w:t>
      </w:r>
      <w:r>
        <w:rPr>
          <w:rFonts w:ascii="Times New Roman" w:cs="Times New Roman" w:eastAsia="Times New Roman" w:hAnsi="Times New Roman"/>
          <w:sz w:val="18"/>
          <w:szCs w:val="18"/>
          <w:color w:val="auto"/>
        </w:rPr>
        <w:t>) estimates that 300 million people worldwide are affected by depression. According to the NIH, major depression is one of the most common mental disorders in the U.S. The NIMH reports that, in 2014, approximately 16 million adults in the U.S. had at least one major depressive episode in the past year. According to the U.S. Centers for Disease Control and Prevention (</w:t>
      </w:r>
      <w:r>
        <w:rPr>
          <w:rFonts w:ascii="Times New Roman" w:cs="Times New Roman" w:eastAsia="Times New Roman" w:hAnsi="Times New Roman"/>
          <w:sz w:val="18"/>
          <w:szCs w:val="18"/>
          <w:i w:val="1"/>
          <w:iCs w:val="1"/>
          <w:color w:val="auto"/>
        </w:rPr>
        <w:t>CDC</w:t>
      </w:r>
      <w:r>
        <w:rPr>
          <w:rFonts w:ascii="Times New Roman" w:cs="Times New Roman" w:eastAsia="Times New Roman" w:hAnsi="Times New Roman"/>
          <w:sz w:val="18"/>
          <w:szCs w:val="18"/>
          <w:color w:val="auto"/>
        </w:rPr>
        <w:t>) one in 10 Americans over the age of 12 takes a standard, FDA-approved antidepressant.</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Most standard antidepressants target neurotransmitter reuptake inhibition – either serotonin (antidepressants known as </w:t>
      </w:r>
      <w:r>
        <w:rPr>
          <w:rFonts w:ascii="Times New Roman" w:cs="Times New Roman" w:eastAsia="Times New Roman" w:hAnsi="Times New Roman"/>
          <w:sz w:val="18"/>
          <w:szCs w:val="18"/>
          <w:i w:val="1"/>
          <w:iCs w:val="1"/>
          <w:color w:val="auto"/>
        </w:rPr>
        <w:t>SSRIs</w:t>
      </w:r>
      <w:r>
        <w:rPr>
          <w:rFonts w:ascii="Times New Roman" w:cs="Times New Roman" w:eastAsia="Times New Roman" w:hAnsi="Times New Roman"/>
          <w:sz w:val="18"/>
          <w:szCs w:val="18"/>
          <w:color w:val="auto"/>
        </w:rPr>
        <w:t xml:space="preserve">) or serotonin/norepinephrine (antidepressants known as </w:t>
      </w:r>
      <w:r>
        <w:rPr>
          <w:rFonts w:ascii="Times New Roman" w:cs="Times New Roman" w:eastAsia="Times New Roman" w:hAnsi="Times New Roman"/>
          <w:sz w:val="18"/>
          <w:szCs w:val="18"/>
          <w:i w:val="1"/>
          <w:iCs w:val="1"/>
          <w:color w:val="auto"/>
        </w:rPr>
        <w:t>SNRIs</w:t>
      </w:r>
      <w:r>
        <w:rPr>
          <w:rFonts w:ascii="Times New Roman" w:cs="Times New Roman" w:eastAsia="Times New Roman" w:hAnsi="Times New Roman"/>
          <w:sz w:val="18"/>
          <w:szCs w:val="18"/>
          <w:color w:val="auto"/>
        </w:rPr>
        <w:t>). Even when effective, these standard antidepressants take many weeks to achieve adequate therapeutic effects. Nearly two out of every three drug-treated depression patients do not obtain adequate therapeutic benefit from initial treatment with a standard antidepressant. Even after treatment with many different standard antidepressants, nearly one out of every three drug-treated depression patients still do not achieve adequate therapeutic benefits from their antidepressant medication. Such patients with an inadequate response to standard antidepressants often seek to augment their treatment regimen by adding an atypical antipsychotic (drugs such as aripiprazole), despite only modest potential therapeutic benefit and the significant risk of additional side effects.</w:t>
      </w:r>
    </w:p>
    <w:p>
      <w:pPr>
        <w:spacing w:after="0" w:line="191"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18"/>
          <w:szCs w:val="18"/>
          <w:color w:val="auto"/>
        </w:rPr>
        <w:t>All standard antidepressants have risks of side effects, including, among others, anxiety, metabolic syndrome, sleep disturbance and sexual dysfunction. Adjunctive use of atypical antipsychotics to augment inadequately performing standard antidepressants may increase the risk of significant side effects, including, tardive dyskinesia, substantial weight gain, diabetes and heart disease, while offering only a modest potential increase in therapeutic benefit.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AV-101</w:t>
      </w:r>
    </w:p>
    <w:p>
      <w:pPr>
        <w:spacing w:after="0" w:line="22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 xml:space="preserve">AV-101 is our oral CNS product candidate in Phase 2 development in the United States, initially focused as a new generation antidepressant for the adjunctive treatment of MDD patients with an inadequate therapeutic response to standard, FDA-approved antidepressants. As published in the October 2015 issue of the peer-reviewed, </w:t>
      </w:r>
      <w:r>
        <w:rPr>
          <w:rFonts w:ascii="Times New Roman" w:cs="Times New Roman" w:eastAsia="Times New Roman" w:hAnsi="Times New Roman"/>
          <w:sz w:val="18"/>
          <w:szCs w:val="18"/>
          <w:i w:val="1"/>
          <w:iCs w:val="1"/>
          <w:color w:val="auto"/>
        </w:rPr>
        <w:t>Journal of Pharmacology and Experimental Therapeutics,</w:t>
      </w:r>
      <w:r>
        <w:rPr>
          <w:rFonts w:ascii="Times New Roman" w:cs="Times New Roman" w:eastAsia="Times New Roman" w:hAnsi="Times New Roman"/>
          <w:sz w:val="18"/>
          <w:szCs w:val="18"/>
          <w:color w:val="auto"/>
        </w:rPr>
        <w:t xml:space="preserve"> in an article titled, “The prodrug 4-chlorokynurenine causes ketamine-like antidepressant effects, but not side effects, by NMDA/glycineB-site inhibition,” using well-established preclinical models of depression, AV-101 was shown to induce fast-acting, dose-dependent, persistent and statistically significant ketamine-like antidepressant effects following a single treatment, responses equivalent to those seen with a single sub-anesthetic control dose of ketamine, but without the negative side effects seen with ketamine. In addition, these studies confirmed that the antidepressant effects of AV-101 were mediated through both inhibition of the GlyB site of NMDA receptors and activation of the AMPA receptor pathway in the brain, a key final common pathway feature of certain new generation antidepressants such as ketamine and AV-101, each with a MOA that is fundamentally different from all standard antidepressants and atypical antipsychotics used adjunctively to augment them.</w:t>
      </w:r>
    </w:p>
    <w:p>
      <w:pPr>
        <w:spacing w:after="0" w:line="19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completed two NIH-funded, randomized, double blind, placebo-controlled AV-101 Phase 1 safety studies. Currently, pursuant to our CRADA with the NIMH and Dr. Carlos Zarate, Jr., the NIMH is currently funding, and Dr. Zarate, as Principal Investigator, and his team are currently conducting, the NIMH AV-101 MDD Phase 2 Monotherapy Study. Although we are not involved in conducting this study, we currently anticipate that the NIMH will complete the NIMH AV-101 MDD Phase 2 Monotherapy Study during the first half of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20"/>
          </w:cols>
          <w:pgMar w:left="580" w:top="1440" w:right="699" w:bottom="1440" w:gutter="0" w:footer="0" w:header="0"/>
        </w:sectPr>
      </w:pPr>
    </w:p>
    <w:bookmarkStart w:id="8" w:name="page9"/>
    <w:bookmarkEnd w:id="8"/>
    <w:p>
      <w:pPr>
        <w:spacing w:after="0"/>
        <w:rPr>
          <w:rFonts w:ascii="Times New Roman" w:cs="Times New Roman" w:eastAsia="Times New Roman" w:hAnsi="Times New Roman"/>
          <w:sz w:val="16"/>
          <w:szCs w:val="16"/>
          <w:i w:val="1"/>
          <w:iCs w:val="1"/>
          <w:u w:val="single" w:color="auto"/>
          <w:color w:val="0000EE"/>
        </w:rPr>
      </w:pPr>
      <w:hyperlink w:anchor="page5">
        <w:r>
          <w:rPr>
            <w:rFonts w:ascii="Times New Roman" w:cs="Times New Roman" w:eastAsia="Times New Roman" w:hAnsi="Times New Roman"/>
            <w:sz w:val="16"/>
            <w:szCs w:val="16"/>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236855</wp:posOffset>
            </wp:positionV>
            <wp:extent cx="7031990" cy="7581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1990" cy="7581265"/>
                    </a:xfrm>
                    <a:prstGeom prst="rect">
                      <a:avLst/>
                    </a:prstGeom>
                    <a:noFill/>
                  </pic:spPr>
                </pic:pic>
              </a:graphicData>
            </a:graphic>
          </wp:anchor>
        </w:drawing>
      </w:r>
    </w:p>
    <w:p>
      <w:pPr>
        <w:sectPr>
          <w:pgSz w:w="11900" w:h="16838" w:orient="portrait"/>
          <w:cols w:equalWidth="0" w:num="1">
            <w:col w:w="10960"/>
          </w:cols>
          <w:pgMar w:left="240" w:top="123"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spacing w:after="0" w:line="252" w:lineRule="auto"/>
        <w:rPr>
          <w:sz w:val="20"/>
          <w:szCs w:val="20"/>
          <w:color w:val="auto"/>
        </w:rPr>
      </w:pPr>
      <w:r>
        <w:rPr>
          <w:rFonts w:ascii="Times New Roman" w:cs="Times New Roman" w:eastAsia="Times New Roman" w:hAnsi="Times New Roman"/>
          <w:sz w:val="18"/>
          <w:szCs w:val="18"/>
          <w:color w:val="auto"/>
        </w:rPr>
        <w:t>We are preparing to begin the AV-101 MDD Phase 2 Adjunctive Treatment Study, which will test the safety, efficacy and tolerability of AV-101 as an adjunctive treatment of MDD in adult patients with an inadequate therapeutic response to standard, FDA-approved antidepressants. Subject to completion of this offering, we intend to launch the AV-101 MDD Phase 2 Adjunctive Treatment Study in the first quarter of 2018. In connection with our preparation for this study, as well as potential Phase 3 development and commercialization of AV-101, we, together with our contract manufacturing organization (</w:t>
      </w:r>
      <w:r>
        <w:rPr>
          <w:rFonts w:ascii="Times New Roman" w:cs="Times New Roman" w:eastAsia="Times New Roman" w:hAnsi="Times New Roman"/>
          <w:sz w:val="18"/>
          <w:szCs w:val="18"/>
          <w:i w:val="1"/>
          <w:iCs w:val="1"/>
          <w:color w:val="auto"/>
        </w:rPr>
        <w:t>CMO</w:t>
      </w:r>
      <w:r>
        <w:rPr>
          <w:rFonts w:ascii="Times New Roman" w:cs="Times New Roman" w:eastAsia="Times New Roman" w:hAnsi="Times New Roman"/>
          <w:sz w:val="18"/>
          <w:szCs w:val="18"/>
          <w:color w:val="auto"/>
        </w:rPr>
        <w:t>), developed a novel process for the production of AV-101 drug substance. We believe our new proprietary production process will significantly improve AV-101 manufacturing efficiency, thereby reducing the current and future cost of manufacturing AV-101 drug substance and improving the yield of AV-101 drug substance manufactured. While developing our new manufacturing process, our CMO produced a batch of AV-101 drug substance that contained certain impurities not within the limits set out by the International Conference on Harmonisation of Technical Requirements for Registration of Pharmaceuticals for Human Use (</w:t>
      </w:r>
      <w:r>
        <w:rPr>
          <w:rFonts w:ascii="Times New Roman" w:cs="Times New Roman" w:eastAsia="Times New Roman" w:hAnsi="Times New Roman"/>
          <w:sz w:val="18"/>
          <w:szCs w:val="18"/>
          <w:i w:val="1"/>
          <w:iCs w:val="1"/>
          <w:color w:val="auto"/>
        </w:rPr>
        <w:t>the ICH Guidelines</w:t>
      </w:r>
      <w:r>
        <w:rPr>
          <w:rFonts w:ascii="Times New Roman" w:cs="Times New Roman" w:eastAsia="Times New Roman" w:hAnsi="Times New Roman"/>
          <w:sz w:val="18"/>
          <w:szCs w:val="18"/>
          <w:color w:val="auto"/>
        </w:rPr>
        <w:t>). The FDA routinely utilizes the ICH Guidelines as an industry standard for development stage programs such as our AV-101 Phase 2 program. Consequently, the FDA placed a clinical hold on the launch of the AV-101 MDD Phase 2 Adjunctive Treatment Study until we either (a) further improved our AV-101 manufacturing process to remove the impurities or reduce the impurities below applicable limits in the ICH Guidelines, or (b) conducted a bridging toxicology study to qualify the impurities as safe for clinical use. In response to the FDA’s requests, we did both. We further improved our AV-101 manufacturing process, produced a new batch of AV-101 drug substance using the improved process, and now have analytical results from that batch showing that the impurities were reduced to a level below the limits of the ICH Guidelines. In addition, we conducted a bridging toxicology study, the results of which confirmed that the impurities were safe for clinical use.</w:t>
      </w:r>
    </w:p>
    <w:p>
      <w:pPr>
        <w:spacing w:after="0" w:line="196" w:lineRule="exact"/>
        <w:rPr>
          <w:sz w:val="20"/>
          <w:szCs w:val="20"/>
          <w:color w:val="auto"/>
        </w:rPr>
      </w:pPr>
    </w:p>
    <w:p>
      <w:pPr>
        <w:ind w:left="340" w:right="280"/>
        <w:spacing w:after="0" w:line="293" w:lineRule="auto"/>
        <w:rPr>
          <w:sz w:val="20"/>
          <w:szCs w:val="20"/>
          <w:color w:val="auto"/>
        </w:rPr>
      </w:pPr>
      <w:r>
        <w:rPr>
          <w:rFonts w:ascii="Times New Roman" w:cs="Times New Roman" w:eastAsia="Times New Roman" w:hAnsi="Times New Roman"/>
          <w:sz w:val="16"/>
          <w:szCs w:val="16"/>
          <w:color w:val="auto"/>
        </w:rPr>
        <w:t>The FDA also requested additional contraceptive protection in the upcoming clinical study until we complete preclinical reproductive toxicology studies that are routinely conducted later in stages of clinical development. Although previous toxicology studies for AV-101 do not suggest any reproductive organ involvement, and we have confirmed with the FDA that our proposed study is a Phase 2 study, we have implemented additional contraceptive measures in the revised protocol for the AV-101 MDD Phase 2 Adjunctive Treatment Study that will remain in effect until standard reproductive toxicology studies are completed in the ordinary course prior to commencement of Phase 3 development. We have confirmed with the FDA that our recently implemented contraceptive measures are appropriate for the current stage of development of AV-101.</w:t>
      </w:r>
    </w:p>
    <w:p>
      <w:pPr>
        <w:spacing w:after="0" w:line="165" w:lineRule="exact"/>
        <w:rPr>
          <w:sz w:val="20"/>
          <w:szCs w:val="20"/>
          <w:color w:val="auto"/>
        </w:rPr>
      </w:pPr>
    </w:p>
    <w:p>
      <w:pPr>
        <w:ind w:left="340" w:right="120"/>
        <w:spacing w:after="0" w:line="296" w:lineRule="auto"/>
        <w:rPr>
          <w:sz w:val="20"/>
          <w:szCs w:val="20"/>
          <w:color w:val="auto"/>
        </w:rPr>
      </w:pPr>
      <w:r>
        <w:rPr>
          <w:rFonts w:ascii="Times New Roman" w:cs="Times New Roman" w:eastAsia="Times New Roman" w:hAnsi="Times New Roman"/>
          <w:sz w:val="16"/>
          <w:szCs w:val="16"/>
          <w:color w:val="auto"/>
        </w:rPr>
        <w:t>In September 2017, we requested, and were granted, a pre-IND Type A meeting with the FDA’s Division of Psychiatry to discuss certain matters pertaining to our AV-101 development program and the AV-101 MDD Phase 2 Adjunctive Treatment Study. Subsequent to our Type A Meeting with the FDA, we submitted the supplemental data from our new manufacturing process, the bridging toxicology report and our study protocol, revised to address the FDA’s comments. These documents adequately addressed all concerns raised by the FDA to date. Consequently, on October 26, 2017, the FDA authorized us to proceed, under our Investigational New Drug (</w:t>
      </w:r>
      <w:r>
        <w:rPr>
          <w:rFonts w:ascii="Times New Roman" w:cs="Times New Roman" w:eastAsia="Times New Roman" w:hAnsi="Times New Roman"/>
          <w:sz w:val="16"/>
          <w:szCs w:val="16"/>
          <w:i w:val="1"/>
          <w:iCs w:val="1"/>
          <w:color w:val="auto"/>
        </w:rPr>
        <w:t>IND</w:t>
      </w:r>
      <w:r>
        <w:rPr>
          <w:rFonts w:ascii="Times New Roman" w:cs="Times New Roman" w:eastAsia="Times New Roman" w:hAnsi="Times New Roman"/>
          <w:sz w:val="16"/>
          <w:szCs w:val="16"/>
          <w:color w:val="auto"/>
        </w:rPr>
        <w:t>) application, with the AV-101 MDD Phase 2 Adjunctive Treatment Study.</w:t>
      </w:r>
    </w:p>
    <w:p>
      <w:pPr>
        <w:spacing w:after="0" w:line="162"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 xml:space="preserve">We believe preclinical studies and Phase 1 safety studies support our hypothesis that AV-101 also has potential as a non-opioid treatment alternative for neuropathic pain, as well as several additional CNS indications </w:t>
      </w:r>
      <w:r>
        <w:rPr>
          <w:rFonts w:ascii="Times New Roman" w:cs="Times New Roman" w:eastAsia="Times New Roman" w:hAnsi="Times New Roman"/>
          <w:sz w:val="18"/>
          <w:szCs w:val="18"/>
          <w:color w:val="333333"/>
        </w:rPr>
        <w:t>where modulation of the NMDA receptors, activation of AMPA pathways and/or key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active metabolites of AV-101 may achieve therapeutic benefit</w:t>
      </w:r>
      <w:r>
        <w:rPr>
          <w:rFonts w:ascii="Times New Roman" w:cs="Times New Roman" w:eastAsia="Times New Roman" w:hAnsi="Times New Roman"/>
          <w:sz w:val="18"/>
          <w:szCs w:val="18"/>
          <w:color w:val="000000"/>
        </w:rPr>
        <w:t>, including PD LID, epilepsy, and Huntington’s disease. We are beginning to plan</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additional Phase 2 clinical studies to further evaluate the therapeutic potential of AV-101 beyond MDD.</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CardioSafe 3D™; NCE Drug Rescue and Regenerative Medicine</w:t>
      </w:r>
    </w:p>
    <w:p>
      <w:pPr>
        <w:spacing w:after="0" w:line="227" w:lineRule="exact"/>
        <w:rPr>
          <w:sz w:val="20"/>
          <w:szCs w:val="20"/>
          <w:color w:val="auto"/>
        </w:rPr>
      </w:pPr>
    </w:p>
    <w:p>
      <w:pPr>
        <w:ind w:left="340" w:right="20"/>
        <w:spacing w:after="0" w:line="252" w:lineRule="auto"/>
        <w:rPr>
          <w:sz w:val="20"/>
          <w:szCs w:val="20"/>
          <w:color w:val="auto"/>
        </w:rPr>
      </w:pPr>
      <w:r>
        <w:rPr>
          <w:rFonts w:ascii="Times New Roman" w:cs="Times New Roman" w:eastAsia="Times New Roman" w:hAnsi="Times New Roman"/>
          <w:sz w:val="18"/>
          <w:szCs w:val="18"/>
          <w:color w:val="auto"/>
        </w:rPr>
        <w:t xml:space="preserve">VistaStem Therapeutics is our wholly owned subsidiary focused on applying hPSC technology to discover, rescue, develop and commercialize proprietary small molecule NCEs for CNS and other diseases, as well as potential cellular therapies involving stem cell-derived blood, cartilage, heart and liver cells.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is our customized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cardiac bioassay system capable of predicting potential human heart toxicity of small molecule NCEs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long before they are ever tested in animal and human studies. Potential commercial applications of our stem cell technology platform involve using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internally for NCE drug discovery and drug rescue to expand our proprietary drug candidate pipeline. Drug rescue involves leveraging substantial prior research and development investments by pharmaceutical companies and others related to public domain NCE programs terminated before FDA approval due to heart toxicity risks and RM and cellular therapies. To advance potential RM applications of our cardiac stem cell technology, in December 2016, we exclusively sublicensed to BlueRock Therapeutics LP, a next generation regenerative medicine company established by Bayer AG and Versant Ventures, rights to certain proprietary technologies relating to the production of cardiac stem cells for the treatment of heart disease. In a manner similar to the BlueRock Agreement, we may also pursue additional potential RM applications using blood, cartilage, and/or liver cells derived from hPSCs for (A) cell-based therapy (injection of stem cell-derived mature organ-specific cells obtained through directed differentiation), (B) cell repair therapy (induction of regeneration by biologically active molecules administered alone or produced by infused genetically engineered cells), or (C) tissue engineering (transplantation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grown complex tissues) using hPSC-derived blood, bone, cartilage, and/or liver cells.</w:t>
      </w:r>
    </w:p>
    <w:p>
      <w:pPr>
        <w:sectPr>
          <w:pgSz w:w="11900" w:h="16838" w:orient="portrait"/>
          <w:cols w:equalWidth="0" w:num="1">
            <w:col w:w="10960"/>
          </w:cols>
          <w:pgMar w:left="240" w:top="123"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60"/>
          </w:cols>
          <w:pgMar w:left="240" w:top="123" w:right="699" w:bottom="1440" w:gutter="0" w:footer="0" w:header="0"/>
          <w:type w:val="continuous"/>
        </w:sectPr>
      </w:pPr>
    </w:p>
    <w:bookmarkStart w:id="9" w:name="page10"/>
    <w:bookmarkEnd w:id="9"/>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256540</wp:posOffset>
            </wp:positionV>
            <wp:extent cx="7023735" cy="4733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23735" cy="4733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ind w:left="340" w:right="200"/>
        <w:spacing w:after="0" w:line="342" w:lineRule="auto"/>
        <w:rPr>
          <w:sz w:val="20"/>
          <w:szCs w:val="20"/>
          <w:color w:val="auto"/>
        </w:rPr>
      </w:pPr>
      <w:r>
        <w:rPr>
          <w:rFonts w:ascii="Times New Roman" w:cs="Times New Roman" w:eastAsia="Times New Roman" w:hAnsi="Times New Roman"/>
          <w:sz w:val="16"/>
          <w:szCs w:val="16"/>
          <w:color w:val="auto"/>
        </w:rPr>
        <w:t>Our business is subject to substantial risk. Please carefully consider the section titled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on page 7 of this prospectus for a discussion of the factors you should carefully consider before deciding to purchase the securities offered by this prospectus. These risks include, among others:</w:t>
      </w:r>
    </w:p>
    <w:p>
      <w:pPr>
        <w:spacing w:after="0" w:line="126" w:lineRule="exact"/>
        <w:rPr>
          <w:sz w:val="20"/>
          <w:szCs w:val="20"/>
          <w:color w:val="auto"/>
        </w:rPr>
      </w:pPr>
    </w:p>
    <w:p>
      <w:pPr>
        <w:ind w:left="840" w:right="280" w:hanging="332"/>
        <w:spacing w:after="0" w:line="275"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development stage biopharmaceutical company with no current revenues or approved products, and limited experience developing new drug, biological and/or regenerative medicine candidates, which makes it difficult to assess our future viability;</w:t>
      </w:r>
    </w:p>
    <w:p>
      <w:pPr>
        <w:spacing w:after="0" w:line="38" w:lineRule="exact"/>
        <w:rPr>
          <w:rFonts w:ascii="Times New Roman" w:cs="Times New Roman" w:eastAsia="Times New Roman" w:hAnsi="Times New Roman"/>
          <w:sz w:val="18"/>
          <w:szCs w:val="18"/>
          <w:color w:val="auto"/>
        </w:rPr>
      </w:pPr>
    </w:p>
    <w:p>
      <w:pPr>
        <w:ind w:left="840" w:right="240" w:hanging="332"/>
        <w:spacing w:after="0" w:line="275"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the success of AV-101, and we cannot be certain that we will be able to obtain regulatory approval for, or successfully commercialize, AV-101, or any product candidate;</w:t>
      </w:r>
    </w:p>
    <w:p>
      <w:pPr>
        <w:spacing w:after="0" w:line="38" w:lineRule="exact"/>
        <w:rPr>
          <w:rFonts w:ascii="Times New Roman" w:cs="Times New Roman" w:eastAsia="Times New Roman" w:hAnsi="Times New Roman"/>
          <w:sz w:val="18"/>
          <w:szCs w:val="18"/>
          <w:color w:val="auto"/>
        </w:rPr>
      </w:pPr>
    </w:p>
    <w:p>
      <w:pPr>
        <w:ind w:left="840" w:right="20" w:hanging="332"/>
        <w:spacing w:after="0" w:line="275"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the commencement or completion of our planned clinical trials could delay, prevent or limit our ability to generate revenue and continue our business;</w:t>
      </w:r>
    </w:p>
    <w:p>
      <w:pPr>
        <w:spacing w:after="0" w:line="38" w:lineRule="exact"/>
        <w:rPr>
          <w:rFonts w:ascii="Times New Roman" w:cs="Times New Roman" w:eastAsia="Times New Roman" w:hAnsi="Times New Roman"/>
          <w:sz w:val="18"/>
          <w:szCs w:val="18"/>
          <w:color w:val="auto"/>
        </w:rPr>
      </w:pPr>
    </w:p>
    <w:p>
      <w:pPr>
        <w:ind w:left="840" w:right="400" w:hanging="332"/>
        <w:spacing w:after="0" w:line="275"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we are unable to compete effectively, we may not be able to achieve or maintain significant market penetration or improve our results of operations;</w:t>
      </w:r>
    </w:p>
    <w:p>
      <w:pPr>
        <w:spacing w:after="0" w:line="38"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programs have been partially supported by government grants, which may not be available to us in the future;</w:t>
      </w:r>
    </w:p>
    <w:p>
      <w:pPr>
        <w:spacing w:after="0" w:line="90" w:lineRule="exact"/>
        <w:rPr>
          <w:rFonts w:ascii="Times New Roman" w:cs="Times New Roman" w:eastAsia="Times New Roman" w:hAnsi="Times New Roman"/>
          <w:sz w:val="18"/>
          <w:szCs w:val="18"/>
          <w:color w:val="auto"/>
        </w:rPr>
      </w:pPr>
    </w:p>
    <w:p>
      <w:pPr>
        <w:ind w:left="840" w:hanging="332"/>
        <w:spacing w:after="0" w:line="262"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 and</w:t>
      </w:r>
    </w:p>
    <w:p>
      <w:pPr>
        <w:spacing w:after="0" w:line="51"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inception and we will continue to incur substantial operating losses for the foreseeable future.</w:t>
      </w:r>
    </w:p>
    <w:p>
      <w:pPr>
        <w:spacing w:after="0" w:line="225" w:lineRule="exact"/>
        <w:rPr>
          <w:sz w:val="20"/>
          <w:szCs w:val="20"/>
          <w:color w:val="auto"/>
        </w:rPr>
      </w:pPr>
    </w:p>
    <w:p>
      <w:pPr>
        <w:ind w:left="340" w:right="460"/>
        <w:spacing w:after="0" w:line="275" w:lineRule="auto"/>
        <w:rPr>
          <w:sz w:val="20"/>
          <w:szCs w:val="20"/>
          <w:color w:val="auto"/>
        </w:rPr>
      </w:pPr>
      <w:r>
        <w:rPr>
          <w:rFonts w:ascii="Times New Roman" w:cs="Times New Roman" w:eastAsia="Times New Roman" w:hAnsi="Times New Roman"/>
          <w:sz w:val="18"/>
          <w:szCs w:val="18"/>
          <w:color w:val="auto"/>
        </w:rPr>
        <w:t>Additional risks and uncertainties not presently known to us or that we currently deem immaterial may also impair our business operations. You should be able to bear a complete loss of your investment.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7" w:lineRule="exact"/>
        <w:rPr>
          <w:sz w:val="20"/>
          <w:szCs w:val="20"/>
          <w:color w:val="auto"/>
        </w:rPr>
      </w:pPr>
    </w:p>
    <w:p>
      <w:pPr>
        <w:jc w:val="both"/>
        <w:ind w:left="340" w:right="140"/>
        <w:spacing w:after="0" w:line="301" w:lineRule="auto"/>
        <w:rPr>
          <w:sz w:val="20"/>
          <w:szCs w:val="20"/>
          <w:color w:val="auto"/>
        </w:rPr>
      </w:pPr>
      <w:r>
        <w:rPr>
          <w:rFonts w:ascii="Times New Roman" w:cs="Times New Roman" w:eastAsia="Times New Roman" w:hAnsi="Times New Roman"/>
          <w:sz w:val="16"/>
          <w:szCs w:val="16"/>
          <w:color w:val="auto"/>
        </w:rPr>
        <w:t xml:space="preserve">VistaGen Therapeutics, Inc., a Nevada corporation, is the parent of VistaGen Therapeutics, Inc. (dba VistaStem Therapeutics, Inc.), a wholly-owned California corporation founded in 1998. Our principal executive offices are located at 343 Allerton Avenue, South San Francisco, California 94080, and our telephone number is (650) 577-3600. Our website address is </w:t>
      </w:r>
      <w:r>
        <w:rPr>
          <w:rFonts w:ascii="Times New Roman" w:cs="Times New Roman" w:eastAsia="Times New Roman" w:hAnsi="Times New Roman"/>
          <w:sz w:val="16"/>
          <w:szCs w:val="16"/>
          <w:i w:val="1"/>
          <w:iCs w:val="1"/>
          <w:color w:val="auto"/>
        </w:rPr>
        <w:t>www.vistagen.com</w:t>
      </w:r>
      <w:r>
        <w:rPr>
          <w:rFonts w:ascii="Times New Roman" w:cs="Times New Roman" w:eastAsia="Times New Roman" w:hAnsi="Times New Roman"/>
          <w:sz w:val="16"/>
          <w:szCs w:val="16"/>
          <w:color w:val="auto"/>
        </w:rPr>
        <w:t>. The information contained on our website is not part of this prospectus. We have included our website address as a factual reference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20"/>
          </w:cols>
          <w:pgMar w:left="240" w:top="123" w:right="739" w:bottom="1440" w:gutter="0" w:footer="0" w:header="0"/>
        </w:sectPr>
      </w:pPr>
    </w:p>
    <w:bookmarkStart w:id="10" w:name="page11"/>
    <w:bookmarkEnd w:id="10"/>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290830</wp:posOffset>
            </wp:positionV>
            <wp:extent cx="7031990" cy="7340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1990" cy="7340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40"/>
        <w:spacing w:after="0"/>
        <w:tabs>
          <w:tab w:leader="none" w:pos="340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VistaGen Therapeutics, Inc.</w:t>
      </w:r>
    </w:p>
    <w:p>
      <w:pPr>
        <w:spacing w:after="0" w:line="225" w:lineRule="exact"/>
        <w:rPr>
          <w:sz w:val="20"/>
          <w:szCs w:val="20"/>
          <w:color w:val="auto"/>
        </w:rPr>
      </w:pPr>
    </w:p>
    <w:p>
      <w:pPr>
        <w:ind w:left="340"/>
        <w:spacing w:after="0"/>
        <w:tabs>
          <w:tab w:leader="none" w:pos="3400" w:val="left"/>
        </w:tabs>
        <w:rPr>
          <w:sz w:val="20"/>
          <w:szCs w:val="20"/>
          <w:color w:val="auto"/>
        </w:rPr>
      </w:pPr>
      <w:r>
        <w:rPr>
          <w:rFonts w:ascii="Times New Roman" w:cs="Times New Roman" w:eastAsia="Times New Roman" w:hAnsi="Times New Roman"/>
          <w:sz w:val="18"/>
          <w:szCs w:val="18"/>
          <w:color w:val="auto"/>
        </w:rPr>
        <w:t>Common stock offered by us</w:t>
      </w:r>
      <w:r>
        <w:rPr>
          <w:sz w:val="20"/>
          <w:szCs w:val="20"/>
          <w:color w:val="auto"/>
        </w:rPr>
        <w:tab/>
      </w:r>
      <w:r>
        <w:rPr>
          <w:rFonts w:ascii="Times New Roman" w:cs="Times New Roman" w:eastAsia="Times New Roman" w:hAnsi="Times New Roman"/>
          <w:sz w:val="16"/>
          <w:szCs w:val="16"/>
          <w:color w:val="auto"/>
        </w:rPr>
        <w:t>8,333,333 shares, assuming a combined public offering price of $1.80 per share and related warrant (the</w:t>
      </w:r>
    </w:p>
    <w:p>
      <w:pPr>
        <w:spacing w:after="0" w:line="2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last reported sale price of our common stock on the NASDAQ Capital Market on December 6, 2017).</w:t>
      </w:r>
    </w:p>
    <w:p>
      <w:pPr>
        <w:spacing w:after="0" w:line="213" w:lineRule="exact"/>
        <w:rPr>
          <w:sz w:val="20"/>
          <w:szCs w:val="20"/>
          <w:color w:val="auto"/>
        </w:rPr>
      </w:pPr>
    </w:p>
    <w:p>
      <w:pPr>
        <w:ind w:left="340"/>
        <w:spacing w:after="0"/>
        <w:tabs>
          <w:tab w:leader="none" w:pos="3400" w:val="left"/>
        </w:tabs>
        <w:rPr>
          <w:sz w:val="20"/>
          <w:szCs w:val="20"/>
          <w:color w:val="auto"/>
        </w:rPr>
      </w:pPr>
      <w:r>
        <w:rPr>
          <w:rFonts w:ascii="Times New Roman" w:cs="Times New Roman" w:eastAsia="Times New Roman" w:hAnsi="Times New Roman"/>
          <w:sz w:val="18"/>
          <w:szCs w:val="18"/>
          <w:color w:val="auto"/>
        </w:rPr>
        <w:t>Common stock outstanding immediately</w:t>
      </w:r>
      <w:r>
        <w:rPr>
          <w:sz w:val="20"/>
          <w:szCs w:val="20"/>
          <w:color w:val="auto"/>
        </w:rPr>
        <w:tab/>
      </w:r>
      <w:r>
        <w:rPr>
          <w:rFonts w:ascii="Times New Roman" w:cs="Times New Roman" w:eastAsia="Times New Roman" w:hAnsi="Times New Roman"/>
          <w:sz w:val="16"/>
          <w:szCs w:val="16"/>
          <w:color w:val="auto"/>
        </w:rPr>
        <w:t>20,182,307 shares (assuming no exercise of the warrants offered hereby), assuming a combined public</w:t>
      </w:r>
    </w:p>
    <w:p>
      <w:pPr>
        <w:spacing w:after="0" w:line="21" w:lineRule="exact"/>
        <w:rPr>
          <w:sz w:val="20"/>
          <w:szCs w:val="20"/>
          <w:color w:val="auto"/>
        </w:rPr>
      </w:pPr>
    </w:p>
    <w:p>
      <w:pPr>
        <w:ind w:left="340"/>
        <w:spacing w:after="0"/>
        <w:tabs>
          <w:tab w:leader="none" w:pos="3400" w:val="left"/>
        </w:tabs>
        <w:rPr>
          <w:sz w:val="20"/>
          <w:szCs w:val="20"/>
          <w:color w:val="auto"/>
        </w:rPr>
      </w:pPr>
      <w:r>
        <w:rPr>
          <w:rFonts w:ascii="Times New Roman" w:cs="Times New Roman" w:eastAsia="Times New Roman" w:hAnsi="Times New Roman"/>
          <w:sz w:val="18"/>
          <w:szCs w:val="18"/>
          <w:color w:val="auto"/>
        </w:rPr>
        <w:t>after this offering</w:t>
      </w:r>
      <w:r>
        <w:rPr>
          <w:sz w:val="20"/>
          <w:szCs w:val="20"/>
          <w:color w:val="auto"/>
        </w:rPr>
        <w:tab/>
      </w:r>
      <w:r>
        <w:rPr>
          <w:rFonts w:ascii="Times New Roman" w:cs="Times New Roman" w:eastAsia="Times New Roman" w:hAnsi="Times New Roman"/>
          <w:sz w:val="16"/>
          <w:szCs w:val="16"/>
          <w:color w:val="auto"/>
        </w:rPr>
        <w:t>offering price of $1.80 per share and related warrant (the last reported sale price of our common stock on</w:t>
      </w:r>
    </w:p>
    <w:p>
      <w:pPr>
        <w:spacing w:after="0" w:line="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the NASDAQ Capital Market on December 6, 2017).</w:t>
      </w:r>
    </w:p>
    <w:p>
      <w:pPr>
        <w:spacing w:after="0" w:line="213" w:lineRule="exact"/>
        <w:rPr>
          <w:sz w:val="20"/>
          <w:szCs w:val="20"/>
          <w:color w:val="auto"/>
        </w:rPr>
      </w:pPr>
    </w:p>
    <w:p>
      <w:pPr>
        <w:ind w:left="340"/>
        <w:spacing w:after="0"/>
        <w:tabs>
          <w:tab w:leader="none" w:pos="3400" w:val="left"/>
        </w:tabs>
        <w:rPr>
          <w:sz w:val="20"/>
          <w:szCs w:val="20"/>
          <w:color w:val="auto"/>
        </w:rPr>
      </w:pPr>
      <w:r>
        <w:rPr>
          <w:rFonts w:ascii="Times New Roman" w:cs="Times New Roman" w:eastAsia="Times New Roman" w:hAnsi="Times New Roman"/>
          <w:sz w:val="18"/>
          <w:szCs w:val="18"/>
          <w:color w:val="auto"/>
        </w:rPr>
        <w:t>Warrants offered by us</w:t>
      </w:r>
      <w:r>
        <w:rPr>
          <w:sz w:val="20"/>
          <w:szCs w:val="20"/>
          <w:color w:val="auto"/>
        </w:rPr>
        <w:tab/>
      </w:r>
      <w:r>
        <w:rPr>
          <w:rFonts w:ascii="Times New Roman" w:cs="Times New Roman" w:eastAsia="Times New Roman" w:hAnsi="Times New Roman"/>
          <w:sz w:val="16"/>
          <w:szCs w:val="16"/>
          <w:color w:val="auto"/>
        </w:rPr>
        <w:t>Warrants to purchase up to 8,333,333 shares of common stock. Each share of common stock sold in this</w:t>
      </w:r>
    </w:p>
    <w:p>
      <w:pPr>
        <w:spacing w:after="0" w:line="21" w:lineRule="exact"/>
        <w:rPr>
          <w:sz w:val="20"/>
          <w:szCs w:val="20"/>
          <w:color w:val="auto"/>
        </w:rPr>
      </w:pPr>
    </w:p>
    <w:p>
      <w:pPr>
        <w:ind w:left="3420" w:right="20"/>
        <w:spacing w:after="0" w:line="302" w:lineRule="auto"/>
        <w:rPr>
          <w:sz w:val="20"/>
          <w:szCs w:val="20"/>
          <w:color w:val="auto"/>
        </w:rPr>
      </w:pPr>
      <w:r>
        <w:rPr>
          <w:rFonts w:ascii="Times New Roman" w:cs="Times New Roman" w:eastAsia="Times New Roman" w:hAnsi="Times New Roman"/>
          <w:sz w:val="16"/>
          <w:szCs w:val="16"/>
          <w:color w:val="auto"/>
        </w:rPr>
        <w:t>offering will be accompanied by a warrant to purchase one share of our common stock, at an exercise price per share equal to 100% of the combined public offering price in this offering. The warrants will be immediately exercisable, and may be exercised for a period of five years following the date of issuance.</w:t>
      </w:r>
    </w:p>
    <w:p>
      <w:pPr>
        <w:spacing w:after="0" w:line="157" w:lineRule="exact"/>
        <w:rPr>
          <w:sz w:val="20"/>
          <w:szCs w:val="20"/>
          <w:color w:val="auto"/>
        </w:rPr>
      </w:pPr>
    </w:p>
    <w:p>
      <w:pPr>
        <w:ind w:left="340"/>
        <w:spacing w:after="0"/>
        <w:tabs>
          <w:tab w:leader="none" w:pos="340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6"/>
          <w:szCs w:val="16"/>
          <w:color w:val="auto"/>
        </w:rPr>
        <w:t>We intend to use the net proceeds from this offering for research and development, primarily related to the</w:t>
      </w:r>
    </w:p>
    <w:p>
      <w:pPr>
        <w:spacing w:after="0" w:line="21" w:lineRule="exact"/>
        <w:rPr>
          <w:sz w:val="20"/>
          <w:szCs w:val="20"/>
          <w:color w:val="auto"/>
        </w:rPr>
      </w:pPr>
    </w:p>
    <w:p>
      <w:pPr>
        <w:ind w:left="3420"/>
        <w:spacing w:after="0" w:line="255" w:lineRule="auto"/>
        <w:rPr>
          <w:sz w:val="20"/>
          <w:szCs w:val="20"/>
          <w:color w:val="auto"/>
        </w:rPr>
      </w:pPr>
      <w:r>
        <w:rPr>
          <w:rFonts w:ascii="Times New Roman" w:cs="Times New Roman" w:eastAsia="Times New Roman" w:hAnsi="Times New Roman"/>
          <w:sz w:val="18"/>
          <w:szCs w:val="18"/>
          <w:color w:val="auto"/>
        </w:rPr>
        <w:t>AV-101 MDD Phase 2 Adjunctive Treatment Study, ordinary course working capital needs and other general corporate purposes.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for additional information regarding the intended use of proceeds from this offering.</w:t>
      </w:r>
    </w:p>
    <w:p>
      <w:pPr>
        <w:sectPr>
          <w:pgSz w:w="11900" w:h="16838" w:orient="portrait"/>
          <w:cols w:equalWidth="0" w:num="1">
            <w:col w:w="10960"/>
          </w:cols>
          <w:pgMar w:left="240" w:top="123" w:right="699" w:bottom="1440" w:gutter="0" w:footer="0" w:header="0"/>
        </w:sectPr>
      </w:pPr>
    </w:p>
    <w:p>
      <w:pPr>
        <w:spacing w:after="0" w:line="3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Risk Factors</w:t>
      </w:r>
    </w:p>
    <w:p>
      <w:pPr>
        <w:spacing w:after="0" w:line="3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Listing</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both"/>
        <w:ind w:right="120"/>
        <w:spacing w:after="0" w:line="342" w:lineRule="auto"/>
        <w:rPr>
          <w:sz w:val="20"/>
          <w:szCs w:val="20"/>
          <w:color w:val="auto"/>
        </w:rPr>
      </w:pPr>
      <w:r>
        <w:rPr>
          <w:rFonts w:ascii="Times New Roman" w:cs="Times New Roman" w:eastAsia="Times New Roman" w:hAnsi="Times New Roman"/>
          <w:sz w:val="16"/>
          <w:szCs w:val="16"/>
          <w:color w:val="auto"/>
        </w:rPr>
        <w:t>An investment in our securities involves a high degree of risk. See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beginning on page 7 of this prospectus for a discussion of factors you should carefully consider before investing in our securities.</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“VTGN.” There is no established public trading market for the warrants being offered by this prospectus and we do not intend to have the warrants listed on a national securities exchange or any other recognized trading system in the future. Without an active market, the liquidity of any warrants sold by means of this prospectus will be limited.</w:t>
      </w:r>
    </w:p>
    <w:p>
      <w:pPr>
        <w:spacing w:after="0" w:line="200" w:lineRule="exact"/>
        <w:rPr>
          <w:sz w:val="20"/>
          <w:szCs w:val="20"/>
          <w:color w:val="auto"/>
        </w:rPr>
      </w:pPr>
    </w:p>
    <w:p>
      <w:pPr>
        <w:sectPr>
          <w:pgSz w:w="11900" w:h="16838" w:orient="portrait"/>
          <w:cols w:equalWidth="0" w:num="2">
            <w:col w:w="2700" w:space="720"/>
            <w:col w:w="7540"/>
          </w:cols>
          <w:pgMar w:left="240" w:top="123" w:right="699" w:bottom="1440" w:gutter="0" w:footer="0" w:header="0"/>
          <w:type w:val="continuous"/>
        </w:sectPr>
      </w:pPr>
    </w:p>
    <w:p>
      <w:pPr>
        <w:spacing w:after="0" w:line="209" w:lineRule="exact"/>
        <w:rPr>
          <w:sz w:val="20"/>
          <w:szCs w:val="20"/>
          <w:color w:val="auto"/>
        </w:rPr>
      </w:pPr>
    </w:p>
    <w:p>
      <w:pPr>
        <w:ind w:left="340" w:right="160"/>
        <w:spacing w:after="0" w:line="275" w:lineRule="auto"/>
        <w:rPr>
          <w:sz w:val="20"/>
          <w:szCs w:val="20"/>
          <w:color w:val="auto"/>
        </w:rPr>
      </w:pPr>
      <w:r>
        <w:rPr>
          <w:rFonts w:ascii="Times New Roman" w:cs="Times New Roman" w:eastAsia="Times New Roman" w:hAnsi="Times New Roman"/>
          <w:sz w:val="18"/>
          <w:szCs w:val="18"/>
          <w:color w:val="auto"/>
        </w:rPr>
        <w:t>The number of shares of common stock that will be outstanding after this offering is based on 11,848,974 shares outstanding as of December 6, 2017 and excludes, as of that date, the following:</w:t>
      </w:r>
    </w:p>
    <w:p>
      <w:pPr>
        <w:spacing w:after="0" w:line="174" w:lineRule="exact"/>
        <w:rPr>
          <w:sz w:val="20"/>
          <w:szCs w:val="20"/>
          <w:color w:val="auto"/>
        </w:rPr>
      </w:pPr>
    </w:p>
    <w:p>
      <w:pPr>
        <w:ind w:left="780" w:right="220" w:hanging="286"/>
        <w:spacing w:after="0" w:line="275"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3.279,871 shares of common stock issuable upon the exercise of outstanding stock options, having a weighted average exercise price of $3.23 per share;</w:t>
      </w:r>
    </w:p>
    <w:p>
      <w:pPr>
        <w:spacing w:after="0" w:line="38" w:lineRule="exact"/>
        <w:rPr>
          <w:rFonts w:ascii="Times New Roman" w:cs="Times New Roman" w:eastAsia="Times New Roman" w:hAnsi="Times New Roman"/>
          <w:sz w:val="18"/>
          <w:szCs w:val="18"/>
          <w:color w:val="auto"/>
        </w:rPr>
      </w:pPr>
    </w:p>
    <w:p>
      <w:pPr>
        <w:ind w:left="780" w:right="280" w:hanging="286"/>
        <w:spacing w:after="0" w:line="275"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7,107,157 shares of common stock issuable upon the exercise of outstanding warrants, having a weighted average exercise price of $4.70 per share;</w:t>
      </w:r>
    </w:p>
    <w:p>
      <w:pPr>
        <w:spacing w:after="0" w:line="38" w:lineRule="exact"/>
        <w:rPr>
          <w:rFonts w:ascii="Times New Roman" w:cs="Times New Roman" w:eastAsia="Times New Roman" w:hAnsi="Times New Roman"/>
          <w:sz w:val="18"/>
          <w:szCs w:val="18"/>
          <w:color w:val="auto"/>
        </w:rPr>
      </w:pPr>
    </w:p>
    <w:p>
      <w:pPr>
        <w:ind w:left="780" w:hanging="28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 shares of common stock issuable upon conversion of all outstanding shares of our Series A Preferred;</w:t>
      </w:r>
    </w:p>
    <w:p>
      <w:pPr>
        <w:spacing w:after="0" w:line="90" w:lineRule="exact"/>
        <w:rPr>
          <w:rFonts w:ascii="Times New Roman" w:cs="Times New Roman" w:eastAsia="Times New Roman" w:hAnsi="Times New Roman"/>
          <w:sz w:val="18"/>
          <w:szCs w:val="18"/>
          <w:color w:val="auto"/>
        </w:rPr>
      </w:pPr>
    </w:p>
    <w:p>
      <w:pPr>
        <w:ind w:left="780" w:right="120" w:hanging="286"/>
        <w:spacing w:after="0" w:line="275"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1,160,240 shares of common stock issuable upon conversion of all outstanding shares of our Series B Preferred and 663,460 shares of common stock reserved for issuance as payment of accrued dividends on outstanding shares of Series B Preferred;</w:t>
      </w:r>
    </w:p>
    <w:p>
      <w:pPr>
        <w:spacing w:after="0" w:line="38" w:lineRule="exact"/>
        <w:rPr>
          <w:rFonts w:ascii="Times New Roman" w:cs="Times New Roman" w:eastAsia="Times New Roman" w:hAnsi="Times New Roman"/>
          <w:sz w:val="18"/>
          <w:szCs w:val="18"/>
          <w:color w:val="auto"/>
        </w:rPr>
      </w:pPr>
    </w:p>
    <w:p>
      <w:pPr>
        <w:ind w:left="780" w:hanging="28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2,318,012 shares of common stock issuable upon conversion of all outstanding shares of our Series C Preferred;</w:t>
      </w:r>
    </w:p>
    <w:p>
      <w:pPr>
        <w:spacing w:after="0" w:line="90" w:lineRule="exact"/>
        <w:rPr>
          <w:rFonts w:ascii="Times New Roman" w:cs="Times New Roman" w:eastAsia="Times New Roman" w:hAnsi="Times New Roman"/>
          <w:sz w:val="18"/>
          <w:szCs w:val="18"/>
          <w:color w:val="auto"/>
        </w:rPr>
      </w:pPr>
    </w:p>
    <w:p>
      <w:pPr>
        <w:ind w:left="780" w:right="220" w:hanging="286"/>
        <w:spacing w:after="0" w:line="257"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6,012,162 shares of common stock reserved for future issuance in connection with future grants under our Amended and Restated 2016 Stock Incentive Plan; and</w:t>
      </w:r>
    </w:p>
    <w:p>
      <w:pPr>
        <w:spacing w:after="0" w:line="1" w:lineRule="exact"/>
        <w:rPr>
          <w:rFonts w:ascii="Times New Roman" w:cs="Times New Roman" w:eastAsia="Times New Roman" w:hAnsi="Times New Roman"/>
          <w:sz w:val="18"/>
          <w:szCs w:val="18"/>
          <w:color w:val="auto"/>
        </w:rPr>
      </w:pPr>
    </w:p>
    <w:p>
      <w:pPr>
        <w:ind w:left="780" w:hanging="28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the exercise of the warrants offered hereby</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indicated, this prospectus reflects and assumes the following:</w:t>
      </w:r>
    </w:p>
    <w:p>
      <w:pPr>
        <w:spacing w:after="0" w:line="225" w:lineRule="exact"/>
        <w:rPr>
          <w:sz w:val="20"/>
          <w:szCs w:val="20"/>
          <w:color w:val="auto"/>
        </w:rPr>
      </w:pPr>
    </w:p>
    <w:p>
      <w:pPr>
        <w:ind w:left="780" w:hanging="286"/>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options or warrants outstanding as of December 6, 2017.</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1"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60"/>
          </w:cols>
          <w:pgMar w:left="240" w:top="123" w:right="69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8678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678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300"/>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27" w:lineRule="exact"/>
        <w:rPr>
          <w:sz w:val="20"/>
          <w:szCs w:val="20"/>
          <w:color w:val="auto"/>
        </w:rPr>
      </w:pPr>
    </w:p>
    <w:p>
      <w:pPr>
        <w:ind w:left="360" w:right="1420"/>
        <w:spacing w:after="0" w:line="288" w:lineRule="auto"/>
        <w:rPr>
          <w:sz w:val="20"/>
          <w:szCs w:val="20"/>
          <w:color w:val="auto"/>
        </w:rPr>
      </w:pPr>
      <w:r>
        <w:rPr>
          <w:rFonts w:ascii="Times New Roman" w:cs="Times New Roman" w:eastAsia="Times New Roman" w:hAnsi="Times New Roman"/>
          <w:sz w:val="16"/>
          <w:szCs w:val="16"/>
          <w:color w:val="auto"/>
        </w:rPr>
        <w:t>The following tables summarize our consolidated financial data. We have derived the summary consolidated statement of operations data for the years ended March 31, 2017 and 2016 from our audited consolidated financial statements included elsewhere in this prospectus. We have derived the summary consolidated statement of operations data for the six-months ended September 30, 2017 and 2016 and our balance sheet data as of September 30, 2017 from our unaudited interim consolidated financial statements included elsewhere in this prospectus. The unaudited interim consolidated financial statements have been prepared on the same basis as the audited consolidated financial statements and reflect, in our opinion, only adjustments of a normal, recurring nature that are necessary for a fair statement of the unaudited interim consolidated financial statements. Our results for the six-months ended September 30, 2017 are not necessarily indicative of results to be expected for the full year or any other period. The following summary consolidated financial data should be read in conjunction with the section titled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 and our consolidated financial statements and related notes included elsewhere in this prospectus.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Six-Months Ended</w:t>
            </w:r>
          </w:p>
        </w:tc>
      </w:tr>
      <w:tr>
        <w:trPr>
          <w:trHeight w:val="239"/>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6"/>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4"/>
          </w:tcPr>
          <w:p>
            <w:pPr>
              <w:jc w:val="center"/>
              <w:ind w:left="332"/>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60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bottom w:val="single" w:sz="8" w:color="auto"/>
            </w:tcBorders>
            <w:gridSpan w:val="2"/>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19"/>
                <w:szCs w:val="19"/>
                <w:color w:val="auto"/>
              </w:rPr>
            </w:pPr>
          </w:p>
        </w:tc>
      </w:tr>
      <w:tr>
        <w:trPr>
          <w:trHeight w:val="216"/>
        </w:trPr>
        <w:tc>
          <w:tcPr>
            <w:tcW w:w="60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Data:</w:t>
            </w:r>
          </w:p>
        </w:tc>
        <w:tc>
          <w:tcPr>
            <w:tcW w:w="240" w:type="dxa"/>
            <w:vAlign w:val="bottom"/>
          </w:tcPr>
          <w:p>
            <w:pPr>
              <w:spacing w:after="0"/>
              <w:rPr>
                <w:sz w:val="18"/>
                <w:szCs w:val="18"/>
                <w:color w:val="auto"/>
              </w:rPr>
            </w:pP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(in</w:t>
            </w:r>
          </w:p>
        </w:tc>
        <w:tc>
          <w:tcPr>
            <w:tcW w:w="34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w w:val="92"/>
              </w:rPr>
              <w:t>thousands, except share and per share amounts)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Sublicense revenue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2,432</w:t>
            </w:r>
          </w:p>
        </w:tc>
      </w:tr>
      <w:tr>
        <w:trPr>
          <w:trHeight w:val="223"/>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60" w:type="dxa"/>
            <w:vAlign w:val="bottom"/>
          </w:tcPr>
          <w:p>
            <w:pPr>
              <w:spacing w:after="0"/>
              <w:rPr>
                <w:sz w:val="19"/>
                <w:szCs w:val="19"/>
                <w:color w:val="auto"/>
              </w:rPr>
            </w:pPr>
          </w:p>
        </w:tc>
      </w:tr>
      <w:tr>
        <w:trPr>
          <w:trHeight w:val="223"/>
        </w:trPr>
        <w:tc>
          <w:tcPr>
            <w:tcW w:w="6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17,851</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(5,063)</w:t>
            </w: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warrant liabilities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40" w:type="dxa"/>
            <w:vAlign w:val="bottom"/>
          </w:tcPr>
          <w:p>
            <w:pPr>
              <w:spacing w:after="0"/>
              <w:rPr>
                <w:sz w:val="18"/>
                <w:szCs w:val="18"/>
                <w:color w:val="auto"/>
              </w:rPr>
            </w:pPr>
          </w:p>
        </w:tc>
        <w:tc>
          <w:tcPr>
            <w:tcW w:w="10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(26,700)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(47,219)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(5,066)</w:t>
            </w: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(47,221)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(5,068)</w:t>
            </w: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dividend on Series B Preferred Stock</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w:t>
            </w: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Deemed dividend on Series B Preferred Units</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(51,419)</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(7,766)</w:t>
            </w:r>
          </w:p>
        </w:tc>
        <w:tc>
          <w:tcPr>
            <w:tcW w:w="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(5,960)</w:t>
            </w:r>
          </w:p>
        </w:tc>
      </w:tr>
      <w:tr>
        <w:trPr>
          <w:trHeight w:val="210"/>
        </w:trPr>
        <w:tc>
          <w:tcPr>
            <w:tcW w:w="60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02"/>
        </w:trPr>
        <w:tc>
          <w:tcPr>
            <w:tcW w:w="6080" w:type="dxa"/>
            <w:vAlign w:val="bottom"/>
            <w:shd w:val="clear" w:color="auto" w:fill="CCEEFF"/>
          </w:tcPr>
          <w:p>
            <w:pPr>
              <w:ind w:left="360"/>
              <w:spacing w:after="0" w:line="201" w:lineRule="exact"/>
              <w:rPr>
                <w:sz w:val="20"/>
                <w:szCs w:val="20"/>
                <w:color w:val="auto"/>
              </w:rPr>
            </w:pPr>
            <w:r>
              <w:rPr>
                <w:rFonts w:ascii="Times New Roman" w:cs="Times New Roman" w:eastAsia="Times New Roman" w:hAnsi="Times New Roman"/>
                <w:sz w:val="18"/>
                <w:szCs w:val="18"/>
                <w:color w:val="auto"/>
              </w:rPr>
              <w:t>Basic and diluted net loss attributable to common stockholders per common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71"/>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(29.08)</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(0.82)</w:t>
            </w:r>
          </w:p>
        </w:tc>
        <w:tc>
          <w:tcPr>
            <w:tcW w:w="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(0.91)</w:t>
            </w:r>
          </w:p>
        </w:tc>
      </w:tr>
      <w:tr>
        <w:trPr>
          <w:trHeight w:val="210"/>
        </w:trPr>
        <w:tc>
          <w:tcPr>
            <w:tcW w:w="60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shares used in computing: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6080" w:type="dxa"/>
            <w:vAlign w:val="bottom"/>
          </w:tcPr>
          <w:p>
            <w:pPr>
              <w:ind w:left="360"/>
              <w:spacing w:after="0" w:line="201" w:lineRule="exact"/>
              <w:rPr>
                <w:sz w:val="20"/>
                <w:szCs w:val="20"/>
                <w:color w:val="auto"/>
              </w:rPr>
            </w:pPr>
            <w:r>
              <w:rPr>
                <w:rFonts w:ascii="Times New Roman" w:cs="Times New Roman" w:eastAsia="Times New Roman" w:hAnsi="Times New Roman"/>
                <w:sz w:val="18"/>
                <w:szCs w:val="18"/>
                <w:color w:val="auto"/>
              </w:rPr>
              <w:t>Basic and diluted net loss attributable to common stockholders per common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9"/>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7,531,642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1,767,957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9,465,459</w:t>
            </w:r>
          </w:p>
        </w:tc>
        <w:tc>
          <w:tcPr>
            <w:tcW w:w="160" w:type="dxa"/>
            <w:vAlign w:val="bottom"/>
          </w:tcPr>
          <w:p>
            <w:pPr>
              <w:spacing w:after="0"/>
              <w:rPr>
                <w:sz w:val="19"/>
                <w:szCs w:val="19"/>
                <w:color w:val="auto"/>
              </w:rPr>
            </w:pPr>
          </w:p>
        </w:tc>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6,577,769</w:t>
            </w:r>
          </w:p>
        </w:tc>
      </w:tr>
      <w:tr>
        <w:trPr>
          <w:trHeight w:val="22"/>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60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gridSpan w:val="5"/>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8"/>
              </w:rPr>
              <w:t>September 30, 2017</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23"/>
        </w:trPr>
        <w:tc>
          <w:tcPr>
            <w:tcW w:w="6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Pro Forma(1)</w:t>
            </w:r>
          </w:p>
        </w:tc>
        <w:tc>
          <w:tcPr>
            <w:tcW w:w="160" w:type="dxa"/>
            <w:vAlign w:val="bottom"/>
          </w:tcPr>
          <w:p>
            <w:pPr>
              <w:spacing w:after="0"/>
              <w:rPr>
                <w:sz w:val="19"/>
                <w:szCs w:val="19"/>
                <w:color w:val="auto"/>
              </w:rPr>
            </w:pPr>
          </w:p>
        </w:tc>
      </w:tr>
      <w:tr>
        <w:trPr>
          <w:trHeight w:val="216"/>
        </w:trPr>
        <w:tc>
          <w:tcPr>
            <w:tcW w:w="6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15,374</w:t>
            </w: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4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60" w:type="dxa"/>
            <w:vAlign w:val="bottom"/>
          </w:tcPr>
          <w:p>
            <w:pPr>
              <w:spacing w:after="0"/>
              <w:rPr>
                <w:sz w:val="18"/>
                <w:szCs w:val="18"/>
                <w:color w:val="auto"/>
              </w:rPr>
            </w:pP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16,228</w:t>
            </w: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notes payable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4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60" w:type="dxa"/>
            <w:vAlign w:val="bottom"/>
          </w:tcPr>
          <w:p>
            <w:pPr>
              <w:spacing w:after="0"/>
              <w:rPr>
                <w:sz w:val="18"/>
                <w:szCs w:val="18"/>
                <w:color w:val="auto"/>
              </w:rPr>
            </w:pP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14,053</w:t>
            </w: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preferred stock, treasury stock and additional paid-in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142,615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147,589</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161,199</w:t>
            </w:r>
          </w:p>
        </w:tc>
      </w:tr>
      <w:tr>
        <w:trPr>
          <w:trHeight w:val="222"/>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(1,672)</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11,938</w:t>
            </w:r>
          </w:p>
        </w:tc>
      </w:tr>
    </w:tbl>
    <w:p>
      <w:pPr>
        <w:ind w:left="10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 w:lineRule="exact"/>
        <w:rPr>
          <w:sz w:val="20"/>
          <w:szCs w:val="20"/>
          <w:color w:val="auto"/>
        </w:rPr>
      </w:pPr>
    </w:p>
    <w:p>
      <w:pPr>
        <w:ind w:left="1240" w:right="100" w:hanging="1094"/>
        <w:spacing w:after="0" w:line="253"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column gives effect to the assumed sale and issuance by us of 8,333,333 shares of our common stock and related warrants to purchase up to 8,333,333 shares of common stock in this offering, assuming a combined public offering price of $1.80 per share and related warrant (the last reported sale price of our common stock on the NASDAQ Capital Market on December 6, 2017), after deducting the estimated underwriting discount and estimated offering expenses payable by usassuming no value is attributed to the warrants, and the warrants are accounted for and classified as equity.</w:t>
      </w:r>
    </w:p>
    <w:p>
      <w:pPr>
        <w:sectPr>
          <w:pgSz w:w="11900" w:h="16838" w:orient="portrait"/>
          <w:cols w:equalWidth="0" w:num="1">
            <w:col w:w="11420"/>
          </w:cols>
          <w:pgMar w:left="240" w:top="1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22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consider carefully the risks and uncertainties described below, together with all of the other information in this prospectus, including our financial statements and related notes, before deciding whether to purchase securities in the offering. If any of the following risks are realized, our business, financial condition and results of operations could be materially and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Regulatory Approval and Commercialization</w:t>
      </w:r>
    </w:p>
    <w:p>
      <w:pPr>
        <w:spacing w:after="0" w:line="223"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 of AV-101. We cannot be certain that we will be able to obtain regulatory approval for, or successfully commercialize AV-101, or any product candidate.</w:t>
      </w:r>
    </w:p>
    <w:p>
      <w:pPr>
        <w:spacing w:after="0" w:line="16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We currently have no drug products for sale and may never be able to develop and commercialize marketable drug products. Our business depends heavily on the successful development, regulatory approval and commercialization of AV-101 for depression, including for MDD, and, potentially, various other diseases and disorders involving the CNS, as well as, but to a more limited extent, our ability to produce, develop and commercialize NCEs from our drug rescue programs. AV-101 will require substantial additional nonclinical and clinical testing and regulatory approval before it may be commercialized. It is unlikely to achieve regulatory approval, if at all, until at least 2021. Each drug rescue NCE will require substantial nonclinical development, all phases of clinical development, and regulatory approval before it may be commercialized. The nonclinical and clinical development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Drug development is a long, expensive and uncertain process, and delay or failure can occur at any stage of any of our nonclinical or clinical studies. This process takes many years and may also include post-marketing studies and surveillance obligations, which would require the expenditure of substantial resources beyond the proceeds we have raised to date. Of the large number of drugs in development in the United States, only a small percentage will successfully complete the FDA regulatory approval process and will be commercialized. Accordingly, we cannot assure you that AV-101, any drug rescue NCE, or any other future product candidate will be successfully developed or commercialized.</w:t>
      </w:r>
    </w:p>
    <w:p>
      <w:pPr>
        <w:spacing w:after="0" w:line="3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not permitted to market our product candidates in the United States until we receive approval of a New Drug Application (</w:t>
      </w:r>
      <w:r>
        <w:rPr>
          <w:rFonts w:ascii="Times New Roman" w:cs="Times New Roman" w:eastAsia="Times New Roman" w:hAnsi="Times New Roman"/>
          <w:sz w:val="18"/>
          <w:szCs w:val="18"/>
          <w:i w:val="1"/>
          <w:iCs w:val="1"/>
          <w:color w:val="auto"/>
        </w:rPr>
        <w:t>NDA</w:t>
      </w:r>
      <w:r>
        <w:rPr>
          <w:rFonts w:ascii="Times New Roman" w:cs="Times New Roman" w:eastAsia="Times New Roman" w:hAnsi="Times New Roman"/>
          <w:sz w:val="18"/>
          <w:szCs w:val="18"/>
          <w:color w:val="auto"/>
        </w:rPr>
        <w:t>) from the FDA, or in any foreign countries until we receive the requisite approval from such countries. We expect the FDA to require us to complete the planned AV-101 MDD Phase 2 Adjunctive Treatment Study and at least two pivotal Phase 3 clinical trials in order to submit an NDA for AV-101 as an adjunctive treatment for MDD patients with an inadequate response to standard, FDA-approved antidepressants. Also, we anticipate that the FDA will require that we conduct additional toxicology studies, additional nonclinical and certain small clinical studies before submitting an NDA for AV-101. The results of all of these studies are not known until after the studies are concluded.</w:t>
      </w:r>
    </w:p>
    <w:p>
      <w:pPr>
        <w:spacing w:after="0" w:line="195"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Obtaining FDA approval of an NDA is a complex, lengthy, expensive and uncertain process, and the FDA may delay, limit or deny approval of AV-101 or any other product candidate we may seek to develop for many reasons, including, among others:</w:t>
      </w:r>
    </w:p>
    <w:p>
      <w:pPr>
        <w:spacing w:after="0" w:line="174" w:lineRule="exact"/>
        <w:rPr>
          <w:sz w:val="20"/>
          <w:szCs w:val="20"/>
          <w:color w:val="auto"/>
        </w:rPr>
      </w:pPr>
    </w:p>
    <w:p>
      <w:pPr>
        <w:jc w:val="both"/>
        <w:ind w:left="660" w:hanging="328"/>
        <w:spacing w:after="0" w:line="26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submit an NDA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development of a Risk Evaluation and Mitigation Strategy (</w:t>
      </w:r>
      <w:r>
        <w:rPr>
          <w:rFonts w:ascii="Times New Roman" w:cs="Times New Roman" w:eastAsia="Times New Roman" w:hAnsi="Times New Roman"/>
          <w:sz w:val="18"/>
          <w:szCs w:val="18"/>
          <w:i w:val="1"/>
          <w:iCs w:val="1"/>
          <w:color w:val="auto"/>
        </w:rPr>
        <w:t>REMS</w:t>
      </w:r>
      <w:r>
        <w:rPr>
          <w:rFonts w:ascii="Times New Roman" w:cs="Times New Roman" w:eastAsia="Times New Roman" w:hAnsi="Times New Roman"/>
          <w:sz w:val="18"/>
          <w:szCs w:val="18"/>
          <w:color w:val="auto"/>
        </w:rPr>
        <w:t>) as a condition of approval or post-approval;</w:t>
      </w:r>
    </w:p>
    <w:p>
      <w:pPr>
        <w:spacing w:after="0" w:line="132" w:lineRule="exact"/>
        <w:rPr>
          <w:rFonts w:ascii="Times New Roman" w:cs="Times New Roman" w:eastAsia="Times New Roman" w:hAnsi="Times New Roman"/>
          <w:sz w:val="18"/>
          <w:szCs w:val="18"/>
          <w:color w:val="auto"/>
        </w:rPr>
      </w:pPr>
    </w:p>
    <w:p>
      <w:pPr>
        <w:ind w:left="660" w:right="20" w:hanging="328"/>
        <w:spacing w:after="0" w:line="27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Times New Roman" w:cs="Times New Roman" w:eastAsia="Times New Roman" w:hAnsi="Times New Roman"/>
          <w:sz w:val="18"/>
          <w:szCs w:val="18"/>
          <w:i w:val="1"/>
          <w:iCs w:val="1"/>
          <w:color w:val="auto"/>
        </w:rPr>
        <w:t>cGMPs</w:t>
      </w:r>
      <w:r>
        <w:rPr>
          <w:rFonts w:ascii="Times New Roman" w:cs="Times New Roman" w:eastAsia="Times New Roman" w:hAnsi="Times New Roman"/>
          <w:sz w:val="18"/>
          <w:szCs w:val="18"/>
          <w:color w:val="auto"/>
        </w:rPr>
        <w:t>); or</w:t>
      </w:r>
    </w:p>
    <w:p>
      <w:pPr>
        <w:spacing w:after="0" w:line="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change its approval policies or adopt new regulations.</w:t>
      </w:r>
    </w:p>
    <w:p>
      <w:pPr>
        <w:spacing w:after="0" w:line="225"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regulatory approval for and successfully commercialize AV-101 or any other product candidate we may develop, including drug rescue NCEs. Any such setback in our pursuit of regulatory approval for any product candidate would have a material adverse effect on our business and prospects.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3" w:name="page14"/>
    <w:bookmarkEnd w:id="13"/>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have applied for a Fast Track designation from the FDA for AV-101, initially for adjunctive treatment of MDD patients with an inadequate response to standard antidepressants. Even if the FDA approves Fast Track designation for AV-101 for this indication, it may not actually lead to a faster development or regulatory review or approval process.</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Fast Track designation is a program offered by the FDA pursuant to certain mandates under the FDA Modernization Act of 1997, designed to facilitate drug development and to expedite the review of new drugs that are intended to treat serious or life threatening conditions. Compounds selected must demonstrate the potential to address unmet medical needs. The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approval or expedited approval of any application for the product.</w:t>
      </w:r>
    </w:p>
    <w:p>
      <w:pPr>
        <w:spacing w:after="0" w:line="19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October 2017 we applied for FDA Fast Track designation for AV-101, initially for adjunctive treatment of MDD patients with an inadequate response to standard antidepressants, and we may do so for other CNS indications, as well as for other product candidates. The FDA has broad discretion whether or not to grant a Fast Track designation, and even if we believe AV-101 and other product candidates are eligible for this designation, we cannot be sure that the review or approval will compare to conventional FDA procedures. Even if granted, the FDA may withdraw Fast Track designation if it believes that the designation is no longer supported by data from our clinical development programs.</w:t>
      </w:r>
    </w:p>
    <w:p>
      <w:pPr>
        <w:spacing w:after="0" w:line="19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number of patients suffering from MDD has not been established with precision. If the actual number of patients with MDD is smaller than we anticipate, we or our collaborators may encounter difficulties in enrolling patients in AV-101 clinical trials, including the NIMH AV-101 MDD Phase 2 Monotherapy Study and our planned AV-101 MDD Phase 2 Adjunctive Treatment Study, thereby delaying completion such studies or preventing additional clinical development. Further, if AV-101 is approved for adjunctive treatment of MDD patients with an inadequate response to standard antidepressants, and the market for this indication is smaller than we anticipate, our ability to achieve profitability could be limited.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earlier clinical trials may not be predictive of the results of later-stage clinical trials.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AV-101 and/or other product candidates, including positive results, may not be predictive of the results of later-stage clinical trials. AV-101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9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approval. We have not yet completed a Phase 2 clinical trial for AV-101, and if the NIMH AV-101 MDD Phase 2 Monotherapy Study and/or our AV-101 MDD Phase 2 Adjunctive Treatment Study fail(s) to produce positive results, the development timeline and regulatory approval and commercialization prospects for AV-101 and, correspondingly, our business and financial prospects, could be materially adversely affected.</w:t>
      </w:r>
    </w:p>
    <w:p>
      <w:pPr>
        <w:spacing w:after="0" w:line="19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drug candidate development risk is heightened by any changes in planned timing or nature of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9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w:t>
      </w:r>
    </w:p>
    <w:p>
      <w:pPr>
        <w:spacing w:after="0" w:line="189"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or other undesirable side effects are identified during the use of AV-101 in clinical trials, it may adversely affect our development of AV-101 for MDD and other CNS indications.</w:t>
      </w:r>
    </w:p>
    <w:p>
      <w:pPr>
        <w:spacing w:after="0" w:line="169"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16"/>
          <w:szCs w:val="16"/>
          <w:color w:val="auto"/>
        </w:rPr>
        <w:t>AV-101 as a monotherapy is currently being tested by the NIMH in the NIMH AV-101 MDD Phase 2 Monotherapy Study and may be subjected to testing in the future for other CNS indications in additional investigator sponsored clinical trials. If serious adverse events or other undesirable side effects, or unexpected characteristics of AV-101 are observed in investigator-sponsored clinical trials of AV-101 or our clinical trials of AV-101, it may adversely affect or delay our clinical development of AV-101, and the occurrence of these events would have a material adverse effect on our business and financial prospects.</w:t>
      </w:r>
    </w:p>
    <w:p>
      <w:pPr>
        <w:sectPr>
          <w:pgSz w:w="11900" w:h="16838" w:orient="portrait"/>
          <w:cols w:equalWidth="0" w:num="1">
            <w:col w:w="11400"/>
          </w:cols>
          <w:pgMar w:left="240" w:top="123" w:right="25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right="6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Failures or delays in the commencement or completion of our planned clinical trials and nonclinical studies of our product candidates could result in increased costs to us and could delay, prevent or limit our ability to generate revenue and continue our business.</w:t>
      </w:r>
    </w:p>
    <w:p>
      <w:pPr>
        <w:spacing w:after="0" w:line="1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our CRADA with the NIMH, the NIMH is conducting and funding the NIMH AV-101 MDD Phase 2 Monotherapy Study. We will need to complete the planned AV-101 MDD Phase 2 Adjunctive Treatment Study, at least two additional large Phase 3 pivotal clinical trials, additional toxicology and other nonclinical studies and certain smaller clinical studies prior to the submission of an NDA for AV-101 as a new generation adjunctive treatment for MDD. Successful completion of our nonclinical and clinical trials is a prerequisite to submitting an NDA to the FDA and, consequently, the ultimate approval required before commercial marketing of AV-101 for MDD and any other product candidates we may develop. Except as disclosed herein, we do not know whether the NIMH AV-101 MDD Phase 2 Monotherapy Study, our AV-101 MDD Phase 2 Adjunctive Treatment Study or any of our future-planned nonclinical and clinical trials will be completed on schedule, if at all, as the commencement and completion of nonclinical and clinical trials can be delayed or prevented for a number of reasons, including, among others:</w:t>
      </w:r>
    </w:p>
    <w:p>
      <w:pPr>
        <w:spacing w:after="0" w:line="192" w:lineRule="exact"/>
        <w:rPr>
          <w:sz w:val="20"/>
          <w:szCs w:val="20"/>
          <w:color w:val="auto"/>
        </w:rPr>
      </w:pPr>
    </w:p>
    <w:p>
      <w:pPr>
        <w:ind w:left="660" w:hanging="328"/>
        <w:spacing w:after="0" w:line="27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deny permission to proceed with our planned clinical trials or any other clinical trials we may initiate, or may place a planned or ongoing clinical trial on hold;</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filing or receiving approvals of additional INDs that may be required;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results from our ongoing nonclinical studies;</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p>
      <w:pPr>
        <w:spacing w:after="0" w:line="173"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manufacturing of, or insufficient supply of, AV-101 or other product candidates necessary to conduct nonclinical or clinical trials, including delays in the manufacturing of sufficient supply or finished drug product resulting from our new manufacturing process for AV-101;</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manufacture or obtain clinical supplies of a product candidate meeting required quality standards;</w:t>
      </w:r>
    </w:p>
    <w:p>
      <w:pPr>
        <w:spacing w:after="0" w:line="22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Institutional Review Board (</w:t>
      </w:r>
      <w:r>
        <w:rPr>
          <w:rFonts w:ascii="Times New Roman" w:cs="Times New Roman" w:eastAsia="Times New Roman" w:hAnsi="Times New Roman"/>
          <w:sz w:val="18"/>
          <w:szCs w:val="18"/>
          <w:i w:val="1"/>
          <w:iCs w:val="1"/>
          <w:color w:val="auto"/>
        </w:rPr>
        <w:t>IRB</w:t>
      </w:r>
      <w:r>
        <w:rPr>
          <w:rFonts w:ascii="Times New Roman" w:cs="Times New Roman" w:eastAsia="Times New Roman" w:hAnsi="Times New Roman"/>
          <w:sz w:val="18"/>
          <w:szCs w:val="18"/>
          <w:color w:val="auto"/>
        </w:rPr>
        <w:t>) approval to conduct a clinical trial at a prospective clinical site or sites;</w:t>
      </w:r>
    </w:p>
    <w:p>
      <w:pPr>
        <w:spacing w:after="0" w:line="2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and enrolling patients to participate in clinical trials, including the proximity of patients to clinical trial sites;</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a clinical trial, the nature of a clinical trial protocol, the availability of approved effective treatments for the relevant disease and competition from other clinical trial programs for similar indications;</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drug-related side effects experienced by patients in a clinical trial;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validating any endpoints utilized in a clinical trial;</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nonclinical or clinical testing of other CNS indications or therapies that raise safety or efficacy concerns; and</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retaining patients who have enrolled in a clinical trial but may be prone to withdraw due to rigors of the clinical trial, lack of efficacy, side effects, personal issues or loss of interest.</w:t>
      </w:r>
    </w:p>
    <w:p>
      <w:pPr>
        <w:spacing w:after="0" w:line="174" w:lineRule="exact"/>
        <w:rPr>
          <w:sz w:val="20"/>
          <w:szCs w:val="20"/>
          <w:color w:val="auto"/>
        </w:rPr>
      </w:pPr>
    </w:p>
    <w:p>
      <w:pPr>
        <w:ind w:right="500"/>
        <w:spacing w:after="0" w:line="262" w:lineRule="auto"/>
        <w:rPr>
          <w:sz w:val="20"/>
          <w:szCs w:val="20"/>
          <w:color w:val="auto"/>
        </w:rPr>
      </w:pPr>
      <w:r>
        <w:rPr>
          <w:rFonts w:ascii="Times New Roman" w:cs="Times New Roman" w:eastAsia="Times New Roman" w:hAnsi="Times New Roman"/>
          <w:sz w:val="18"/>
          <w:szCs w:val="18"/>
          <w:color w:val="auto"/>
        </w:rPr>
        <w:t>Clinical trials may also be delayed or terminated prior to completion as a result of ambiguous or negative interim results. In addition, a clinical trial may be suspended or terminated by us, the FDA, the IRBs at the sites where the IRBs are overseeing a clinical trial, a data and safety monitoring board (</w:t>
      </w:r>
      <w:r>
        <w:rPr>
          <w:rFonts w:ascii="Times New Roman" w:cs="Times New Roman" w:eastAsia="Times New Roman" w:hAnsi="Times New Roman"/>
          <w:sz w:val="18"/>
          <w:szCs w:val="18"/>
          <w:i w:val="1"/>
          <w:iCs w:val="1"/>
          <w:color w:val="auto"/>
        </w:rPr>
        <w:t>DSMB</w:t>
      </w:r>
      <w:r>
        <w:rPr>
          <w:rFonts w:ascii="Times New Roman" w:cs="Times New Roman" w:eastAsia="Times New Roman" w:hAnsi="Times New Roman"/>
          <w:sz w:val="18"/>
          <w:szCs w:val="18"/>
          <w:color w:val="auto"/>
        </w:rPr>
        <w:t>), overseeing the clinical trial at issue or other regulatory authorities due to a number of factors, including, among others:</w:t>
      </w:r>
    </w:p>
    <w:p>
      <w:pPr>
        <w:spacing w:after="0" w:line="18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approved clinical protocols;</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173"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including any that could be identified in our ongoing nonclinical carcinogenicity studies, adverse side effects or lack of effectiveness;</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clinical supply materials that may lead to regulatory actions;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nonclinical or clinical studies.</w:t>
      </w:r>
    </w:p>
    <w:p>
      <w:pPr>
        <w:sectPr>
          <w:pgSz w:w="11900" w:h="16838" w:orient="portrait"/>
          <w:cols w:equalWidth="0" w:num="1">
            <w:col w:w="11420"/>
          </w:cols>
          <w:pgMar w:left="240" w:top="123" w:right="239" w:bottom="10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055" w:gutter="0" w:footer="0" w:header="0"/>
          <w:type w:val="continuous"/>
        </w:sectPr>
      </w:pPr>
    </w:p>
    <w:bookmarkStart w:id="15" w:name="page16"/>
    <w:bookmarkEnd w:id="15"/>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Changes in regulatory requirements, FDA guidance or unanticipated events during our nonclinical studies and clinical trials of AV-101 or other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83"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color w:val="auto"/>
        </w:rPr>
        <w:t>Changes in regulatory requirements, FDA guidance or unanticipated events during our nonclinical studies and clinical trials may force us to amend nonclinical studies and clinical trial protocols or the FDA may impose additional nonclinical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AV-101 or other product candidates may be harmed and our ability to generate product revenue will be delayed.</w:t>
      </w:r>
    </w:p>
    <w:p>
      <w:pPr>
        <w:spacing w:after="0" w:line="16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that we will continue to rely, on third parties to conduct non-clinical and clinical trials of AV-101 and any other product candidates. If these third parties do not successfully carry out their contractual duties or meet expected deadlines, completion of non-clinical and clinical trials and development of AV-101 and other product candidates may be delayed and we may not be able to obtain regulatory approval for or commercialize AV-101 or other product candidates and our business could be substantially harmed.</w:t>
      </w:r>
    </w:p>
    <w:p>
      <w:pPr>
        <w:spacing w:after="0" w:line="187"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6"/>
          <w:szCs w:val="16"/>
          <w:color w:val="auto"/>
        </w:rPr>
        <w:t>We do not have the internal staff resources to independently conduct nonclinical and clinical trials completely on our own. We rely on our network of strategic relationships with various medical institutions, nonclinical and clinical investigators, contract laboratories and other third parties, such as contract research and development organizations (</w:t>
      </w:r>
      <w:r>
        <w:rPr>
          <w:rFonts w:ascii="Times New Roman" w:cs="Times New Roman" w:eastAsia="Times New Roman" w:hAnsi="Times New Roman"/>
          <w:sz w:val="16"/>
          <w:szCs w:val="16"/>
          <w:i w:val="1"/>
          <w:iCs w:val="1"/>
          <w:color w:val="auto"/>
        </w:rPr>
        <w:t>CROs</w:t>
      </w:r>
      <w:r>
        <w:rPr>
          <w:rFonts w:ascii="Times New Roman" w:cs="Times New Roman" w:eastAsia="Times New Roman" w:hAnsi="Times New Roman"/>
          <w:sz w:val="16"/>
          <w:szCs w:val="16"/>
          <w:color w:val="auto"/>
        </w:rPr>
        <w:t>), to conduct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third-parties for execution of nonclinical and clinical trials for our product candidates and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6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 and/or undertake obligations beyond their anticipated capabilities and resources;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in accordance with the applicable protocol, legal, regulatory and scientific requirements and standards, and our reliance on CROs or the NIH does not relieve us of our regulatory responsibilities. We and our CROs and the NIMH are required to comply with regulations and guidelines, including current cGCPs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or any of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6" w:name="page17"/>
    <w:bookmarkEnd w:id="16"/>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Although we design our clinical trials for our product candidates, we plan to have CROs, and in the case of the NIMH AV-101 MDD Phase 2 Monotherapy Study, the NIMH, conduct the AV-101 Phase 2 and Phase 3 clinical trials. As a result, many important aspects of our drug development programs are outside of our direct control. In addition, the CROs or the NIMH, as the case may be,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NIMH or CROs do not perform clinical trials in a satisfactory manner, breach their obligations to us or fail to comply with regulatory requirements, the development and commercialization of AV-101 and other product candidates may be delayed or our development program materially and irreversibly harmed. We cannot control the amount and timing of resources these CROs or the NIMH devote to our program or our clinical products. If we are unable to rely on non-clinical and clinical data collected by our CROs or the NIMH, we could be required to repeat, extend the duration of, or increase the size of our clinical trials and this could significantly delay commercialization and require significantly greater expenditures.</w:t>
      </w:r>
    </w:p>
    <w:p>
      <w:pPr>
        <w:spacing w:after="0" w:line="195"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6"/>
          <w:szCs w:val="16"/>
          <w:color w:val="auto"/>
        </w:rPr>
        <w:t>If any of our relationships with these third-party CROs or the NIMH terminate, we may not be able to enter into arrangements with alternative CROs or collaborators. If CROs or the NIMH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that such CROs or the NIMH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pacing w:after="0" w:line="161" w:lineRule="exact"/>
        <w:rPr>
          <w:sz w:val="20"/>
          <w:szCs w:val="20"/>
          <w:color w:val="auto"/>
        </w:rPr>
      </w:pPr>
    </w:p>
    <w:p>
      <w:pPr>
        <w:ind w:right="5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rely completely on third-parties to manufacture and prepare supplies of AV-101 for all nonclinical and clinical studies of AV-101, and we intend to continue to rely on third parties to produce all nonclinical, clinical and commercial supplies of AV-101 in the future.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currently have, nor do we plan to acquire or develop, the necessary infrastructure internal resources or technical capabilities to manufacture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prepare supplies of AV-101, or any future product candidates, for use in nonclinical and clinical studies, and we lack the internal resources and the capability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manufacture any product candidate on a clinical or commercial scale. As a result, we rely completely on third party contract manufacturing organizations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CMO</w:t>
      </w:r>
      <w:r>
        <w:rPr>
          <w:rFonts w:ascii="Times New Roman" w:cs="Times New Roman" w:eastAsia="Times New Roman" w:hAnsi="Times New Roman"/>
          <w:sz w:val="16"/>
          <w:szCs w:val="16"/>
          <w:color w:val="auto"/>
        </w:rPr>
        <w:t>s) to manufacture AV-101 active pharmaceutical ingredient (</w:t>
      </w:r>
      <w:r>
        <w:rPr>
          <w:rFonts w:ascii="Times New Roman" w:cs="Times New Roman" w:eastAsia="Times New Roman" w:hAnsi="Times New Roman"/>
          <w:sz w:val="16"/>
          <w:szCs w:val="16"/>
          <w:i w:val="1"/>
          <w:iCs w:val="1"/>
          <w:color w:val="auto"/>
        </w:rPr>
        <w:t>API</w:t>
      </w:r>
      <w:r>
        <w:rPr>
          <w:rFonts w:ascii="Times New Roman" w:cs="Times New Roman" w:eastAsia="Times New Roman" w:hAnsi="Times New Roman"/>
          <w:sz w:val="16"/>
          <w:szCs w:val="16"/>
          <w:color w:val="auto"/>
        </w:rPr>
        <w:t>) and prepare AV-101 final drug product. The facilities used by our CMOs to manufacture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AV-101 API and final drug product must complete a pre-approval inspection by the FDA and other comparable foreign regulatory agencies to assess compliance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applicable requirements, including cGMPs, after we submit our AV-101 INDs, NDAs or relevant foreign regulatory submission equivalent to the applicable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agency.</w:t>
      </w:r>
    </w:p>
    <w:p>
      <w:pPr>
        <w:spacing w:after="0" w:line="21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do not directly control either the supply or quality of materials used in the manufacturing and preparation of AV-101 or the AV-101 manufacturing process, and we are completely dependent on our CMOs to comply with all cGMPs for manufacture of both AV-101 API and AV-101 finished drug product. If our CMOs cannot secure adequate supplies of suitable raw materials or successfully manufacture AV-101 API that conforms to our specifications and the strict regulatory requirements of the FDA or applicable foreign regulatory agencies, production of sufficient supplies of AV-101 API and finished drug product may be delayed and our CMOs may not be able to secure and/or maintain regulatory approval for their manufacturing facilities, or the FDA may take other actions, including the imposition of a clinical hold. In addition, we have no direct control over our CMOs’ ability to maintain adequate quality control, quality assurance and qualified personnel. All of our CMOs are engaged with other companies to supply and/or manufacture materials or products for such other companies, which exposes our CMOs to regulatory risks for the production of such materials and products. As a result, failure to satisfy the regulatory requirements for the production of those materials and products may affect the regulatory clearance of our CMO’s facilities generally or affect the timing of manufacture of AV-101 for required or planned nonclinical and/or clinical studies of AV-101. If the FDA or an applicable foreign regulatory agency determines now or in the future that our CMOs’ facilities are noncompliant, we may need to find alternative manufacturing facilities, which would adversely impact our ability to develop, obtain regulatory approval for or market AV-101. Our reliance on CMOs also exposes us to the possibility that they, or third parties with access to their facilities, will have access to and may appropriate our trade secrets or other proprietary information.</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do not yet have long-term AV-101 supply agreements in place with our CMOs and each batch of AV-101 is individually contracted under a separate supply agreement. If we engage new CMOs, such contractors must complete an inspection by the FDA and other applicable foreign regulatory agencies. We plan to continue to rely upon CMOs and, potentially, collaboration partners, to manufacture research, development and, if approved, commercial quantities of AV-101 and any other product candidates we may seek to develop in the future. Although we believe our current scale of manufacturing for AV-101 and current and projected supply of AV-101 API and finished drug product will be adequate to support our planned nonclinical and clinical studies of AV-101, no assurance can be given that unanticipated AV-101 supply shortages, CMO-related delays in manufacture and production of AV-101 API and finished drug product will not occur in the future.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7" w:name="page18"/>
    <w:bookmarkEnd w:id="17"/>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AV-101 or any other product candidate in the United States, we may never receive regulatory approval to market AV-101 or any other product candidate outside of the United States.</w:t>
      </w:r>
    </w:p>
    <w:p>
      <w:pPr>
        <w:spacing w:after="0" w:line="16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not yet selected any markets outside of the United States where we intend to seek regulatory approval to market our product candidates. In order to market any product outside of the United States,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8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are ultimately regulated as controlled substances, we, our contract manufacturers,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81"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6"/>
          <w:szCs w:val="16"/>
          <w:color w:val="auto"/>
        </w:rPr>
        <w:t>Before we can commercialize our product candidates, the United States Drug Enforcement Administration (</w:t>
      </w:r>
      <w:r>
        <w:rPr>
          <w:rFonts w:ascii="Times New Roman" w:cs="Times New Roman" w:eastAsia="Times New Roman" w:hAnsi="Times New Roman"/>
          <w:sz w:val="16"/>
          <w:szCs w:val="16"/>
          <w:i w:val="1"/>
          <w:iCs w:val="1"/>
          <w:color w:val="auto"/>
        </w:rPr>
        <w:t>DEA</w:t>
      </w:r>
      <w:r>
        <w:rPr>
          <w:rFonts w:ascii="Times New Roman" w:cs="Times New Roman" w:eastAsia="Times New Roman" w:hAnsi="Times New Roman"/>
          <w:sz w:val="16"/>
          <w:szCs w:val="16"/>
          <w:color w:val="auto"/>
        </w:rPr>
        <w:t>) may need to determine the controlled substance schedule, taking into account the recommendation of the FDA.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While we currently do not know whether any of our product candidates will be considered to be controlled substances, certain of our product candidates, including AV-101, may be regulated as controlled substances.</w:t>
      </w:r>
    </w:p>
    <w:p>
      <w:pPr>
        <w:spacing w:after="0" w:line="16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If any of our product candidates are regulated as controlled substances, depending on the controlled substance schedule in which the product candidates are placed, we, our contract manufacturers, and any future distributers,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Moreover, if any of our product candidates are regulated as controlled substances, we and our contract manufacturers would be subject to initial and periodic DEA inspection.If we or our contract manufacturers are not able to obtain or maintain any necessary DEA registrations, we may not be able to commercialize any product candidates that are deemed to be controlled substances or we may need to find alternative contract manufacturers, which would take time and cause us to incur additional costs, delaying or limit our commercialization efforts.</w:t>
      </w:r>
    </w:p>
    <w:p>
      <w:pPr>
        <w:spacing w:after="0" w:line="195" w:lineRule="exact"/>
        <w:rPr>
          <w:sz w:val="20"/>
          <w:szCs w:val="20"/>
          <w:color w:val="auto"/>
        </w:rPr>
      </w:pPr>
    </w:p>
    <w:p>
      <w:pPr>
        <w:ind w:right="280"/>
        <w:spacing w:after="0" w:line="301" w:lineRule="auto"/>
        <w:rPr>
          <w:sz w:val="20"/>
          <w:szCs w:val="20"/>
          <w:color w:val="auto"/>
        </w:rPr>
      </w:pPr>
      <w:r>
        <w:rPr>
          <w:rFonts w:ascii="Times New Roman" w:cs="Times New Roman" w:eastAsia="Times New Roman" w:hAnsi="Times New Roman"/>
          <w:sz w:val="16"/>
          <w:szCs w:val="16"/>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53"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16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do not currently have an infrastructure for the sale, marketing and distribution of pharmaceutical products, nor do we intend to create such capabilities. Therefore, in order to market our product candidates, if approved by the FDA or any other regulatory body, we must make contractual arrangements with third parties to perform services related to sales, marketing, managerial and other non-technical capabilities relating to the commercialization of our product candidates. If we are unable to establish adequate contractual arrangements for such sales, marketing and distribution capabilities, or if we are unable to do so on commercially reasonable terms, our business, results of operations, financial condition and prospects will be materially adversely affected.</w:t>
      </w:r>
    </w:p>
    <w:p>
      <w:pPr>
        <w:spacing w:after="0" w:line="189"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69"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86" w:lineRule="exact"/>
        <w:rPr>
          <w:sz w:val="20"/>
          <w:szCs w:val="20"/>
          <w:color w:val="auto"/>
        </w:rPr>
      </w:pPr>
    </w:p>
    <w:p>
      <w:pPr>
        <w:ind w:left="660" w:hanging="328"/>
        <w:spacing w:after="0" w:line="339"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2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our product candidates by the FDA or other applicable regulatory authorities;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already approved or expected to be commercially launched in the near future;</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current treatment options or alternative treatments, including future alternative treatments;</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w:t>
      </w:r>
    </w:p>
    <w:p>
      <w:pPr>
        <w:sectPr>
          <w:pgSz w:w="11900" w:h="16838" w:orient="portrait"/>
          <w:cols w:equalWidth="0" w:num="1">
            <w:col w:w="11420"/>
          </w:cols>
          <w:pgMar w:left="240" w:top="123" w:right="239" w:bottom="0" w:gutter="0" w:footer="0" w:header="0"/>
        </w:sectPr>
      </w:pPr>
    </w:p>
    <w:bookmarkStart w:id="18" w:name="page19"/>
    <w:bookmarkEnd w:id="18"/>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product candidates through marketing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w:t>
      </w:r>
    </w:p>
    <w:p>
      <w:pPr>
        <w:spacing w:after="0" w:line="225"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19" w:name="page20"/>
    <w:bookmarkEnd w:id="19"/>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69" w:lineRule="exact"/>
        <w:rPr>
          <w:sz w:val="20"/>
          <w:szCs w:val="20"/>
          <w:color w:val="auto"/>
        </w:rPr>
      </w:pPr>
    </w:p>
    <w:p>
      <w:pPr>
        <w:jc w:val="both"/>
        <w:ind w:right="440"/>
        <w:spacing w:after="0" w:line="339" w:lineRule="auto"/>
        <w:rPr>
          <w:sz w:val="20"/>
          <w:szCs w:val="20"/>
          <w:color w:val="auto"/>
        </w:rPr>
      </w:pPr>
      <w:r>
        <w:rPr>
          <w:rFonts w:ascii="Times New Roman" w:cs="Times New Roman" w:eastAsia="Times New Roman" w:hAnsi="Times New Roman"/>
          <w:sz w:val="16"/>
          <w:szCs w:val="16"/>
          <w:color w:val="auto"/>
        </w:rPr>
        <w:t>Undesirable safety concerns and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1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9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product candidates are distributed or administered, conduct additional clinical trials or change the labeling of the product candidates;</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product candidates from the marketplace;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product candidates;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product candidates, we may still face future development and regulatory difficulties.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1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Manufacturers of drug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9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marketing approval;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submitted by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that we initiate a product recall.</w:t>
      </w:r>
    </w:p>
    <w:p>
      <w:pPr>
        <w:sectPr>
          <w:pgSz w:w="11900" w:h="16838" w:orient="portrait"/>
          <w:cols w:equalWidth="0" w:num="1">
            <w:col w:w="11420"/>
          </w:cols>
          <w:pgMar w:left="240" w:top="1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Competing therapies could emerge adversely affecting our opportunity to generate revenue from the sale of our product candidates.</w:t>
      </w:r>
    </w:p>
    <w:p>
      <w:pPr>
        <w:spacing w:after="0" w:line="22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The pharmaceuticals industry is highly competitive. There are many public and private pharmaceutical companies, universities, governmental agencies and other research organizations actively engaged in the research and development of product candidates that may be similar to our product candidates or address similar markets. It is probable that the number of companies seeking to develop product candidates similar to our product candidates will increase.</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Currently, management is unaware of any FDA-approved oral adjunctive therapy for MDD patients with an inadequate response to standard antidepressants having the same mechanism of action and safety profile as AV-101. However, new antidepressant products with other mechanisms of action or products approved for other indications, including the anesthetic ketamine hydrochloride, are being or may be used off-label for treatment of MDD, as well as other CNS indications for which AV-101 may have therapeutic potential. Additionally, other non-pharmaceutical treatment options, such psychotherapy and electroconvulsive therapy (</w:t>
      </w:r>
      <w:r>
        <w:rPr>
          <w:rFonts w:ascii="Times New Roman" w:cs="Times New Roman" w:eastAsia="Times New Roman" w:hAnsi="Times New Roman"/>
          <w:sz w:val="18"/>
          <w:szCs w:val="18"/>
          <w:i w:val="1"/>
          <w:iCs w:val="1"/>
          <w:color w:val="auto"/>
        </w:rPr>
        <w:t>ECT</w:t>
      </w:r>
      <w:r>
        <w:rPr>
          <w:rFonts w:ascii="Times New Roman" w:cs="Times New Roman" w:eastAsia="Times New Roman" w:hAnsi="Times New Roman"/>
          <w:sz w:val="18"/>
          <w:szCs w:val="18"/>
          <w:color w:val="auto"/>
        </w:rPr>
        <w:t>) are sometimes used before or instead of standard antidepressant medications to treat patients with MDD.</w:t>
      </w:r>
    </w:p>
    <w:p>
      <w:pPr>
        <w:spacing w:after="0" w:line="193"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In the field of new generation, orally available, adjunctive treatments of adult MDD patients with an inadequate response to standard antidepressants, we believe our principal competitor is Alkermes’ orally available drug candidate in Phase 3 development, ALKS-5461.</w:t>
      </w:r>
    </w:p>
    <w:p>
      <w:pPr>
        <w:spacing w:after="0" w:line="1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Parkinson’s disease levodopa induced dyskinesia, neuropathic pain, epilepsy, and other neurological conditions and diseases, including, but not limited to, Abbott Laboratories, Acadia, Allergan, Alkermes, Astra Zeneca, Eli Lilly, GlaxoSmithKline, IntraCellular, Johnson &amp; Johnson/Janssen, Lundbeck, Merck, Novartis, Ono, Otsuka, Pfizer, Roche, Sage, Sumitomo Dainippon, and Takeda, as well as any affiliates of the foregoing companies.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9"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69"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97"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3" w:right="279" w:bottom="1440" w:gutter="0" w:footer="0" w:header="0"/>
        </w:sectPr>
      </w:pPr>
    </w:p>
    <w:bookmarkStart w:id="21" w:name="page22"/>
    <w:bookmarkEnd w:id="21"/>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9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8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success of our business depends primarily upon our ability to identify, develop and commercialize product candidates with commercial and therapeutic potential. Although AV-101 is in Phase 2 clinical development for treatment of depression, we may fail to pursue additional CNS-related Phase 2 development opportunities for AV-101, or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9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Because we currently have limited financial and management resources, we necessarily focus on a limited number of research and development programs and product candidates and are currently focused primarily on development of AV-101, with additional limited focus on NCE drug rescue and RM. As a result, we may forego or delay pursuit of opportunities with other product candidates or for other potential CNS-related indications for AV-101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pacing w:after="0" w:line="186"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6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products,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93" w:lineRule="exact"/>
        <w:rPr>
          <w:sz w:val="20"/>
          <w:szCs w:val="20"/>
          <w:color w:val="auto"/>
        </w:rPr>
      </w:pPr>
    </w:p>
    <w:p>
      <w:pPr>
        <w:jc w:val="both"/>
        <w:ind w:left="660" w:hanging="328"/>
        <w:spacing w:after="0" w:line="26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8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86"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2" w:name="page23"/>
    <w:bookmarkEnd w:id="22"/>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ind w:left="660" w:hanging="328"/>
        <w:spacing w:after="0" w:line="275"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9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90"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74"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6"/>
          <w:szCs w:val="16"/>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63" w:lineRule="exact"/>
        <w:rPr>
          <w:sz w:val="20"/>
          <w:szCs w:val="20"/>
          <w:color w:val="auto"/>
        </w:rPr>
      </w:pPr>
    </w:p>
    <w:p>
      <w:pPr>
        <w:ind w:right="6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6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promotional claims that may be made about prescription products, such as AV-101, if approved. In particular, a product may not be promoted for uses that are not approved by the FDA or such other regulatory agencies as reflected in the product’s approved labeling. For example, if we receive marketing approval for AV-101 as an adjunctive treatment of MDD, physicians may nevertheless prescribe AV-101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approved, reimbursement policies could limit our ability to sell our product candidates.</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Market acceptance and sales of our product candidates will depend heavily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9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3" w:name="page24"/>
    <w:bookmarkEnd w:id="23"/>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seek FDA Orphan Drug designation for one or more of our product candidates, including AV-101. Even if we have obtained FDA Orphan Drug designation for AV-101 of other product candidates, there may be limits to the regulatory exclusivity afforded by such designation.</w:t>
      </w:r>
    </w:p>
    <w:p>
      <w:pPr>
        <w:spacing w:after="0" w:line="16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may, in the future, choose to seek FDA Orphan Drug designation for one or more of our product candidates, including AV-101. Even if we obtain Orphan Drug designation from the FDA for AV-101 or any other product candidates, there are limitations to the exclusivity afforded by such designation.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196"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69" w:lineRule="exact"/>
        <w:rPr>
          <w:sz w:val="20"/>
          <w:szCs w:val="20"/>
          <w:color w:val="auto"/>
        </w:rPr>
      </w:pPr>
    </w:p>
    <w:p>
      <w:pPr>
        <w:ind w:right="160"/>
        <w:spacing w:after="0" w:line="339" w:lineRule="auto"/>
        <w:rPr>
          <w:sz w:val="20"/>
          <w:szCs w:val="20"/>
          <w:color w:val="auto"/>
        </w:rPr>
      </w:pPr>
      <w:r>
        <w:rPr>
          <w:rFonts w:ascii="Times New Roman" w:cs="Times New Roman" w:eastAsia="Times New Roman" w:hAnsi="Times New Roman"/>
          <w:sz w:val="16"/>
          <w:szCs w:val="16"/>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2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product candidates in foreign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are relying on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 party intellectual property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Foreign sales of our product candidates could also be adversely affected by the imposition of governmental controls, political and economic instability, trade restrictions and changes in tariffs.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3" w:right="339" w:bottom="1440" w:gutter="0" w:footer="0" w:header="0"/>
        </w:sectPr>
      </w:pPr>
    </w:p>
    <w:bookmarkStart w:id="24" w:name="page25"/>
    <w:bookmarkEnd w:id="24"/>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372" w:lineRule="exact"/>
        <w:rPr>
          <w:sz w:val="20"/>
          <w:szCs w:val="20"/>
          <w:color w:val="auto"/>
        </w:rPr>
      </w:pPr>
    </w:p>
    <w:p>
      <w:pPr>
        <w:ind w:right="5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a development stage biopharmaceutical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8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are a development stage biopharmaceutical company. Although our lead drug candidate is in Phase 2 development, we currently have no approved products and currently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19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obtain required regulatory approvals for commercialization of product candidates we produce;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leverage and expand our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sales, distribution and marketing capabilities, and/or enter into strategic partnering arrangements to access such capabilities;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market acceptance for our products; and</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adequate capital resources and manage our spending as costs and expenses increase due to research, production, development, regulatory approval and commercialization of product candidates.</w:t>
      </w:r>
    </w:p>
    <w:p>
      <w:pPr>
        <w:spacing w:after="0" w:line="170" w:lineRule="exact"/>
        <w:rPr>
          <w:sz w:val="20"/>
          <w:szCs w:val="20"/>
          <w:color w:val="auto"/>
        </w:rPr>
      </w:pPr>
    </w:p>
    <w:p>
      <w:pPr>
        <w:jc w:val="both"/>
        <w:ind w:right="4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is highly dependent upon our ability to successfully develop and commercialize AV-101 and discover, as well as produce, develop and commercialize proprietary drug rescue NCEs using our stem cell technology, and we cannot provide any assurance that we will successfully develop and commercialize AV-101 or drug rescue NCEs, or that, if produced, AV-101 or any drug rescue NCE will be successfully commercialized.</w:t>
      </w:r>
    </w:p>
    <w:p>
      <w:pPr>
        <w:spacing w:after="0" w:line="18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Research programs designed to identify and produce drug rescue NCEs require substantial technical, financial and human resources, whether or not any NCEs are ultimately identified and produced. In particular, our drug rescue programs may initially show promise in identifying potential NCEs, yet fail to yield a lead NCE suitable for preclinical, clinical development or commercialization for many reasons, including the following:</w:t>
      </w:r>
    </w:p>
    <w:p>
      <w:pPr>
        <w:spacing w:after="0" w:line="18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rescue research and development methodology may not be successful in identifying and developing potential drug rescue 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drug rescue NCEs obsolete;</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drug rescue NCE may, on further study, be shown to have harmful side effects or other characteristics that indicate it is unlikely to be effective or otherwise does not meet applicable regulatory criteria;</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drug rescue NCE may not be capable of being produced in commercial quantities at an acceptable cost, or at all;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drug rescue NCE may not be accepted as safe and effective by regulatory authorities, patients, the medical community or third-party payors.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drug rescue NCEs and/or other product candidates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188" w:lineRule="exact"/>
        <w:rPr>
          <w:sz w:val="20"/>
          <w:szCs w:val="20"/>
          <w:color w:val="auto"/>
        </w:rPr>
      </w:pPr>
    </w:p>
    <w:p>
      <w:pPr>
        <w:ind w:right="280"/>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We have limited operating history with respect to drug development, including our anticipated focus on the identification and assessment of potential drug rescue NCEs and no operating history with respect to the production of drug rescue NCEs, and we may never be able to produce a drug rescue NCE.</w:t>
      </w:r>
    </w:p>
    <w:p>
      <w:pPr>
        <w:spacing w:after="0" w:line="123"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auto"/>
        </w:rPr>
        <w:t>If we are unable to develop and commercialize AV-101 or produce suitable drug rescue NCEs, we may not be able to generate sufficient revenues to execute our business plan, which likely would result in significant harm to our financial position and results of operations, which could adversely impact our stock price.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5" w:name="page26"/>
    <w:bookmarkEnd w:id="25"/>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80"/>
        <w:spacing w:after="0" w:line="277" w:lineRule="auto"/>
        <w:rPr>
          <w:sz w:val="20"/>
          <w:szCs w:val="20"/>
          <w:color w:val="auto"/>
        </w:rPr>
      </w:pPr>
      <w:r>
        <w:rPr>
          <w:rFonts w:ascii="Times New Roman" w:cs="Times New Roman" w:eastAsia="Times New Roman" w:hAnsi="Times New Roman"/>
          <w:sz w:val="18"/>
          <w:szCs w:val="18"/>
          <w:color w:val="auto"/>
        </w:rPr>
        <w:t xml:space="preserve">There are a number of factors, in addition to the utility of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that may impact our ability to identify and produce, develop or out-license and commercialize drug rescue NCEs, independently or with strategic partners, including:</w:t>
      </w:r>
    </w:p>
    <w:p>
      <w:pPr>
        <w:spacing w:after="0" w:line="172" w:lineRule="exact"/>
        <w:rPr>
          <w:sz w:val="20"/>
          <w:szCs w:val="20"/>
          <w:color w:val="auto"/>
        </w:rPr>
      </w:pPr>
    </w:p>
    <w:p>
      <w:pPr>
        <w:ind w:left="660" w:hanging="328"/>
        <w:spacing w:after="0" w:line="275"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potential drug rescue candidates in the public domain, obtain sufficient quantities of them, and assess them using our bioassay systems;</w:t>
      </w:r>
    </w:p>
    <w:p>
      <w:pPr>
        <w:spacing w:after="0" w:line="173"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73"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medicinal chemistry collaborator’s ability to design and produce proprietary drug rescue NCEs based on the novel biology and structure-function insight we provide using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w:t>
      </w:r>
    </w:p>
    <w:p>
      <w:pPr>
        <w:spacing w:after="0" w:line="173"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resources available to us to develop and commercialize lead drug rescue NCEs internally, or, if we out-license them to strategic partners, the resources such partners choose to dedicate to development and commercialization of any drug rescue NCEs they license from us.</w:t>
      </w:r>
    </w:p>
    <w:p>
      <w:pPr>
        <w:spacing w:after="0" w:line="17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Even if we do produce proprietary drug rescue NCEs, we can give no assurance that we will be able to develop and commercialize them as a marketable drug, on our own or in collaboration with others. Before we generate any revenues from AV-101 and/or additional drug rescue NCEs we or our potential collaborators must complete preclinical and clinical developments,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9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CardioSafe </w:t>
      </w:r>
      <w:r>
        <w:rPr>
          <w:rFonts w:ascii="Times New Roman" w:cs="Times New Roman" w:eastAsia="Times New Roman" w:hAnsi="Times New Roman"/>
          <w:sz w:val="18"/>
          <w:szCs w:val="18"/>
          <w:b w:val="1"/>
          <w:bCs w:val="1"/>
          <w:color w:val="auto"/>
        </w:rPr>
        <w:t>3D</w:t>
      </w:r>
      <w:r>
        <w:rPr>
          <w:rFonts w:ascii="Times New Roman" w:cs="Times New Roman" w:eastAsia="Times New Roman" w:hAnsi="Times New Roman"/>
          <w:sz w:val="18"/>
          <w:szCs w:val="18"/>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67"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8"/>
          <w:szCs w:val="18"/>
          <w:color w:val="auto"/>
        </w:rPr>
        <w:t xml:space="preserve">Our success is partly dependent on our ability to use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to identify and predict, accurately and efficiently, the potential toxic and nontoxic cardiac effects of drug rescue candidates and drug rescue NCEs. If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is not capable of providing physiologically relevant and clinically predictive information regarding human cardiac biology, our drug rescue business will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CardioSafe </w:t>
      </w:r>
      <w:r>
        <w:rPr>
          <w:rFonts w:ascii="Times New Roman" w:cs="Times New Roman" w:eastAsia="Times New Roman" w:hAnsi="Times New Roman"/>
          <w:sz w:val="18"/>
          <w:szCs w:val="18"/>
          <w:b w:val="1"/>
          <w:bCs w:val="1"/>
          <w:color w:val="auto"/>
        </w:rPr>
        <w:t>3D</w:t>
      </w:r>
      <w:r>
        <w:rPr>
          <w:rFonts w:ascii="Times New Roman" w:cs="Times New Roman" w:eastAsia="Times New Roman" w:hAnsi="Times New Roman"/>
          <w:sz w:val="18"/>
          <w:szCs w:val="18"/>
          <w:b w:val="1"/>
          <w:bCs w:val="1"/>
          <w:i w:val="1"/>
          <w:iCs w:val="1"/>
          <w:color w:val="auto"/>
        </w:rPr>
        <w:t xml:space="preserve"> may not be meaningfully more predictive of the behavior of human cells than existing methods.</w:t>
      </w:r>
    </w:p>
    <w:p>
      <w:pPr>
        <w:spacing w:after="0" w:line="227"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8"/>
          <w:szCs w:val="18"/>
          <w:color w:val="auto"/>
        </w:rPr>
        <w:t xml:space="preserve">The success of our drug rescue programs is highly dependent upon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will be more efficient or accurate at predicting the heart safety of new drug candidates than the testing models currently used. If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fails to provide a meaningful difference compared to existing or new models in predicting the behavior of human heart, respectively, their utility for drug rescue will be limited and our drug rescue business will be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invest in producing drug rescue NCEs for which there proves to be no demand.</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To generate revenue from our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6" w:name="page27"/>
    <w:bookmarkEnd w:id="26"/>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6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Our human pluripotent stem cell technology is technically complex, and the time and resources necessary to develop various human cell types and customized bioassay systems are difficult to predict in advance. We might decide to devote significant personnel and financial resources to research and development activities designed to expand, in the case of drug rescue, and explore, in the case of drug discovery and regenerative medicine, potential applications of our stem cell technology platform. In particular, we may conduct exploratory non-clinical RM programs involving blood, bone, cartilage, and/or liver cells. Although we and our collaborators have developed proprietary protocols for the production of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196"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83"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Some of our research and development programs may involve the use of human cells derived from our controlled differentiation of human embryonic stem cells (</w:t>
      </w:r>
      <w:r>
        <w:rPr>
          <w:rFonts w:ascii="Times New Roman" w:cs="Times New Roman" w:eastAsia="Times New Roman" w:hAnsi="Times New Roman"/>
          <w:sz w:val="16"/>
          <w:szCs w:val="16"/>
          <w:i w:val="1"/>
          <w:iCs w:val="1"/>
          <w:color w:val="auto"/>
        </w:rPr>
        <w:t>hESC</w:t>
      </w:r>
      <w:r>
        <w:rPr>
          <w:rFonts w:ascii="Times New Roman" w:cs="Times New Roman" w:eastAsia="Times New Roman" w:hAnsi="Times New Roman"/>
          <w:sz w:val="16"/>
          <w:szCs w:val="16"/>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may use hESCs derived from excess fertilized eggs that have been created for clinical use in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fertilization (</w:t>
      </w:r>
      <w:r>
        <w:rPr>
          <w:rFonts w:ascii="Times New Roman" w:cs="Times New Roman" w:eastAsia="Times New Roman" w:hAnsi="Times New Roman"/>
          <w:sz w:val="16"/>
          <w:szCs w:val="16"/>
          <w:i w:val="1"/>
          <w:iCs w:val="1"/>
          <w:color w:val="auto"/>
        </w:rPr>
        <w:t>IVF</w:t>
      </w:r>
      <w:r>
        <w:rPr>
          <w:rFonts w:ascii="Times New Roman" w:cs="Times New Roman" w:eastAsia="Times New Roman" w:hAnsi="Times New Roman"/>
          <w:sz w:val="16"/>
          <w:szCs w:val="16"/>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167" w:lineRule="exact"/>
        <w:rPr>
          <w:sz w:val="20"/>
          <w:szCs w:val="20"/>
          <w:color w:val="auto"/>
        </w:rPr>
      </w:pPr>
    </w:p>
    <w:p>
      <w:pPr>
        <w:jc w:val="both"/>
        <w:ind w:right="320"/>
        <w:spacing w:after="0" w:line="258" w:lineRule="auto"/>
        <w:rPr>
          <w:sz w:val="20"/>
          <w:szCs w:val="20"/>
          <w:color w:val="auto"/>
        </w:rPr>
      </w:pPr>
      <w:r>
        <w:rPr>
          <w:rFonts w:ascii="Times New Roman" w:cs="Times New Roman" w:eastAsia="Times New Roman" w:hAnsi="Times New Roman"/>
          <w:sz w:val="18"/>
          <w:szCs w:val="18"/>
          <w:color w:val="auto"/>
        </w:rPr>
        <w:t>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188" w:lineRule="exact"/>
        <w:rPr>
          <w:sz w:val="20"/>
          <w:szCs w:val="20"/>
          <w:color w:val="auto"/>
        </w:rPr>
      </w:pPr>
    </w:p>
    <w:p>
      <w:pPr>
        <w:jc w:val="both"/>
        <w:ind w:right="320"/>
        <w:spacing w:after="0" w:line="277" w:lineRule="auto"/>
        <w:rPr>
          <w:sz w:val="20"/>
          <w:szCs w:val="20"/>
          <w:color w:val="auto"/>
        </w:rPr>
      </w:pPr>
      <w:r>
        <w:rPr>
          <w:rFonts w:ascii="Times New Roman" w:cs="Times New Roman" w:eastAsia="Times New Roman" w:hAnsi="Times New Roman"/>
          <w:sz w:val="18"/>
          <w:szCs w:val="18"/>
          <w:color w:val="auto"/>
        </w:rPr>
        <w:t xml:space="preserve">The foregoing potential ethical concerns do not apply to our use of induced pluripotent stem cells </w:t>
      </w:r>
      <w:r>
        <w:rPr>
          <w:rFonts w:ascii="Times New Roman" w:cs="Times New Roman" w:eastAsia="Times New Roman" w:hAnsi="Times New Roman"/>
          <w:sz w:val="18"/>
          <w:szCs w:val="18"/>
          <w:i w:val="1"/>
          <w:iCs w:val="1"/>
          <w:color w:val="auto"/>
        </w:rPr>
        <w:t>(iPSC</w:t>
      </w:r>
      <w:r>
        <w:rPr>
          <w:rFonts w:ascii="Times New Roman" w:cs="Times New Roman" w:eastAsia="Times New Roman" w:hAnsi="Times New Roman"/>
          <w:sz w:val="18"/>
          <w:szCs w:val="18"/>
          <w:color w:val="auto"/>
        </w:rPr>
        <w:t>s) because their derivation does not involve the use of embryonic tissues.</w:t>
      </w:r>
    </w:p>
    <w:p>
      <w:pPr>
        <w:spacing w:after="0" w:line="168"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8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 xml:space="preserve">We may use both hESCs and iPSCs to produce human cells for our customized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7" w:name="page28"/>
    <w:bookmarkEnd w:id="27"/>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6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3"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6" w:lineRule="exact"/>
        <w:rPr>
          <w:sz w:val="20"/>
          <w:szCs w:val="20"/>
          <w:color w:val="auto"/>
        </w:rPr>
      </w:pPr>
    </w:p>
    <w:p>
      <w:pPr>
        <w:jc w:val="both"/>
        <w:ind w:right="400"/>
        <w:spacing w:after="0" w:line="262"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8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83"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6"/>
          <w:szCs w:val="16"/>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social and ethical concerns surrounding the use of iPSCs, biological materials and genetic information could impair our operations.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191"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6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The human cells we produce from hPSCs and our customized bioassay systems using such cells, including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ectPr>
          <w:pgSz w:w="11900" w:h="16838" w:orient="portrait"/>
          <w:cols w:equalWidth="0" w:num="1">
            <w:col w:w="11420"/>
          </w:cols>
          <w:pgMar w:left="240" w:top="1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w:t>
      </w:r>
    </w:p>
    <w:p>
      <w:pPr>
        <w:spacing w:after="0" w:line="223" w:lineRule="exact"/>
        <w:rPr>
          <w:sz w:val="20"/>
          <w:szCs w:val="20"/>
          <w:color w:val="auto"/>
        </w:rPr>
      </w:pPr>
    </w:p>
    <w:p>
      <w:pPr>
        <w:ind w:right="280"/>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2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6"/>
          <w:szCs w:val="16"/>
          <w:color w:val="auto"/>
        </w:rPr>
        <w:t>We have incurred significant net losses in each fiscal year since our inception in 1998, including net losses of $10.3 million and $47.2 million, which includes $26.7 million of non-cash expense related to the extinguishment of essentially all of our outstanding promissory notes and certain other indebtedness, during the fiscal years ended March 31, 2017 and 2016, respectively. We incurred a net loss of approximately $7.3 million in the six months ended September 30, 2017 and, as of that date, we had an accumulated deficit of approximately $149.3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(deficit)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385"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revenues. To date, we have generated approximately $17.7 million in revenues, including receipt of non-dilutive cash payments from collaborators, sublicense revenue, and research and development grant awards from the NIH, not including the fair market value of the ongoing NIMH AV-101 MDD Phase 2 Monotherapy Study under our NIMH CRADA.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AV-101, or we enter into one or more development and commercialization agreements with respect to AV-101 or one or more other product candidates. Our ability to generate revenue depends on a number of factors, including, but not limited to, our ability to:</w:t>
      </w:r>
    </w:p>
    <w:p>
      <w:pPr>
        <w:spacing w:after="0" w:line="19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non-clinical and clinical trials that meet their prescribed endpoints;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studies required to obtain U.S. and foreign marketing approval for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product candidates, if approved, by developing a sales force or entering into collaborations with third parties;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 candidates in the medical community and with third-party payors.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Unless we enter into a development and commercialization collaboration or partnership agreement, we expect to incur significant sales and marketing costs as we prepare to commercialize AV-101 or other product candidates. Even if we initiate and successfully complete pivotal clinical trials of AV-101 or other product candidates, and AV-101 or other product candidates are approved for commercial sale, and despite expending these costs, AV-101 or other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require additional financing to execute our business plan and continue to operate as a going concern.</w:t>
      </w:r>
    </w:p>
    <w:p>
      <w:pPr>
        <w:spacing w:after="0" w:line="229"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Our audited consolidated financial statements for the year ended March 31, 2017 as well as the unaudited condensed consolidated financial statements for the period ended September 30, 2017 included elsewhere in this Report have been prepared assuming we will continue to operate as a going concern, although we and our auditors have indicated that our continuing losses and negative cash flows from operations raise substantial doubt about our ability to continue as such. Because we continue to experience net operating losses, our ability to continue as a going concern is subject to our ability to obtain necessary funding from outside sources, including obtaining additional funding from the sale of our securities or obtaining loans and grant awards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9" w:name="page30"/>
    <w:bookmarkEnd w:id="29"/>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Since our inception, most of our resources have been dedicated to research and development of AV-101 and the drug rescue capabilities of our stem cell technology platform. In particular, we have expended substantial resources advancing AV-101 through preclinical development and Phase 1 clinical safety studies, and developing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our cardiac stem cell technology for drug rescue and potential regenerative medicine applications, and we will continue to expend substantial resources for the foreseeable future developing and commercializing AV-101 for multiple CNS indications, and, potentially, developing drug rescue NCEs and RM therapies, on our own or in collaborations similar to the BlueRock Agreement. These expenditures will include costs associated with general and administrative costs, facilities costs, research and development, acquiring new technologies, manufacturing product candidates, conducting nonclinical experiments and clinical trials and obtaining regulatory approvals, as well as commercializing any products approved for sale.</w:t>
      </w:r>
    </w:p>
    <w:p>
      <w:pPr>
        <w:spacing w:after="0" w:line="19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September 30, 2017, our existing cash and cash equivalents were not sufficient to fund our current operations for the next 12 months or to complete our proposed AV-101 MDD Phase 2 Adjunctive Treatment Study. Further, we have no current source of revenue to sustain our present activities, and we do not expect to generate revenue until, and unless, we (i) out-license or sell AV-101, a drug rescue NCE, and/or another drug candidate unrelated to AV-101 to third-parties, (ii) enter into license arrangements involving our stem cell technology, or (iii) obtain approval from the FDA or other regulatory authorities and successfully commercialize, on our own or through a future collaboration, one or more of our compounds.</w:t>
      </w:r>
    </w:p>
    <w:p>
      <w:pPr>
        <w:spacing w:after="0" w:line="193"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As the outcome of our AV-101 and NCE drug rescue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develop, obtain regulatory approval for, and to commercialize our product candidates, and may seek additional capital in the event there exists favorable market conditions or strategic considerations even if we believe we have sufficient funds for our current or future operating plans. We are considering a range of potential sources of funding, including public or private equity or debt financings, government or other third-party funding, marketing and distribution arrangements and other collaborations, strategic alliances and licensing arrangements or a combination of these approaches, and we may complete additional financing arrangements in 2017 and beyond.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the product candidates we pursue, including AV-101 and drug rescue 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and conducting preclinical and clinical studies;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our product candidates are approved for sale, including marketing, sales and distribution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and any products we successfully commercialize;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government funding for our programs;</w:t>
      </w:r>
    </w:p>
    <w:p>
      <w:pPr>
        <w:spacing w:after="0" w:line="225"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obtaining and enforcing patents to preserve our intellectual property;</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defending against such claims that we infringe third-party patents or violate other intellectual property rights and the outcome of such litigation;</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potential future licensee fees, milestone payments, and sales of, or royalties on, our future products, if any; and</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although we currently have no commitments or agreements relating to any of these types of transactions.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0" w:name="page31"/>
    <w:bookmarkEnd w:id="30"/>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will divert certain members of our management team from their day-to-day activities, which may adversely affect our ability to develop and commercialize our product candidates. In addition, we cannot guarantee that future financing will be available in sufficient amounts, in a timely manner, or on terms acceptable to us, if at all, and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or exchange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95" w:lineRule="exact"/>
        <w:rPr>
          <w:sz w:val="20"/>
          <w:szCs w:val="20"/>
          <w:color w:val="auto"/>
        </w:rPr>
      </w:pPr>
    </w:p>
    <w:p>
      <w:pPr>
        <w:jc w:val="both"/>
        <w:ind w:right="220"/>
        <w:spacing w:after="0" w:line="310" w:lineRule="auto"/>
        <w:rPr>
          <w:sz w:val="20"/>
          <w:szCs w:val="20"/>
          <w:color w:val="auto"/>
        </w:rPr>
      </w:pPr>
      <w:r>
        <w:rPr>
          <w:rFonts w:ascii="Times New Roman" w:cs="Times New Roman" w:eastAsia="Times New Roman" w:hAnsi="Times New Roman"/>
          <w:sz w:val="16"/>
          <w:szCs w:val="16"/>
          <w:color w:val="auto"/>
        </w:rPr>
        <w:t>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47" w:lineRule="exact"/>
        <w:rPr>
          <w:sz w:val="20"/>
          <w:szCs w:val="20"/>
          <w:color w:val="auto"/>
        </w:rPr>
      </w:pPr>
    </w:p>
    <w:p>
      <w:pPr>
        <w:jc w:val="both"/>
        <w:ind w:right="160"/>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r>
        <w:rPr>
          <w:rFonts w:ascii="Times New Roman" w:cs="Times New Roman" w:eastAsia="Times New Roman" w:hAnsi="Times New Roman"/>
          <w:sz w:val="16"/>
          <w:szCs w:val="16"/>
          <w:b w:val="1"/>
          <w:bCs w:val="1"/>
          <w:color w:val="auto"/>
        </w:rPr>
        <w:t>.</w:t>
      </w:r>
    </w:p>
    <w:p>
      <w:pPr>
        <w:spacing w:after="0" w:line="12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identified material weaknesses in our internal control over financial reporting. In particular, we concluded that (i) the size and capabilities of the Company’s staff does not permit appropriate segregation of duties to prevent one individual from overriding the internal control system by initiating, authorizing and completing all transactions, and (ii) the Company utilizes accounting software that does not prevent erroneous or unauthorized changes to previous reporting periods and/or can be adjusted so as to not provide an adequate auditing trail of entries made in the accounting software.</w:t>
      </w:r>
    </w:p>
    <w:p>
      <w:pPr>
        <w:spacing w:after="0" w:line="19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existence of one or more material weaknesses or significant deficiencies could result in errors in our financial statements, and substantial costs and resources may be required to rectify any internal control deficiencies. If we cannot produce reliable financial reports, investors could lose confidence in our reported financial information, we may be unable to obtain additional financing to operate and expand our business and our business and financial condition could be harmed.</w:t>
      </w:r>
    </w:p>
    <w:p>
      <w:pPr>
        <w:spacing w:after="0" w:line="186"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will cause substantial dilution to our existing stockholders, may restrict our operations or require us to relinquish rights, and may require us to seek stockholder approval to authorize additional shares of our common stock.</w:t>
      </w:r>
    </w:p>
    <w:p>
      <w:pPr>
        <w:spacing w:after="0" w:line="16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intend to pursue private and public equity offerings, debt financings, strategic collaborations and licensing arrangements during 2017 and beyond.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substantially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programs have been partially supported by government grant awards, which may not be available to us in the future.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Since inception, we have received substantial funds under grant award programs funded by state and federal governmental agencies, such as the NIH, the NIH’s National Institute of Neurological Disease and Stroke (</w:t>
      </w:r>
      <w:r>
        <w:rPr>
          <w:rFonts w:ascii="Times New Roman" w:cs="Times New Roman" w:eastAsia="Times New Roman" w:hAnsi="Times New Roman"/>
          <w:sz w:val="18"/>
          <w:szCs w:val="18"/>
          <w:i w:val="1"/>
          <w:iCs w:val="1"/>
          <w:color w:val="auto"/>
        </w:rPr>
        <w:t>NINDS</w:t>
      </w:r>
      <w:r>
        <w:rPr>
          <w:rFonts w:ascii="Times New Roman" w:cs="Times New Roman" w:eastAsia="Times New Roman" w:hAnsi="Times New Roman"/>
          <w:sz w:val="18"/>
          <w:szCs w:val="18"/>
          <w:color w:val="auto"/>
        </w:rPr>
        <w:t>) and the NIMH, and the California Institute for Regenerative Medicine (</w:t>
      </w:r>
      <w:r>
        <w:rPr>
          <w:rFonts w:ascii="Times New Roman" w:cs="Times New Roman" w:eastAsia="Times New Roman" w:hAnsi="Times New Roman"/>
          <w:sz w:val="18"/>
          <w:szCs w:val="18"/>
          <w:i w:val="1"/>
          <w:iCs w:val="1"/>
          <w:color w:val="auto"/>
        </w:rPr>
        <w:t>CIRM</w:t>
      </w:r>
      <w:r>
        <w:rPr>
          <w:rFonts w:ascii="Times New Roman" w:cs="Times New Roman" w:eastAsia="Times New Roman" w:hAnsi="Times New Roman"/>
          <w:sz w:val="18"/>
          <w:szCs w:val="18"/>
          <w:color w:val="auto"/>
        </w:rPr>
        <w:t>).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1" w:name="page32"/>
    <w:bookmarkEnd w:id="31"/>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is subject to certain limitations.</w:t>
      </w:r>
    </w:p>
    <w:p>
      <w:pPr>
        <w:spacing w:after="0" w:line="229"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 xml:space="preserve">As of March 31, 2017, we had federal and state net operating loss carryforwards of $77.1 million and $67.6 million, respectively, which begin to expire in fiscal 2018. Under Section 382 of the Internal Revenue Code of 1986, as amended (the </w:t>
      </w:r>
      <w:r>
        <w:rPr>
          <w:rFonts w:ascii="Times New Roman" w:cs="Times New Roman" w:eastAsia="Times New Roman" w:hAnsi="Times New Roman"/>
          <w:sz w:val="16"/>
          <w:szCs w:val="16"/>
          <w:i w:val="1"/>
          <w:iCs w:val="1"/>
          <w:color w:val="auto"/>
        </w:rPr>
        <w:t>Code</w:t>
      </w:r>
      <w:r>
        <w:rPr>
          <w:rFonts w:ascii="Times New Roman" w:cs="Times New Roman" w:eastAsia="Times New Roman" w:hAnsi="Times New Roman"/>
          <w:sz w:val="16"/>
          <w:szCs w:val="16"/>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Company-Related Risks</w:t>
      </w:r>
    </w:p>
    <w:p>
      <w:pPr>
        <w:spacing w:after="0" w:line="223"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senior management and key scientific personnel, we may be unable to successfully produce, develop and commercialize AV-101, drug rescue NCEs, other potential product candidates and other commercial applications of our stem cell technology.</w:t>
      </w:r>
    </w:p>
    <w:p>
      <w:pPr>
        <w:spacing w:after="0" w:line="16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and scientific and technical personnel. We are highly dependent upon our Chief Executive Officer, President and Chief Scientific Officer, Chief Medical Officer and Chief Financial Officer, as well as other employees, consultants and scientific collaborators. As of the date of this Report, we have nine full-time employees, which may make us more reliant on our individual employees than companies with a greater number of employees. The loss of services of any of these individuals could delay or prevent the successful development of AV-101, drug rescue NCEs, other product candidates, and other applications of our stem cell technology, including our production and assessment of potential drug recuse NCEs or disrupt our administrative functions.</w:t>
      </w:r>
    </w:p>
    <w:p>
      <w:pPr>
        <w:spacing w:after="0" w:line="19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and administrative activities. We may not be able to attract and retain quality personnel on acceptable terms.</w:t>
      </w:r>
    </w:p>
    <w:p>
      <w:pPr>
        <w:spacing w:after="0" w:line="18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addition, we rely on a diverse range of strategic consultants and advisors, including manufacturing, scientific and clinical development, and regulatory advisors, to assist us in designing and implementing our research and development and regulatory strategies and plans, including our AV-101 development and drug rescue strategies and plans. Our consultants and advisors may be employed by employers other than us and may have commitments under consulting or advisory contracts with other entities that may limit their availability to us.</w:t>
      </w:r>
    </w:p>
    <w:p>
      <w:pPr>
        <w:spacing w:after="0" w:line="190"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6"/>
          <w:szCs w:val="16"/>
          <w:color w:val="auto"/>
        </w:rPr>
        <w:t>As we seek to advance development of AV-101 for MDD and other CNS-related conditions, as well as stem cell technology-related drug rescue and RM programs, we will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2" w:name="page33"/>
    <w:bookmarkEnd w:id="32"/>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right="6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6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we develop AV-101, drug rescue NCEs, other product candidates, or regenerative medicine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AV-101, any drug rescue NCE, other product candidate, or regenerative medicine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9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products that we may develop;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89"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incur significant administrative workload and expenses to comply with U.S. regulations and requirements imposed by the NASDAQ Stock Market concerning corporate governance and public disclosure.</w:t>
      </w:r>
    </w:p>
    <w:p>
      <w:pPr>
        <w:spacing w:after="0" w:line="16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 a public company with common stock listed on the NASDAQ Capital Market, we must comply with various laws, regulations and requirements, including certain provisions of the Sarbanes-Oxley Act of 2002, as well as rules implemented by the SEC and the NASDAQ Stock Market. Complying with these statutes, regulations and requirements, including our public company reporting requirements, continues to occupy a significant amount of the time of management and involves significant accounting, legal and other expenses. Furthermore, these laws, regulations and requirements require us to observe greater corporate governance practices than we have employed in the past, including, but not limited to maintaining a sufficient number of independent directors, increased frequency of board meetings, and holding annual stockholder meetings. Our efforts to comply with these regulations are likely to result in increased general and administrative expenses and management time and attention directed to compliance activities.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or political conditions could adversely affect our business, financial condition or results of operations.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33" w:name="page34"/>
    <w:bookmarkEnd w:id="33"/>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89"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CROs or other contractors or consultants, may fail or suffer security breaches, which could result in a material disruption of our product candidates’ development programs.</w:t>
      </w:r>
    </w:p>
    <w:p>
      <w:pPr>
        <w:spacing w:after="0" w:line="16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AV-101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products, or form strategic alliances, in the future, and we may not realize the benefits of such acquisitions.</w:t>
      </w:r>
    </w:p>
    <w:p>
      <w:pPr>
        <w:spacing w:after="0" w:line="229"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6"/>
          <w:szCs w:val="16"/>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22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8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We strive to protect and enhance the proprietary technologies that we believe are important to our business, including seeking patents intended to cover our products and compositions, their methods of use and any other inventions we consider important to the development of our business. We also rely on trade secrets to protect aspects of our business that are not amenable to, or that we do not consider appropriate for, patent protection.</w:t>
      </w:r>
    </w:p>
    <w:p>
      <w:pPr>
        <w:spacing w:after="0" w:line="18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success will depend significantly on our ability to obtain and maintain patent and other proprietary protection for commercially important technology, inventions and know-how related to our business, to defend and enforce our patents, should they issue,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patent applications related to AV-101 and we own and have licensed patents and patent applications related to human pluripotent stem cell technology.</w:t>
      </w:r>
    </w:p>
    <w:p>
      <w:pPr>
        <w:spacing w:after="0" w:line="19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Although we have an issued patent relating to AV-101 in the U.S. and the European Union, we cannot yet provide any assurances that any of our other numerous pending U.S. and additional foreign patent applications relating to AV-101 will mature into issued patents and, if they do, that such patents will include claims with a scope sufficient to protect AV-101 or otherwise provide any competitive advantage.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patent protection.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4" w:name="page35"/>
    <w:bookmarkEnd w:id="34"/>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patent positions of biotechnology and pharmaceutical companies, including our patent position, involve complex legal and factual questions, and, therefore,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issuance, scope, validity and enforceability of any additional patent claims that we may obtain cannot be predicted with certainty. Patents, if issued, may be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challenged, deemed unenforceable, invalidated, or circumvented. U.S. patents and patent applications may also be subject to interference proceedings, </w:t>
      </w:r>
      <w:r>
        <w:rPr>
          <w:rFonts w:ascii="Times New Roman" w:cs="Times New Roman" w:eastAsia="Times New Roman" w:hAnsi="Times New Roman"/>
          <w:sz w:val="18"/>
          <w:szCs w:val="18"/>
          <w:i w:val="1"/>
          <w:iCs w:val="1"/>
          <w:color w:val="auto"/>
        </w:rPr>
        <w:t>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parte </w:t>
      </w:r>
      <w:r>
        <w:rPr>
          <w:rFonts w:ascii="Times New Roman" w:cs="Times New Roman" w:eastAsia="Times New Roman" w:hAnsi="Times New Roman"/>
          <w:sz w:val="16"/>
          <w:szCs w:val="16"/>
          <w:color w:val="auto"/>
        </w:rPr>
        <w:t>reexamination, or</w:t>
      </w:r>
      <w:r>
        <w:rPr>
          <w:rFonts w:ascii="Times New Roman" w:cs="Times New Roman" w:eastAsia="Times New Roman" w:hAnsi="Times New Roman"/>
          <w:sz w:val="16"/>
          <w:szCs w:val="16"/>
          <w:i w:val="1"/>
          <w:iCs w:val="1"/>
          <w:color w:val="auto"/>
        </w:rPr>
        <w:t xml:space="preserve"> inter partes </w:t>
      </w:r>
      <w:r>
        <w:rPr>
          <w:rFonts w:ascii="Times New Roman" w:cs="Times New Roman" w:eastAsia="Times New Roman" w:hAnsi="Times New Roman"/>
          <w:sz w:val="16"/>
          <w:szCs w:val="16"/>
          <w:color w:val="auto"/>
        </w:rPr>
        <w:t>review proceedings, supplemental examination and challenges in district court. Patents may be subjected to opposition, post-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grant review, or comparable proceedings lodged in various foreign, both national and regional, patent offices. These proceedings could result in either loss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or denial of the patent application or loss or reduction in the scope of one or more of the claims of the patent or patent application. In addition,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proceedings may be costly. Thus, any patents that we may own or exclusively license may not provide any protection against competitors. Furthermore,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adverse decision in an interference proceeding can result in a third party receiving the patent right sought by us, which in turn could affect our ability to develop,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or otherwise commercialize our product candidates.</w:t>
      </w:r>
    </w:p>
    <w:p>
      <w:pPr>
        <w:spacing w:after="0" w:line="21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Furthermore, though a patent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9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9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225" w:lineRule="exact"/>
        <w:rPr>
          <w:sz w:val="20"/>
          <w:szCs w:val="20"/>
          <w:color w:val="auto"/>
        </w:rPr>
      </w:pPr>
    </w:p>
    <w:p>
      <w:pPr>
        <w:ind w:left="660" w:hanging="328"/>
        <w:spacing w:after="0" w:line="275"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AV-101 or other pending patent applications, if issued, will include claims having a scope sufficient to protect AV-101 or any other products or product candidates, particularly considering that the compound patent to AV-101 has expired;</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 at 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our product candidates, if approved, before our relevant patents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use pre-existing technology to effectively compete against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if issued, will be found to ultimately be valid and enforceable;</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commercial activities or products will not infringe upon the patents or proprietary rights of others.</w:t>
      </w:r>
    </w:p>
    <w:p>
      <w:pPr>
        <w:spacing w:after="0" w:line="22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ectPr>
          <w:pgSz w:w="11900" w:h="16838" w:orient="portrait"/>
          <w:cols w:equalWidth="0" w:num="1">
            <w:col w:w="11420"/>
          </w:cols>
          <w:pgMar w:left="240" w:top="1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6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20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was successfully asserted against us and we could not obtain such a license, we may be forced to stop or delay developing, manufacturing, selling or otherwise commercializing our product candidates.</w:t>
      </w:r>
    </w:p>
    <w:p>
      <w:pPr>
        <w:spacing w:after="0" w:line="19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19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developing, selling or otherwise commercializing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reasonable terms, if at all; and</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coming to fruition could have a material adverse effect on our business, results of operations, financial condition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6" w:name="page37"/>
    <w:bookmarkEnd w:id="36"/>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6" w:lineRule="exact"/>
        <w:rPr>
          <w:sz w:val="20"/>
          <w:szCs w:val="20"/>
          <w:color w:val="auto"/>
        </w:rPr>
      </w:pPr>
    </w:p>
    <w:p>
      <w:pPr>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2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The U.S. Patent and Trademark Office (</w:t>
      </w:r>
      <w:r>
        <w:rPr>
          <w:rFonts w:ascii="Times New Roman" w:cs="Times New Roman" w:eastAsia="Times New Roman" w:hAnsi="Times New Roman"/>
          <w:sz w:val="18"/>
          <w:szCs w:val="18"/>
          <w:i w:val="1"/>
          <w:iCs w:val="1"/>
          <w:color w:val="auto"/>
        </w:rPr>
        <w:t>USPTO</w:t>
      </w:r>
      <w:r>
        <w:rPr>
          <w:rFonts w:ascii="Times New Roman" w:cs="Times New Roman" w:eastAsia="Times New Roman" w:hAnsi="Times New Roman"/>
          <w:sz w:val="18"/>
          <w:szCs w:val="18"/>
          <w:color w:val="auto"/>
        </w:rPr>
        <w:t>), European Patent Office (</w:t>
      </w:r>
      <w:r>
        <w:rPr>
          <w:rFonts w:ascii="Times New Roman" w:cs="Times New Roman" w:eastAsia="Times New Roman" w:hAnsi="Times New Roman"/>
          <w:sz w:val="18"/>
          <w:szCs w:val="18"/>
          <w:i w:val="1"/>
          <w:iCs w:val="1"/>
          <w:color w:val="auto"/>
        </w:rPr>
        <w:t>EPO</w:t>
      </w:r>
      <w:r>
        <w:rPr>
          <w:rFonts w:ascii="Times New Roman" w:cs="Times New Roman" w:eastAsia="Times New Roman" w:hAnsi="Times New Roman"/>
          <w:sz w:val="18"/>
          <w:szCs w:val="18"/>
          <w:color w:val="auto"/>
        </w:rPr>
        <w:t>) and various other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 material adverse effect on the success of our business. Any lawsuit we are engaged in to protect or enforce our patents or the patents of our licensors could be expensive, time-consuming and unsuccessful.</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9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Further, 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before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 can.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or European Union.</w:t>
      </w:r>
    </w:p>
    <w:p>
      <w:pPr>
        <w:spacing w:after="0" w:line="192"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16"/>
          <w:szCs w:val="16"/>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6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w:t>
      </w:r>
    </w:p>
    <w:p>
      <w:pPr>
        <w:spacing w:after="0" w:line="2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If we or one of our licensing partners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EPO,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ectPr>
          <w:pgSz w:w="11900" w:h="16838" w:orient="portrait"/>
          <w:cols w:equalWidth="0" w:num="1">
            <w:col w:w="11420"/>
          </w:cols>
          <w:pgMar w:left="240" w:top="1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right="6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69"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Filing, prosecuting and defending patents on product candidates in all countries and jurisdictions throughout the world is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relating to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pacing w:after="0" w:line="16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93"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66"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6"/>
          <w:szCs w:val="16"/>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6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9"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a party to a number of license agreements under which we are granted rights to intellectual property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See “</w:t>
      </w:r>
      <w:r>
        <w:rPr>
          <w:rFonts w:ascii="Times New Roman" w:cs="Times New Roman" w:eastAsia="Times New Roman" w:hAnsi="Times New Roman"/>
          <w:sz w:val="18"/>
          <w:szCs w:val="18"/>
          <w:i w:val="1"/>
          <w:iCs w:val="1"/>
          <w:color w:val="auto"/>
        </w:rPr>
        <w:t>Business —Intellectual Property</w:t>
      </w:r>
      <w:r>
        <w:rPr>
          <w:rFonts w:ascii="Times New Roman" w:cs="Times New Roman" w:eastAsia="Times New Roman" w:hAnsi="Times New Roman"/>
          <w:sz w:val="18"/>
          <w:szCs w:val="18"/>
          <w:color w:val="auto"/>
        </w:rPr>
        <w:t>” herein for a description of our license agreements, which includes a description of the termination provisions of these agreements.</w:t>
      </w:r>
    </w:p>
    <w:p>
      <w:pPr>
        <w:sectPr>
          <w:pgSz w:w="11900" w:h="16838" w:orient="portrait"/>
          <w:cols w:equalWidth="0" w:num="1">
            <w:col w:w="11400"/>
          </w:cols>
          <w:pgMar w:left="240" w:top="12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95"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7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225" w:lineRule="exact"/>
        <w:rPr>
          <w:rFonts w:ascii="Times New Roman" w:cs="Times New Roman" w:eastAsia="Times New Roman" w:hAnsi="Times New Roman"/>
          <w:sz w:val="18"/>
          <w:szCs w:val="18"/>
          <w:color w:val="auto"/>
        </w:rPr>
      </w:pPr>
    </w:p>
    <w:p>
      <w:pPr>
        <w:ind w:left="660" w:right="20" w:hanging="328"/>
        <w:spacing w:after="0" w:line="275"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w:t>
      </w:r>
    </w:p>
    <w:p>
      <w:pPr>
        <w:spacing w:after="0" w:line="225"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7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We have entered into several licenses to support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97"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9" w:name="page40"/>
    <w:bookmarkEnd w:id="39"/>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4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Some of the intellectual property rights we have licensed or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Times New Roman" w:cs="Times New Roman" w:eastAsia="Times New Roman" w:hAnsi="Times New Roman"/>
          <w:sz w:val="18"/>
          <w:szCs w:val="18"/>
          <w:i w:val="1"/>
          <w:iCs w:val="1"/>
          <w:color w:val="auto"/>
        </w:rPr>
        <w:t>Bayh-Dole Act</w:t>
      </w:r>
      <w:r>
        <w:rPr>
          <w:rFonts w:ascii="Times New Roman" w:cs="Times New Roman" w:eastAsia="Times New Roman" w:hAnsi="Times New Roman"/>
          <w:sz w:val="18"/>
          <w:szCs w:val="18"/>
          <w:color w:val="auto"/>
        </w:rPr>
        <w: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196"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70"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6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40" w:name="page41"/>
    <w:bookmarkEnd w:id="40"/>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addition, recent U.S. Supreme Court rulings have narrowed the scope of patent protection available in certain circumstances and weakened the rights of patent owners in certain situations. The full impact of these decisions is not yet known. For example, on March 20, 2012 in Mayo Collaborative Services, DBA Mayo Medical Laboratories, et al. v. Prometheus Laboratories, Inc., the Court held that several claims drawn to measuring drug metabolite levels 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Association for Molecular Pathology v. Myriad Genetics, Inc., the Court held that claims to isolated genomic DNA are not patentable, but claims to complementary DNA molecules are patent eligible because they are not a natural product. The effect of the decision on patents for other isolated natural products is uncertain. 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Ariosa Diagnostics, Inc. v. Sequenom, Inc., the Court of Appeals for the Federal Circuit held that methods for detecting fetal genetic defects were not patent eligible subject matter.</w:t>
      </w:r>
    </w:p>
    <w:p>
      <w:pPr>
        <w:spacing w:after="0" w:line="193"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6"/>
          <w:szCs w:val="16"/>
          <w:color w:val="auto"/>
        </w:rPr>
        <w:t>In addition to increasing uncertainty with regard to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47" w:lineRule="exact"/>
        <w:rPr>
          <w:sz w:val="20"/>
          <w:szCs w:val="20"/>
          <w:color w:val="auto"/>
        </w:rPr>
      </w:pPr>
    </w:p>
    <w:p>
      <w:pPr>
        <w:ind w:right="6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6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Numerous factors may limit any potential competitive advantage provided by our intellectual property rights.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90" w:lineRule="exact"/>
        <w:rPr>
          <w:sz w:val="20"/>
          <w:szCs w:val="20"/>
          <w:color w:val="auto"/>
        </w:rPr>
      </w:pPr>
    </w:p>
    <w:p>
      <w:pPr>
        <w:ind w:left="660" w:right="20" w:hanging="328"/>
        <w:spacing w:after="0" w:line="275"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a pending patent application that we own;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covering an invention;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our intellectual property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that we own or license may not lead to issued patents;</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if issued, that we own or license may not provide us with any competitive advantages, or may be held invalid or unenforceable, as a result of legal challenges by our competitors;</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or useful licenses on reasonable terms or at all;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ectPr>
          <w:pgSz w:w="11900" w:h="16838" w:orient="portrait"/>
          <w:cols w:equalWidth="0" w:num="1">
            <w:col w:w="11420"/>
          </w:cols>
          <w:pgMar w:left="240" w:top="1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and results of operations.</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 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limited public market for our securities may adversely affect an investor’s ability to liquidate an investment in the Company.</w:t>
      </w:r>
    </w:p>
    <w:p>
      <w:pPr>
        <w:spacing w:after="0" w:line="22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Our common stock is currently quoted on the NASDAQ Capital Market, however, there is presently limited trading activity. We can give no assurance that an active market will develop, or if developed, that it will be sustained. If an investor acquires shares of our common stock, the investor may not be able to liquidate the shares should there be a need or desire to do so.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volatility may affect our stock price and the value of your investment.</w:t>
      </w:r>
    </w:p>
    <w:p>
      <w:pPr>
        <w:spacing w:after="0" w:line="22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market price for our common stock, similar to other biopharmaceutical companies, is likely to be highly volatile. The market price of our common stock may fluctuate significantly in response to a number of factors, most of which we cannot control, including, among others:</w:t>
      </w:r>
    </w:p>
    <w:p>
      <w:pPr>
        <w:spacing w:after="0" w:line="174"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progress of or results from non-clinical and clinical development activities related to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FDA to approve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technologies, commercial relationships, acquisitions or other events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other CNS therapies;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 candidates, if approved, to achieve commercial success;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similar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overall fluctuations in U.S. equity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guidance or securities analysts’ estimates of our financial performance;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and the terms on which we can raise 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us or our stock price by the press and by online investor communities;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these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3" w:right="279" w:bottom="1440" w:gutter="0" w:footer="0" w:header="0"/>
        </w:sectPr>
      </w:pPr>
    </w:p>
    <w:bookmarkStart w:id="42" w:name="page43"/>
    <w:bookmarkEnd w:id="42"/>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may cause our stock price to decline.</w:t>
      </w:r>
    </w:p>
    <w:p>
      <w:pPr>
        <w:spacing w:after="0" w:line="16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Sales or issuances of a substantial number of shares of our common stock in the public market, or the perception that such sales or issuances are occurring or might occur, could significantly reduce the market price of our common stock and impair our ability to raise adequate capital through the sale of additional equity securities.</w:t>
      </w:r>
    </w:p>
    <w:p>
      <w:pPr>
        <w:spacing w:after="0" w:line="1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stock market in general, and small biopharmaceutical companies like ours in particular, have frequently experienced significant volatility in the market prices for securities that often has been unrelated to the operating performance of the underlying companies. These broad market and industry fluctuations may adversely affect the market price of our common stock, regardless of our actual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91"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6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Historically, there has been a limited public market for shares of our common stock.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189" w:lineRule="exact"/>
        <w:rPr>
          <w:sz w:val="20"/>
          <w:szCs w:val="20"/>
          <w:color w:val="auto"/>
        </w:rPr>
      </w:pPr>
    </w:p>
    <w:p>
      <w:pPr>
        <w:ind w:right="6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16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Certain of our current institutional stockholders own a substantial portion of our outstanding capital stock, including our common stock, Series A Preferred, Series B Preferred, and Series C Preferred, all of which preferred stock is convertible into a substantial number of shares of common stock. Accordingly, institutional stockholders may exert significant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Furthermore, the interests of our principal institutional stockholders may not always coincide with your interests or the interests of other stockholders may act in a manner that advances its best interests and not necessarily those of other stockholders, including seeking a premium value for its common stock, which might affect the prevailing market price for our common stock.</w:t>
      </w:r>
    </w:p>
    <w:p>
      <w:pPr>
        <w:spacing w:after="0" w:line="191"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69" w:lineRule="exact"/>
        <w:rPr>
          <w:sz w:val="20"/>
          <w:szCs w:val="20"/>
          <w:color w:val="auto"/>
        </w:rPr>
      </w:pPr>
    </w:p>
    <w:p>
      <w:pPr>
        <w:jc w:val="both"/>
        <w:ind w:right="360"/>
        <w:spacing w:after="0" w:line="262"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such analysts issue other unfavorable commentary or cease publishing reports about us or our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additional issuances of shares of preferred stock in the future.</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Our Restated Articles of Incorporation (the </w:t>
      </w:r>
      <w:r>
        <w:rPr>
          <w:rFonts w:ascii="Times New Roman" w:cs="Times New Roman" w:eastAsia="Times New Roman" w:hAnsi="Times New Roman"/>
          <w:sz w:val="18"/>
          <w:szCs w:val="18"/>
          <w:i w:val="1"/>
          <w:iCs w:val="1"/>
          <w:color w:val="auto"/>
        </w:rPr>
        <w:t>Articles</w:t>
      </w:r>
      <w:r>
        <w:rPr>
          <w:rFonts w:ascii="Times New Roman" w:cs="Times New Roman" w:eastAsia="Times New Roman" w:hAnsi="Times New Roman"/>
          <w:sz w:val="18"/>
          <w:szCs w:val="18"/>
          <w:color w:val="auto"/>
        </w:rPr>
        <w:t>) permit us to issue up to 10.0 million shares of preferred stock. Our Board has authorized the issuance of (i) 500,000 shares of Series A Preferred, all of which shares are issued and outstanding at September 30, 2017; (ii) 4.0 million shares of Series B 10% Convertible Preferred stock, of which approximately 1.2 million shares remain issued and outstanding at September 30, 2017; and (iii) 3.0 million shares of Series C Convertible Preferred Stock, of which approximately 2.3 million shares are issued and outstanding at September 30, 2017. Our Board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43" w:name="page44"/>
    <w:bookmarkEnd w:id="43"/>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to ensure compliance with corporate governance, federal securities law and accounting requirements.</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Since becoming a public company by means of a reverse merger in 2011, we have been subject to the reporting requirements of the Securities Exchange Act of 1934, as amended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money that we could otherwise use to achieve our research and development and other strategic objectives.</w:t>
      </w:r>
    </w:p>
    <w:p>
      <w:pPr>
        <w:spacing w:after="0" w:line="19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195"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3"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may invest or spend the proceeds of this offering in ways with which you may not agree or in ways which may not yield a significant return</w:t>
      </w:r>
      <w:r>
        <w:rPr>
          <w:rFonts w:ascii="Times New Roman" w:cs="Times New Roman" w:eastAsia="Times New Roman" w:hAnsi="Times New Roman"/>
          <w:sz w:val="18"/>
          <w:szCs w:val="18"/>
          <w:b w:val="1"/>
          <w:bCs w:val="1"/>
          <w:color w:val="auto"/>
        </w:rPr>
        <w:t>.</w:t>
      </w:r>
    </w:p>
    <w:p>
      <w:pPr>
        <w:spacing w:after="0" w:line="1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 will have broad discretion over the use of proceeds from this offering. We currently intend to use the net proceeds from the sale of securities offered by this prospectus for general corporate purposes, including research and development, working capital and capital expenditures. We may use a portion of the net proceeds to fund production of, and nonclinical and clinical studies related to Phase 2 and Phase 3 development of, AV-101 and other drug candidates. We may also use the net proceeds from the sale of the securities under this prospectus to in-license, acquire or invest in complementary businesses, technologies, products or assets. However, our management will have broad discretion in the application of the net proceeds from this offering and could spend the proceeds in ways that do not improve our results of operations or enhance the value of our common stock. The failure by management to apply these funds effectively could result in financial losses that could have a material adverse effect on our business, cause the price of our common stock to decline and delay the development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3" w:right="279" w:bottom="1440" w:gutter="0" w:footer="0" w:header="0"/>
        </w:sectPr>
      </w:pPr>
    </w:p>
    <w:bookmarkStart w:id="44" w:name="page45"/>
    <w:bookmarkEnd w:id="44"/>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Purchasers in this offering will experience immediate and substantial dilution in the book value of their investment.</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Because the combined public offering price per share and related warrant is substantially higher than the book value per share of our common stock, you will incur immediate and substantial dilution in the net tangible book value of the common stock you purchase in this offering. After giving effect to the assumed sale by us of 8,333,333 shares of our common stock and warrants to purchase up to 8,333,333 shares of common stock at an assumed combined public offering price of $1.80 per share (the last reported sale price of our common stock on the NASDAQ Capital Market on December 6, 2017), and after deducting the estimated underwriting discount and estimated offering expenses payable by us, you will suffer immediate and substantial dilution of $1.20 per share in the pro forma net tangible book value of the common stock you purchase in this offering, assuming no value is attributed to the warrants, and the warrants are accounted for and classified as equity. To the extent outstanding options, warrants or other derivative securities are ultimately exercised or converted, or if we issue restricted stock to our employees under the 2016 Plan, there will be further dilution to investors who purchase shares in this offering. In addition, if we issue additional equity securities or derivative securities, investors purchasing shares in this offering will experience additional dilution. For a further description of the dilution that you will experience immediately after this offering, see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 on page 43.</w:t>
      </w:r>
    </w:p>
    <w:p>
      <w:pPr>
        <w:spacing w:after="0" w:line="191"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or the perception that such sales may occur, may adversely impact the price of our common stock</w:t>
      </w:r>
      <w:r>
        <w:rPr>
          <w:rFonts w:ascii="Times New Roman" w:cs="Times New Roman" w:eastAsia="Times New Roman" w:hAnsi="Times New Roman"/>
          <w:sz w:val="18"/>
          <w:szCs w:val="18"/>
          <w:b w:val="1"/>
          <w:bCs w:val="1"/>
          <w:color w:val="auto"/>
        </w:rPr>
        <w:t>.</w:t>
      </w:r>
    </w:p>
    <w:p>
      <w:pPr>
        <w:spacing w:after="0" w:line="1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that such sales may occur, may adversely impact the price of our common stock, even if there is no relationship between such sales and the performance of our business. As of December 6, 2017, we had 11,848,974 shares of common stock outstanding, as well as outstanding options to purchase an aggregate of 3,279,871 shares of our common stock at a weighted average exercise price of $3.23 per share, up to 4,228,252 shares of common stock issuable upon conversion of outstanding shares of our preferred stock, and outstanding warrants to purchase up to an aggregate of 7,107,157 shares of our common stock at a weighted average exercise price of $4.70 per share. The exercise of such outstanding derivative securities may result in further dilution of your investment.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warrants being offered by this prospectus, and we do not anticipate such a market ever developing in the future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There is no established public trading market for the warrants being offered by this prospectus and we do not intend to have the warrants listed on a national securities exchange or any other recognized trading system in the future. Without an active market, the liquidity of any warrants sold by means of this prospectus will be limited.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warrants being offered by means of this prospectus may not have any value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warrants offered by us in this offering do not confer any rights of ownership of shares of common stock on its holders, such as voting rights or the right to receive dividends, but only represent the right to acquire shares of common stock at a fixed price for a limited period of time. In the event that the market price of our common stock does not exceed the exercise price of the warrants sold in this offering during the period when the warrants are exercisable, the warrants may not have any value.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45" w:name="page46"/>
    <w:bookmarkEnd w:id="45"/>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CAUTIONARY NOTES REGARDING FORWARD-LOOKING STATEMENTS</w:t>
      </w:r>
    </w:p>
    <w:p>
      <w:pPr>
        <w:spacing w:after="0" w:line="223"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that involve substantial risks and uncertainties. All statements contained in this prospectus, other than statements of historical facts, are forward-looking statements including statements regarding our strategy, future operations, future financial position, future revenue, projected costs, prospects, plans, objectives of management and expected market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3"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213"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to satisfy our working capital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revenues and capital requirements;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75"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lead product candidate, AV-101, initially as an adjunctive treatment for MDD in patients with an inadequate response to standard, FDA-approved antidepressants, and subsequently as a treatment for additional CNS diseases and disorders;</w:t>
      </w:r>
    </w:p>
    <w:p>
      <w:pPr>
        <w:spacing w:after="0" w:line="173" w:lineRule="exact"/>
        <w:rPr>
          <w:rFonts w:ascii="Times New Roman" w:cs="Times New Roman" w:eastAsia="Times New Roman" w:hAnsi="Times New Roman"/>
          <w:sz w:val="18"/>
          <w:szCs w:val="18"/>
          <w:color w:val="auto"/>
        </w:rPr>
      </w:pPr>
    </w:p>
    <w:p>
      <w:pPr>
        <w:ind w:left="660" w:right="20" w:hanging="328"/>
        <w:spacing w:after="0" w:line="275"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initiate and complete our clinical trials and to advance our product candidates into additional clinical trials, including pivotal clinical trials, and successfully complete such clinical trials;</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U.S. and foreign countries;</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6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U.S. National Institute of Mental Health, our third-party contractors involved with the manufacturer and production of our drug candidates for nonclinical and clinical development activities, contract research organizations and other third-party nonclinical and clinical development collaborators and regulatory service providers;</w:t>
      </w:r>
    </w:p>
    <w:p>
      <w:pPr>
        <w:spacing w:after="0" w:line="18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core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potential markets for our product candidates and our ability to serve those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 for any indication once approved;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competing products and product candidates in development by others that are or become available for the indications that we are pursuing;</w:t>
      </w:r>
    </w:p>
    <w:p>
      <w:pPr>
        <w:spacing w:after="0" w:line="248" w:lineRule="exact"/>
        <w:rPr>
          <w:rFonts w:ascii="Times New Roman" w:cs="Times New Roman" w:eastAsia="Times New Roman" w:hAnsi="Times New Roman"/>
          <w:sz w:val="16"/>
          <w:szCs w:val="16"/>
          <w:color w:val="auto"/>
        </w:rPr>
      </w:pPr>
    </w:p>
    <w:p>
      <w:pPr>
        <w:ind w:left="660" w:hanging="328"/>
        <w:spacing w:after="0" w:line="275"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scientific, clinical and nonclinical development, and/or management personnel, internally or from one of our third-party collaborators;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95" w:lineRule="exact"/>
        <w:rPr>
          <w:sz w:val="20"/>
          <w:szCs w:val="20"/>
          <w:color w:val="auto"/>
        </w:rPr>
      </w:pPr>
    </w:p>
    <w:p>
      <w:pPr>
        <w:jc w:val="both"/>
        <w:ind w:right="360"/>
        <w:spacing w:after="0" w:line="339" w:lineRule="auto"/>
        <w:rPr>
          <w:sz w:val="20"/>
          <w:szCs w:val="20"/>
          <w:color w:val="auto"/>
        </w:rPr>
      </w:pPr>
      <w:r>
        <w:rPr>
          <w:rFonts w:ascii="Times New Roman" w:cs="Times New Roman" w:eastAsia="Times New Roman" w:hAnsi="Times New Roman"/>
          <w:sz w:val="16"/>
          <w:szCs w:val="16"/>
          <w:color w:val="auto"/>
        </w:rPr>
        <w:t>You should read this prospectus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46" w:name="page47"/>
    <w:bookmarkEnd w:id="46"/>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USE OF PROCEEDS</w:t>
      </w:r>
    </w:p>
    <w:p>
      <w:pPr>
        <w:spacing w:after="0" w:line="22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will be approximately $13.6 million, assuming the sale of 8,333,333 shares of common stock and warrants to purchase up to 8,333,333 shares of our common stock at an assumed combined public offering price of $1.80 per share and related warrant (the last reported sale price of our common stock on the NASDAQ Capital Market on December 6, 2017) after deducting the estimated underwriting discount and estimated offering expenses payable by us.</w:t>
      </w:r>
    </w:p>
    <w:p>
      <w:pPr>
        <w:spacing w:after="0" w:line="19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Each $0.20 increase (decrease) in the assumed combined public offering price of $1.80 per share and related warrant would increase (decrease) the net proceeds to us from this offering by approximately $1.6 million, assuming the number of shares of common stock and related warrants offered by us, as set forth on the cover page of this prospectus, remains the same and after deducting the estimated underwriting discount and estimated offering expenses payable by us. We may also increase or decrease the number of shares of common stock and related warrants we are offering. Each increase (decrease) of 1,000,000 shares in the number of shares of common stock and related warrants we are offering would increase (decrease) the net proceeds to us from this offering by approximately $1.7 million, assuming that the assumed combined public offering price remains the same, and after deducting the estimated underwriting discount and estimated offering expenses payable by us. This information is illustrative only, and we will adjust this information based on the actual combined public offering price and other terms of this offering determined at pricing. We do not expect that a change in the combined public offering price or the number of shares of common stock and related warrants by these amounts would have a material effect on our intended uses of the net proceeds from this offering, although it may impact the amount of time prior to which we may need to seek additional capital.</w:t>
      </w:r>
    </w:p>
    <w:p>
      <w:pPr>
        <w:spacing w:after="0" w:line="19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expect to use the net proceeds from this offering for research and development, primarily related to the AV-101 MDD Phase 2 Adjunctive Treatment Study, ordinary course working capital needs and other general corporate purposes. We may also use a portion of the net proceeds to (i) produce additional supplies of AV-101 for future nonclinical and clinical studies, (ii) conduct certain standard nonclinical studies necessary to enable longer term oral administration (initially at least 90 days) of AV-101 for MDD and multiple other potential CNS indications and to facilitate a smooth transition to Phase 3 development of AV-101 for adjunctive treatment of MDD should the results of the AV-101 MDD Phase 2 Adjunctive Treatment Study be positive and warrant further clinical development of AV-101 for MDD, and (iii) conduct a small, single dose, food effects clinical study of AV-101 in healthy volunteers (not MDD patients) to enable Phase 3 development of AV-101. We may also use a portion of the net proceeds from the sale of the securities under this prospectus to in-license, acquire or invest in complementary businesses, technologies, products or assets. The table below reflects our current planned use of the net proceeds from this offering. Each of these amounts is an estimate only, and is subject to change at any time before or after closing of the offering.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gross proceeds</w:t>
            </w:r>
          </w:p>
        </w:tc>
        <w:tc>
          <w:tcPr>
            <w:tcW w:w="412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 and other offering expenses</w:t>
            </w:r>
          </w:p>
        </w:tc>
        <w:tc>
          <w:tcPr>
            <w:tcW w:w="4120" w:type="dxa"/>
            <w:vAlign w:val="bottom"/>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w:t>
            </w:r>
          </w:p>
        </w:tc>
        <w:tc>
          <w:tcPr>
            <w:tcW w:w="412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120" w:type="dxa"/>
            <w:vAlign w:val="bottom"/>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and other general and administrative purposes</w:t>
            </w:r>
          </w:p>
        </w:tc>
        <w:tc>
          <w:tcPr>
            <w:tcW w:w="412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expect net proceeds from this offering to provide sufficient funding to launch and complete our AV-101 MDD Phase 2 Adjunctive Treatment Study in 2018.</w:t>
      </w:r>
    </w:p>
    <w:p>
      <w:pPr>
        <w:spacing w:after="0" w:line="24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Pending other uses, we intend to invest the net proceeds from this offering in short-term investments or hold them as cash. We cannot predict whether the proceeds invested will yield a favorable return. Our management will have broad discretion in the use of the net proceeds from this offering, and investors will be relying on the judgment of our management regarding the application of the net proceeds.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47" w:name="page48"/>
    <w:bookmarkEnd w:id="47"/>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MARKET FOR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“VTGN.”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Shown below is the range of high and low sales prices for our common stock for the periods indicated as reported by the NASDAQ Capital Market.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High</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Low</w:t>
            </w:r>
          </w:p>
        </w:tc>
        <w:tc>
          <w:tcPr>
            <w:tcW w:w="0" w:type="dxa"/>
            <w:vAlign w:val="bottom"/>
          </w:tcPr>
          <w:p>
            <w:pPr>
              <w:spacing w:after="0"/>
              <w:rPr>
                <w:sz w:val="1"/>
                <w:szCs w:val="1"/>
                <w:color w:val="auto"/>
              </w:rPr>
            </w:pPr>
          </w:p>
        </w:tc>
      </w:tr>
      <w:tr>
        <w:trPr>
          <w:trHeight w:val="21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 Ending March 31, 2018</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ending June 30, 2017</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 ending September 30, 2017</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ending December 31, 2017 (through December 6, 2017)</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Ending March 31, 2017</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 ending June 30, 2016</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ending September 30, 2016</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 ending December 31, 2016</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ending March 31, 2017</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Ending March 31, 2016</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 ending June 30, 2015</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ending September 30, 2015</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 ending December 31, 2015</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ending March 31, 2016</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On December 6, 2017, the closing price of our common stock on the NASDAQ Capital Market was $1.80 per share. As of December 6, 2017, there were approximately 1,300 holders of our 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48" w:name="page49"/>
    <w:bookmarkEnd w:id="48"/>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DIVIDEND POLICY</w:t>
      </w:r>
    </w:p>
    <w:p>
      <w:pPr>
        <w:spacing w:after="0" w:line="22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for use in the operation and expansion of our business, and do not anticipate paying any cash dividends in the foreseeable future. Our Series B Preferred accrues dividends at a rate of 10% per annum, which dividends are payable solely in unregistered shares of our common stock at the time the Series B Preferred is converted into common stock. Any future determination related to dividend policy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3" w:right="299" w:bottom="1440" w:gutter="0" w:footer="0" w:header="0"/>
        </w:sectPr>
      </w:pPr>
    </w:p>
    <w:bookmarkStart w:id="49" w:name="page50"/>
    <w:bookmarkEnd w:id="49"/>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DILUTION</w:t>
      </w:r>
    </w:p>
    <w:p>
      <w:pPr>
        <w:spacing w:after="0" w:line="223"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If you purchase shares of our common stock and related warrants in this offering, you will experience dilution to the extent of the difference between the combined public offering price per share and related warrant in this offering and our pro forma as adjusted net tangible book value per share immediately after this offering assuming no value is attributed to the warrants, and the warrants are accounted for and classified as equity. As of September 30, 2017, our net tangible book value (deficit) was approximately $(1,671,600), or approximately $(0.14) per share. Net tangible book value (deficit) is equal to our total assets minus the sum of liabilities and intangible assets. Net tangible book value (deficit) per share is net tangible book value (deficit) divided by the total number of shares of common stock outstanding.</w:t>
      </w:r>
    </w:p>
    <w:p>
      <w:pPr>
        <w:spacing w:after="0" w:line="19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After giving effect to the assumed sale by us of 8,333,333 shares of our common stock and warrants to purchase up to 8,333,333 shares of our common stock in this offering at an assumed combined public offering price of $1.80 per share and related warrant (the last reported sale price of our common stock on the NASDAQ Capital Market on December 6, 2017), and after deducting the estimated underwriting discount and estimated offering expenses payable by us, our as-adjusted net tangible book value as of September 30, 2017 would have been approximately $11.9 million, or approximately $0.60 per share. This amount represents an immediate increase in net tangible book value of $0.74 per share to existing stockholders and an immediate dilution in net tangible book value of $1.20 per share to purchasers of our common stock and related warrants in this offering.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the dilution in net tangible book value per share to new investors:</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combined public offering price per share and related warrant:</w:t>
            </w:r>
          </w:p>
        </w:tc>
        <w:tc>
          <w:tcPr>
            <w:tcW w:w="420" w:type="dxa"/>
            <w:vAlign w:val="bottom"/>
          </w:tcPr>
          <w:p>
            <w:pPr>
              <w:spacing w:after="0"/>
              <w:rPr>
                <w:sz w:val="24"/>
                <w:szCs w:val="24"/>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tangible book value (deficit) per share as of September 30, 2017</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(0.14)</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after this offering</w:t>
            </w: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after this offering</w:t>
            </w:r>
          </w:p>
        </w:tc>
        <w:tc>
          <w:tcPr>
            <w:tcW w:w="420" w:type="dxa"/>
            <w:vAlign w:val="bottom"/>
          </w:tcPr>
          <w:p>
            <w:pPr>
              <w:spacing w:after="0"/>
              <w:rPr>
                <w:sz w:val="19"/>
                <w:szCs w:val="19"/>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420" w:type="dxa"/>
            <w:vAlign w:val="bottom"/>
          </w:tcPr>
          <w:p>
            <w:pPr>
              <w:spacing w:after="0"/>
              <w:rPr>
                <w:sz w:val="19"/>
                <w:szCs w:val="19"/>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Each $0.20 increase (decrease) in the assumed combined public offering price of $1.80 per share and related warrant would increase (decrease) our pro forma net tangible book value by approximately $0.08 per share of common stock and the dilution to new investors by approximately $0.12 per share, assuming that the number of shares and related warrants offered by us, as set forth on the cover page of this prospectus, remains the same, after deducting the estimated underwriting discount and estimated offering expenses payable by us.</w:t>
      </w:r>
    </w:p>
    <w:p>
      <w:pPr>
        <w:spacing w:after="0" w:line="19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may also increase or decrease the number of shares and related warrants we are offering. An increase of 1,000,000 shares in the number of shares of common stock and warrants offered by us, as set forth on the cover page of this prospectus, would increase our pro forma net tangible book value by approximately $1.7 million, or approximately $0.05 per share, and decrease the dilution per share to new investors in this offering by approximately $0.05 share, assuming that the assumed combined public offering price per share and related warrant remains the same, and after deducting the estimated underwriting discount and estimated offering expenses payable by us. Similarly, a decrease of 1,000,000 shares in the number of shares of common stock and related warrants offered by us, as set forth on the cover page of this prospectus, would decrease our pro forma net tangible book value by approximately $1.7 million, or approximately $0.05 per share, and increase the dilution per share to new investors in this offering by approximately $0.05 per share, assuming that the assumed combined public offering price per share and related warrant remains the same, and after deducting the estimated underwriting discount and estimated offering expenses payable by us. The information discussed above is illustrative only and will change based on the actual combined public offering price and other terms of this offering determined at pricing.</w:t>
      </w:r>
    </w:p>
    <w:p>
      <w:pPr>
        <w:spacing w:after="0" w:line="19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The foregoing discussion and table do not take into account further dilution to new investors that could occur upon the exercise of outstanding options or warrants having a per share exercise price less than the combined public offering price in this offering. To the extent that we raise additional capital through the sale of equity or convertible debt securities, the issuance of those securities could result in further dilution to our stockholders.</w:t>
      </w:r>
    </w:p>
    <w:p>
      <w:pPr>
        <w:spacing w:after="0" w:line="186"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The table and discussion above are based on 11,628,974 shares of our common stock outstanding as of September 30, 2017, and excludes as of that date the following:</w:t>
      </w:r>
    </w:p>
    <w:p>
      <w:pPr>
        <w:spacing w:after="0" w:line="174"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3,279,871 shares of common stock issuable upon exercise of outstanding stock options with a weighted average exercise price of $3.23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6,965,151 shares of common stock issuable upon exercise of outstanding warrants with a weighted average exercise price of $4.77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 shares of common stock issuable upon conversion of all outstanding shares of our Series A Preferred;</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1,160,240 shares of common stock issuable upon conversion of all outstanding shares of our Series B Preferred and 663,460 shares of common stock reserved for issuance as payment of accrued dividends on outstanding shares of Series B Preferred;</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2,318,012 shares of common stock issuable upon conversion of all outstanding shares of our Series C Preferred;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75"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6,082,162 shares of common stock reserved for future issuance in connection with future grants under our Amended and Restated 2016 Stock Incentive Plan; and</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the exercise of the warrants offered hereby.</w:t>
      </w:r>
    </w:p>
    <w:p>
      <w:pPr>
        <w:sectPr>
          <w:pgSz w:w="11900" w:h="16838" w:orient="portrait"/>
          <w:cols w:equalWidth="0" w:num="1">
            <w:col w:w="11420"/>
          </w:cols>
          <w:pgMar w:left="240" w:top="123" w:right="239" w:bottom="7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730" w:gutter="0" w:footer="0" w:header="0"/>
          <w:type w:val="continuous"/>
        </w:sectPr>
      </w:pPr>
    </w:p>
    <w:bookmarkStart w:id="50" w:name="page51"/>
    <w:bookmarkEnd w:id="50"/>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CAPITALIZATION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September 30, 2017:</w:t>
      </w:r>
    </w:p>
    <w:p>
      <w:pPr>
        <w:spacing w:after="0" w:line="22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301" w:lineRule="auto"/>
        <w:tabs>
          <w:tab w:leader="none" w:pos="6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pro forma basis giving effect to the assumed sale and issuance by us of 8,333,333 shares of common stock warrants to purchase up to 8,333,333 shares of our common stock in this offering, at an assumed combined public offering price of $1.80 per share and related warrant (the last reported sale price of our common stock on the NASDAQ Capital Market on December 6, 2017), and after deducting the estimated underwriting discount and estimated offering expenses payable by us assuming no value is attributed to the warrants, and the warrants are accounted for and classified as equity.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 of September 30, 2017 (amounts in dollars and in thousands, except share and per share amounts)</w:t>
            </w:r>
          </w:p>
        </w:tc>
        <w:tc>
          <w:tcPr>
            <w:tcW w:w="20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2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Pro forma</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500,000 shares authorized and outstanding, actual and pro forma</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highlight w:val="white"/>
              </w:rPr>
              <w:t>Series B Preferred, 4,000,000 shares authorized and 1,160,240 shares outstanding, actual and pro forma</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Series C Preferred, 3,000,000 shares authorized and 2,318,012 shares outstanding, actual and pro forma</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Common stock, $0.001 par value, 100,000,000 shares authorized;11,764,639 shares issued, actual; 20,097,972 shares</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pro forma</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151,541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135,665 shares, actual and pro forma</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(3,968)</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(149,261)</w:t>
            </w:r>
          </w:p>
        </w:tc>
        <w:tc>
          <w:tcPr>
            <w:tcW w:w="120" w:type="dxa"/>
            <w:vAlign w:val="bottom"/>
          </w:tcPr>
          <w:p>
            <w:pPr>
              <w:spacing w:after="0"/>
              <w:rPr>
                <w:sz w:val="23"/>
                <w:szCs w:val="23"/>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(149,261)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vMerge w:val="continue"/>
          </w:tcPr>
          <w:p>
            <w:pPr>
              <w:spacing w:after="0"/>
              <w:rPr>
                <w:sz w:val="24"/>
                <w:szCs w:val="24"/>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(1,672)</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11,938</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capitalization</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11,938</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outstanding in the table above excludes the following shares as of September 30, 2017:</w:t>
      </w:r>
    </w:p>
    <w:p>
      <w:pPr>
        <w:spacing w:after="0" w:line="22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3,279,871 shares of common stock issuable upon exercise of outstanding stock options with a weighted average exercise price of $3.23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6,965,151 shares of common stock issuable upon exercise of outstanding warrants with a weighted average exercise price of $4.77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 shares of common stock issuable upon conversion of all outstanding shares of our Series A Preferred;</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1,160,240 shares of common stock issuable upon conversion of all outstanding shares of our Series B Preferred and 663,460 shares of common stock reserved for issuance as payment of accrued dividends on outstanding shares of Series B Preferred;</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2,318,012 shares of common stock issuable upon conversion of all outstanding shares of our Series C Preferred;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75"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6,082,162 shares of common stock reserved for future issuance in connection with future grants under our Amended and Restated 2016 Stock Incentive Plan ; and</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the exercise of the warrants offered hereby.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51" w:name="page52"/>
    <w:bookmarkEnd w:id="51"/>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SELECTED CONSOLIDATED FINANCIAL DATA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following selected consolidated financial data of VistaGen Therapeutics, Inc. should be read in conjunction with, and are qualified by reference to,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the consolidated financial statements and notes thereto included elsewhere in this prospectus. The consolidated statement of operations data for the years ended March 31, 2017 and 2016, and the consolidated balance sheet data as of March 31, 2017 and 2016 are derived from, and qualified by reference to, our audited consolidated financial statements included elsewhere in this prospectus and should be read in conjunction with those consolidated financial statements and notes thereto. The consolidated statement of operations data for the six-month periods ended September 30, 2017 and 2016 and the consolidated balance sheet data as of September 30, 2017 are derived from our unaudited consolidated financial statements included elsewhere in this prospectus which, in our opinion, have been prepared on the same basis as the audited consolidated financial statements and reflect only adjustments, consisting only of normal recurring adjustments, necessary for a fair presentation of our results of operations and financial position. Our results for the six months ended September 30, 2017 are not necessarily indicative of results to be expected for the full year or any other period.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5"/>
              </w:rPr>
              <w:t>Fiscal Year Ended</w:t>
            </w:r>
          </w:p>
        </w:tc>
        <w:tc>
          <w:tcPr>
            <w:tcW w:w="200" w:type="dxa"/>
            <w:vAlign w:val="bottom"/>
          </w:tcPr>
          <w:p>
            <w:pPr>
              <w:spacing w:after="0"/>
              <w:rPr>
                <w:sz w:val="18"/>
                <w:szCs w:val="18"/>
                <w:color w:val="auto"/>
              </w:rPr>
            </w:pPr>
          </w:p>
        </w:tc>
        <w:tc>
          <w:tcPr>
            <w:tcW w:w="1500" w:type="dxa"/>
            <w:vAlign w:val="bottom"/>
            <w:gridSpan w:val="3"/>
          </w:tcPr>
          <w:p>
            <w:pPr>
              <w:jc w:val="center"/>
              <w:ind w:left="472"/>
              <w:spacing w:after="0"/>
              <w:rPr>
                <w:sz w:val="20"/>
                <w:szCs w:val="20"/>
                <w:color w:val="auto"/>
              </w:rPr>
            </w:pPr>
            <w:r>
              <w:rPr>
                <w:rFonts w:ascii="Times New Roman" w:cs="Times New Roman" w:eastAsia="Times New Roman" w:hAnsi="Times New Roman"/>
                <w:sz w:val="18"/>
                <w:szCs w:val="18"/>
                <w:b w:val="1"/>
                <w:bCs w:val="1"/>
                <w:color w:val="auto"/>
                <w:w w:val="96"/>
              </w:rPr>
              <w:t>Six-Months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3"/>
          </w:tcPr>
          <w:p>
            <w:pPr>
              <w:jc w:val="center"/>
              <w:ind w:left="472"/>
              <w:spacing w:after="0"/>
              <w:rPr>
                <w:sz w:val="20"/>
                <w:szCs w:val="20"/>
                <w:color w:val="auto"/>
              </w:rPr>
            </w:pPr>
            <w:r>
              <w:rPr>
                <w:rFonts w:ascii="Times New Roman" w:cs="Times New Roman" w:eastAsia="Times New Roman" w:hAnsi="Times New Roman"/>
                <w:sz w:val="18"/>
                <w:szCs w:val="18"/>
                <w:b w:val="1"/>
                <w:bCs w:val="1"/>
                <w:color w:val="auto"/>
                <w:w w:val="96"/>
              </w:rPr>
              <w:t>March 31,</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2016</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Data:</w:t>
            </w:r>
          </w:p>
        </w:tc>
        <w:tc>
          <w:tcPr>
            <w:tcW w:w="240" w:type="dxa"/>
            <w:vAlign w:val="bottom"/>
          </w:tcPr>
          <w:p>
            <w:pPr>
              <w:spacing w:after="0"/>
              <w:rPr>
                <w:sz w:val="20"/>
                <w:szCs w:val="20"/>
                <w:color w:val="auto"/>
              </w:rPr>
            </w:pP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(in</w:t>
            </w:r>
          </w:p>
        </w:tc>
        <w:tc>
          <w:tcPr>
            <w:tcW w:w="4220" w:type="dxa"/>
            <w:vAlign w:val="bottom"/>
            <w:gridSpan w:val="10"/>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w w:val="91"/>
              </w:rPr>
              <w:t>thousands, except share and per share amounts)</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8"/>
                <w:szCs w:val="18"/>
                <w:color w:val="auto"/>
              </w:rPr>
            </w:pPr>
          </w:p>
        </w:tc>
        <w:tc>
          <w:tcPr>
            <w:tcW w:w="11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(10,249)</w:t>
            </w: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(17,851)</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(7,254)</w:t>
            </w:r>
          </w:p>
        </w:tc>
        <w:tc>
          <w:tcPr>
            <w:tcW w:w="3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8"/>
                <w:szCs w:val="18"/>
                <w:color w:val="auto"/>
              </w:rPr>
            </w:pPr>
          </w:p>
        </w:tc>
        <w:tc>
          <w:tcPr>
            <w:tcW w:w="11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(771)</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warrant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40" w:type="dxa"/>
            <w:vAlign w:val="bottom"/>
          </w:tcPr>
          <w:p>
            <w:pPr>
              <w:spacing w:after="0"/>
              <w:rPr>
                <w:sz w:val="18"/>
                <w:szCs w:val="18"/>
                <w:color w:val="auto"/>
              </w:rPr>
            </w:pPr>
          </w:p>
        </w:tc>
        <w:tc>
          <w:tcPr>
            <w:tcW w:w="114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(26,700)</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Pr>
          <w:p>
            <w:pPr>
              <w:spacing w:after="0"/>
              <w:rPr>
                <w:sz w:val="18"/>
                <w:szCs w:val="18"/>
                <w:color w:val="auto"/>
              </w:rPr>
            </w:pPr>
          </w:p>
        </w:tc>
        <w:tc>
          <w:tcPr>
            <w:tcW w:w="11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(10,254)</w:t>
            </w: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(47,219)</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(7,260)</w:t>
            </w:r>
          </w:p>
        </w:tc>
        <w:tc>
          <w:tcPr>
            <w:tcW w:w="3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40" w:type="dxa"/>
            <w:vAlign w:val="bottom"/>
          </w:tcPr>
          <w:p>
            <w:pPr>
              <w:spacing w:after="0"/>
              <w:rPr>
                <w:sz w:val="18"/>
                <w:szCs w:val="18"/>
                <w:color w:val="auto"/>
              </w:rPr>
            </w:pPr>
          </w:p>
        </w:tc>
        <w:tc>
          <w:tcPr>
            <w:tcW w:w="11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(10,256)</w:t>
            </w: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(47,221)</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(7,262)</w:t>
            </w:r>
          </w:p>
        </w:tc>
        <w:tc>
          <w:tcPr>
            <w:tcW w:w="3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dividend on Series B Preferred Stock</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(1,257)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(2,140)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Deemed dividend on Series B Preferred Units</w:t>
            </w:r>
          </w:p>
        </w:tc>
        <w:tc>
          <w:tcPr>
            <w:tcW w:w="240" w:type="dxa"/>
            <w:vAlign w:val="bottom"/>
          </w:tcPr>
          <w:p>
            <w:pPr>
              <w:spacing w:after="0"/>
              <w:rPr>
                <w:sz w:val="18"/>
                <w:szCs w:val="18"/>
                <w:color w:val="auto"/>
              </w:rPr>
            </w:pPr>
          </w:p>
        </w:tc>
        <w:tc>
          <w:tcPr>
            <w:tcW w:w="11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(111)</w:t>
            </w: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(2,058)</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(11,624)</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(51,419)</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(7,766)</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attributable to common stockholders per common share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(1.54)</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(29.08)</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(0.82)</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99"/>
              </w:rPr>
              <w:t>Weighted average shares used in computing basic and diluted net loss attributable to</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stockholders per common share</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7,531,642</w:t>
            </w: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1,767,957</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9,465,459</w:t>
            </w: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6,577,769</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As of March 31,</w:t>
            </w:r>
          </w:p>
        </w:tc>
        <w:tc>
          <w:tcPr>
            <w:tcW w:w="200" w:type="dxa"/>
            <w:vAlign w:val="bottom"/>
          </w:tcPr>
          <w:p>
            <w:pPr>
              <w:spacing w:after="0"/>
              <w:rPr>
                <w:sz w:val="24"/>
                <w:szCs w:val="24"/>
                <w:color w:val="auto"/>
              </w:rPr>
            </w:pPr>
          </w:p>
        </w:tc>
        <w:tc>
          <w:tcPr>
            <w:tcW w:w="24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As of September 30,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2016</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Pro Forma (1)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26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6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2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notes payable and accrued interest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26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(939)</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preferred stock, treasury stock and additional paid-in capital</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142,615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132,734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147,589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6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(2,977)</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(1,672)</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60" w:hanging="652"/>
        <w:spacing w:after="0" w:line="301" w:lineRule="auto"/>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 forma column gives effect to the assumed sale and issuance by us of 8,333,333 shares of our common stock and warrants to purchase up to 8,333,333 shares of our common stock in this offering, assuming a combined public offering price of $1.80 per share and related warrant (the last reported sale price of our common stock on the NASDAQ Capital Market on December 6, 2017), after deducting the estimated underwriting discount and estimated offering expenses payable by usassuming no value is attributed to the warrants, and the warrants are accounted for and classified as equity.</w:t>
      </w:r>
    </w:p>
    <w:p>
      <w:pPr>
        <w:sectPr>
          <w:pgSz w:w="11900" w:h="16838" w:orient="portrait"/>
          <w:cols w:equalWidth="0" w:num="1">
            <w:col w:w="11420"/>
          </w:cols>
          <w:pgMar w:left="240" w:top="123" w:right="2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52" w:name="page53"/>
    <w:bookmarkEnd w:id="52"/>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b w:val="1"/>
          <w:bCs w:val="1"/>
          <w:color w:val="auto"/>
        </w:rPr>
        <w:t>MANAGEMENT'S DISCUSSION AND ANALYSIS OF FINANCIAL CONDITION AND RESULTS OF OPERATIONS</w:t>
      </w:r>
    </w:p>
    <w:p>
      <w:pPr>
        <w:spacing w:after="0" w:line="233"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the financial statements and the notes thereto included elsewhere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“Risk Factors.”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new generation medicines for depression and other central nervous system (</w:t>
      </w:r>
      <w:r>
        <w:rPr>
          <w:rFonts w:ascii="Times New Roman" w:cs="Times New Roman" w:eastAsia="Times New Roman" w:hAnsi="Times New Roman"/>
          <w:sz w:val="18"/>
          <w:szCs w:val="18"/>
          <w:i w:val="1"/>
          <w:iCs w:val="1"/>
          <w:color w:val="auto"/>
        </w:rPr>
        <w:t>CNS</w:t>
      </w:r>
      <w:r>
        <w:rPr>
          <w:rFonts w:ascii="Times New Roman" w:cs="Times New Roman" w:eastAsia="Times New Roman" w:hAnsi="Times New Roman"/>
          <w:sz w:val="18"/>
          <w:szCs w:val="18"/>
          <w:color w:val="auto"/>
        </w:rPr>
        <w:t>) disorders.</w:t>
      </w:r>
    </w:p>
    <w:p>
      <w:pPr>
        <w:spacing w:after="0" w:line="1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AV-101 is our oral CNS product candidate in Phase 2 clinical development in the United States, initially as a new generation adjunctive treatment for Major Depressive Disorder (</w:t>
      </w:r>
      <w:r>
        <w:rPr>
          <w:rFonts w:ascii="Times New Roman" w:cs="Times New Roman" w:eastAsia="Times New Roman" w:hAnsi="Times New Roman"/>
          <w:sz w:val="18"/>
          <w:szCs w:val="18"/>
          <w:i w:val="1"/>
          <w:iCs w:val="1"/>
          <w:color w:val="auto"/>
        </w:rPr>
        <w:t>MDD</w:t>
      </w:r>
      <w:r>
        <w:rPr>
          <w:rFonts w:ascii="Times New Roman" w:cs="Times New Roman" w:eastAsia="Times New Roman" w:hAnsi="Times New Roman"/>
          <w:sz w:val="18"/>
          <w:szCs w:val="18"/>
          <w:color w:val="auto"/>
        </w:rPr>
        <w:t>) in patients with an inadequate response to standard antidepressants approved by the U.S. Food and Drug Administration (</w:t>
      </w:r>
      <w:r>
        <w:rPr>
          <w:rFonts w:ascii="Times New Roman" w:cs="Times New Roman" w:eastAsia="Times New Roman" w:hAnsi="Times New Roman"/>
          <w:sz w:val="18"/>
          <w:szCs w:val="18"/>
          <w:i w:val="1"/>
          <w:iCs w:val="1"/>
          <w:color w:val="auto"/>
        </w:rPr>
        <w:t>FDA</w:t>
      </w:r>
      <w:r>
        <w:rPr>
          <w:rFonts w:ascii="Times New Roman" w:cs="Times New Roman" w:eastAsia="Times New Roman" w:hAnsi="Times New Roman"/>
          <w:sz w:val="18"/>
          <w:szCs w:val="18"/>
          <w:color w:val="auto"/>
        </w:rPr>
        <w:t>). AV-101’s mechanism of action (</w:t>
      </w:r>
      <w:r>
        <w:rPr>
          <w:rFonts w:ascii="Times New Roman" w:cs="Times New Roman" w:eastAsia="Times New Roman" w:hAnsi="Times New Roman"/>
          <w:sz w:val="18"/>
          <w:szCs w:val="18"/>
          <w:i w:val="1"/>
          <w:iCs w:val="1"/>
          <w:color w:val="auto"/>
        </w:rPr>
        <w:t>MOA</w:t>
      </w:r>
      <w:r>
        <w:rPr>
          <w:rFonts w:ascii="Times New Roman" w:cs="Times New Roman" w:eastAsia="Times New Roman" w:hAnsi="Times New Roman"/>
          <w:sz w:val="18"/>
          <w:szCs w:val="18"/>
          <w:color w:val="auto"/>
        </w:rPr>
        <w:t xml:space="preserve">) involves both NMDA (N-methyl-D-aspartate) and AMPA (alpha-amino-3-hydroxy-5-methyl-4-isoxazolepropionic acid) receptors in the brain responsible for fast excitatory synaptic activity throughout the CNS. AV-101’s MOA is fundamentally differentiated from all FDA-approved antidepressants, as well as all atypical antipsychotics such as aripiprazole often used adjunctively to augment them. We believe AV-101 also has potential as a non-opioid treatment alternative for neuropathic pain, as well as several additional CNS indications </w:t>
      </w:r>
      <w:r>
        <w:rPr>
          <w:rFonts w:ascii="Times New Roman" w:cs="Times New Roman" w:eastAsia="Times New Roman" w:hAnsi="Times New Roman"/>
          <w:sz w:val="18"/>
          <w:szCs w:val="18"/>
          <w:color w:val="333333"/>
        </w:rPr>
        <w:t>where modulation of the NMDA receptors,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activation of AMPA pathways and/or key active metabolites of AV-101 may achieve therapeutic benefit</w:t>
      </w:r>
      <w:r>
        <w:rPr>
          <w:rFonts w:ascii="Times New Roman" w:cs="Times New Roman" w:eastAsia="Times New Roman" w:hAnsi="Times New Roman"/>
          <w:sz w:val="18"/>
          <w:szCs w:val="18"/>
          <w:color w:val="000000"/>
        </w:rPr>
        <w:t>, including Parkinson’s disease levodopa -induced</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dyskinesia (</w:t>
      </w:r>
      <w:r>
        <w:rPr>
          <w:rFonts w:ascii="Times New Roman" w:cs="Times New Roman" w:eastAsia="Times New Roman" w:hAnsi="Times New Roman"/>
          <w:sz w:val="18"/>
          <w:szCs w:val="18"/>
          <w:i w:val="1"/>
          <w:iCs w:val="1"/>
          <w:color w:val="000000"/>
        </w:rPr>
        <w:t>PD LID</w:t>
      </w:r>
      <w:r>
        <w:rPr>
          <w:rFonts w:ascii="Times New Roman" w:cs="Times New Roman" w:eastAsia="Times New Roman" w:hAnsi="Times New Roman"/>
          <w:sz w:val="18"/>
          <w:szCs w:val="18"/>
          <w:color w:val="000000"/>
        </w:rPr>
        <w:t>), epilepsy and Huntington’s disease.</w:t>
      </w:r>
    </w:p>
    <w:p>
      <w:pPr>
        <w:spacing w:after="0" w:line="19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Clinical studies conducted at the U.S. National Institute of Mental Health (</w:t>
      </w:r>
      <w:r>
        <w:rPr>
          <w:rFonts w:ascii="Times New Roman" w:cs="Times New Roman" w:eastAsia="Times New Roman" w:hAnsi="Times New Roman"/>
          <w:sz w:val="18"/>
          <w:szCs w:val="18"/>
          <w:i w:val="1"/>
          <w:iCs w:val="1"/>
          <w:color w:val="auto"/>
        </w:rPr>
        <w:t>NIMH</w:t>
      </w:r>
      <w:r>
        <w:rPr>
          <w:rFonts w:ascii="Times New Roman" w:cs="Times New Roman" w:eastAsia="Times New Roman" w:hAnsi="Times New Roman"/>
          <w:sz w:val="18"/>
          <w:szCs w:val="18"/>
          <w:color w:val="auto"/>
        </w:rPr>
        <w:t>), part of the U.S. National Institutes of Health (</w:t>
      </w:r>
      <w:r>
        <w:rPr>
          <w:rFonts w:ascii="Times New Roman" w:cs="Times New Roman" w:eastAsia="Times New Roman" w:hAnsi="Times New Roman"/>
          <w:sz w:val="18"/>
          <w:szCs w:val="18"/>
          <w:i w:val="1"/>
          <w:iCs w:val="1"/>
          <w:color w:val="auto"/>
        </w:rPr>
        <w:t>NIH</w:t>
      </w:r>
      <w:r>
        <w:rPr>
          <w:rFonts w:ascii="Times New Roman" w:cs="Times New Roman" w:eastAsia="Times New Roman" w:hAnsi="Times New Roman"/>
          <w:sz w:val="18"/>
          <w:szCs w:val="18"/>
          <w:color w:val="auto"/>
        </w:rPr>
        <w:t>), by Dr. Carlos Zarate, Jr., Chief of the NIMH’s Experimental Therapeutics &amp; Pathophysiology Branch and its Section on Neurobiology and Treatment of Mood and Anxiety Disorders, have focused on the antidepressant effects of low dose intravenous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administration of ketamine hydrochloride (</w:t>
      </w:r>
      <w:r>
        <w:rPr>
          <w:rFonts w:ascii="Times New Roman" w:cs="Times New Roman" w:eastAsia="Times New Roman" w:hAnsi="Times New Roman"/>
          <w:sz w:val="18"/>
          <w:szCs w:val="18"/>
          <w:i w:val="1"/>
          <w:iCs w:val="1"/>
          <w:color w:val="auto"/>
        </w:rPr>
        <w:t>ketamine</w:t>
      </w:r>
      <w:r>
        <w:rPr>
          <w:rFonts w:ascii="Times New Roman" w:cs="Times New Roman" w:eastAsia="Times New Roman" w:hAnsi="Times New Roman"/>
          <w:sz w:val="18"/>
          <w:szCs w:val="18"/>
          <w:color w:val="auto"/>
        </w:rPr>
        <w:t>), an NMDAR antagonist, in patients with treatment-resistant MDD. These NIMH studies, as well as clinical research at Yale University and other academic institutions, have demonstrated robust antidepressant effects in treatment-resistant MDD patients within twenty-four hours of a single IV dose of ketamine.</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As published in the October 2015 issue of the peer-reviewed, </w:t>
      </w:r>
      <w:r>
        <w:rPr>
          <w:rFonts w:ascii="Times New Roman" w:cs="Times New Roman" w:eastAsia="Times New Roman" w:hAnsi="Times New Roman"/>
          <w:sz w:val="18"/>
          <w:szCs w:val="18"/>
          <w:i w:val="1"/>
          <w:iCs w:val="1"/>
          <w:color w:val="auto"/>
        </w:rPr>
        <w:t>Journal of Pharmacology and Experimental Therapeutics,</w:t>
      </w:r>
      <w:r>
        <w:rPr>
          <w:rFonts w:ascii="Times New Roman" w:cs="Times New Roman" w:eastAsia="Times New Roman" w:hAnsi="Times New Roman"/>
          <w:sz w:val="18"/>
          <w:szCs w:val="18"/>
          <w:color w:val="auto"/>
        </w:rPr>
        <w:t xml:space="preserve"> in an article entitled, </w:t>
      </w:r>
      <w:r>
        <w:rPr>
          <w:rFonts w:ascii="Times New Roman" w:cs="Times New Roman" w:eastAsia="Times New Roman" w:hAnsi="Times New Roman"/>
          <w:sz w:val="18"/>
          <w:szCs w:val="18"/>
          <w:i w:val="1"/>
          <w:iCs w:val="1"/>
          <w:color w:val="auto"/>
        </w:rPr>
        <w:t xml:space="preserve">The prodrug 4-chlorokynurenine causes ketamine-like antidepressant effects, but not side effects, by NMDA/glycineB-site inhibition, </w:t>
      </w:r>
      <w:r>
        <w:rPr>
          <w:rFonts w:ascii="Times New Roman" w:cs="Times New Roman" w:eastAsia="Times New Roman" w:hAnsi="Times New Roman"/>
          <w:sz w:val="18"/>
          <w:szCs w:val="18"/>
          <w:color w:val="auto"/>
        </w:rPr>
        <w:t>using well-established preclinical models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depression, AV-101 was shown to induce fast-acting, dose-dependent, persistent and 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the GlyB site and also involved the activation of another key neurological pathway, the alpha-amino-3-hydroxy-5-methyl-4-isoxazolepropionic acid (</w:t>
      </w:r>
      <w:r>
        <w:rPr>
          <w:rFonts w:ascii="Times New Roman" w:cs="Times New Roman" w:eastAsia="Times New Roman" w:hAnsi="Times New Roman"/>
          <w:sz w:val="18"/>
          <w:szCs w:val="18"/>
          <w:i w:val="1"/>
          <w:iCs w:val="1"/>
          <w:color w:val="auto"/>
        </w:rPr>
        <w:t>AMPA</w:t>
      </w:r>
      <w:r>
        <w:rPr>
          <w:rFonts w:ascii="Times New Roman" w:cs="Times New Roman" w:eastAsia="Times New Roman" w:hAnsi="Times New Roman"/>
          <w:sz w:val="18"/>
          <w:szCs w:val="18"/>
          <w:color w:val="auto"/>
        </w:rPr>
        <w:t>) receptor pathway.</w:t>
      </w:r>
    </w:p>
    <w:p>
      <w:pPr>
        <w:spacing w:after="0" w:line="193"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Pursuant to our Cooperative Research and Development Agreement (</w:t>
      </w:r>
      <w:r>
        <w:rPr>
          <w:rFonts w:ascii="Times New Roman" w:cs="Times New Roman" w:eastAsia="Times New Roman" w:hAnsi="Times New Roman"/>
          <w:sz w:val="16"/>
          <w:szCs w:val="16"/>
          <w:i w:val="1"/>
          <w:iCs w:val="1"/>
          <w:color w:val="auto"/>
        </w:rPr>
        <w:t>CRADA</w:t>
      </w:r>
      <w:r>
        <w:rPr>
          <w:rFonts w:ascii="Times New Roman" w:cs="Times New Roman" w:eastAsia="Times New Roman" w:hAnsi="Times New Roman"/>
          <w:sz w:val="16"/>
          <w:szCs w:val="16"/>
          <w:color w:val="auto"/>
        </w:rPr>
        <w:t xml:space="preserve">) with the NIMH, the NIMH is currently funding, and Dr. Zarate, as Principal Investigator, and his team are currently conducting, a small Phase 2 clinical study of AV-101 monotherapy in subjects with treatment-resistant MDD (the </w:t>
      </w:r>
      <w:r>
        <w:rPr>
          <w:rFonts w:ascii="Times New Roman" w:cs="Times New Roman" w:eastAsia="Times New Roman" w:hAnsi="Times New Roman"/>
          <w:sz w:val="16"/>
          <w:szCs w:val="16"/>
          <w:i w:val="1"/>
          <w:iCs w:val="1"/>
          <w:color w:val="auto"/>
        </w:rPr>
        <w:t>NIMH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AV-101 MDD Phase 2 Monotherapy Study</w:t>
      </w:r>
      <w:r>
        <w:rPr>
          <w:rFonts w:ascii="Times New Roman" w:cs="Times New Roman" w:eastAsia="Times New Roman" w:hAnsi="Times New Roman"/>
          <w:sz w:val="16"/>
          <w:szCs w:val="16"/>
          <w:color w:val="auto"/>
        </w:rPr>
        <w:t>). In October 2017, we received FDA authorization to launch our 180-patient Phase 2 multi-center, multi-dose, double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blind, placebo-controlled efficacy and safety study of AV-101 as a new generation adjunctive treatment of MDD in adult patients with an inadequate therapeutic response to standard, FDA-approved antidepressants (the </w:t>
      </w:r>
      <w:r>
        <w:rPr>
          <w:rFonts w:ascii="Times New Roman" w:cs="Times New Roman" w:eastAsia="Times New Roman" w:hAnsi="Times New Roman"/>
          <w:sz w:val="16"/>
          <w:szCs w:val="16"/>
          <w:i w:val="1"/>
          <w:iCs w:val="1"/>
          <w:color w:val="auto"/>
        </w:rPr>
        <w:t>AV-101 MDD Phase 2 Adjunctive Treatment Study</w:t>
      </w:r>
      <w:r>
        <w:rPr>
          <w:rFonts w:ascii="Times New Roman" w:cs="Times New Roman" w:eastAsia="Times New Roman" w:hAnsi="Times New Roman"/>
          <w:sz w:val="16"/>
          <w:szCs w:val="16"/>
          <w:color w:val="auto"/>
        </w:rPr>
        <w:t>). Subject to completion of this offering,. we intend to launch the AV-101 MDD Phase 2 Adjunctive Treatment Study in the first quarter of 2018 with Dr. Maurizio Fava, Professor of Psychiatry at Harvard Medical School and Director, Division of Clinical Research, Massachusetts General Hospital (</w:t>
      </w:r>
      <w:r>
        <w:rPr>
          <w:rFonts w:ascii="Times New Roman" w:cs="Times New Roman" w:eastAsia="Times New Roman" w:hAnsi="Times New Roman"/>
          <w:sz w:val="16"/>
          <w:szCs w:val="16"/>
          <w:i w:val="1"/>
          <w:iCs w:val="1"/>
          <w:color w:val="auto"/>
        </w:rPr>
        <w:t>MGH</w:t>
      </w:r>
      <w:r>
        <w:rPr>
          <w:rFonts w:ascii="Times New Roman" w:cs="Times New Roman" w:eastAsia="Times New Roman" w:hAnsi="Times New Roman"/>
          <w:sz w:val="16"/>
          <w:szCs w:val="16"/>
          <w:color w:val="auto"/>
        </w:rPr>
        <w:t xml:space="preserve">) Research Institute, as the Principal Investigator. Dr. Fava was the co-Principal Investigator with Dr. A. John Rush of the STAR*D study, the largest clinical trial conducted in depression to date, whose findings were published in journals such as the </w:t>
      </w:r>
      <w:r>
        <w:rPr>
          <w:rFonts w:ascii="Times New Roman" w:cs="Times New Roman" w:eastAsia="Times New Roman" w:hAnsi="Times New Roman"/>
          <w:sz w:val="16"/>
          <w:szCs w:val="16"/>
          <w:i w:val="1"/>
          <w:iCs w:val="1"/>
          <w:color w:val="auto"/>
        </w:rPr>
        <w:t>New England Journal of Medicine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NEJM</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Journal of the American Medical Association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JAMA</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VistaStem Therapeutics (</w:t>
      </w:r>
      <w:r>
        <w:rPr>
          <w:rFonts w:ascii="Times New Roman" w:cs="Times New Roman" w:eastAsia="Times New Roman" w:hAnsi="Times New Roman"/>
          <w:sz w:val="18"/>
          <w:szCs w:val="18"/>
          <w:i w:val="1"/>
          <w:iCs w:val="1"/>
          <w:color w:val="auto"/>
        </w:rPr>
        <w:t>VistaStem</w:t>
      </w:r>
      <w:r>
        <w:rPr>
          <w:rFonts w:ascii="Times New Roman" w:cs="Times New Roman" w:eastAsia="Times New Roman" w:hAnsi="Times New Roman"/>
          <w:sz w:val="18"/>
          <w:szCs w:val="18"/>
          <w:color w:val="auto"/>
        </w:rPr>
        <w:t>) is our wholly owned subsidiary focused on applying human pluripotent stem cell (</w:t>
      </w:r>
      <w:r>
        <w:rPr>
          <w:rFonts w:ascii="Times New Roman" w:cs="Times New Roman" w:eastAsia="Times New Roman" w:hAnsi="Times New Roman"/>
          <w:sz w:val="18"/>
          <w:szCs w:val="18"/>
          <w:i w:val="1"/>
          <w:iCs w:val="1"/>
          <w:color w:val="auto"/>
        </w:rPr>
        <w:t>hPSC</w:t>
      </w:r>
      <w:r>
        <w:rPr>
          <w:rFonts w:ascii="Times New Roman" w:cs="Times New Roman" w:eastAsia="Times New Roman" w:hAnsi="Times New Roman"/>
          <w:sz w:val="18"/>
          <w:szCs w:val="18"/>
          <w:color w:val="auto"/>
        </w:rPr>
        <w:t>) technology, internally and with third-party collaborators, to discover, rescue, develop and commercialize (i) proprietary new chemical entities (</w:t>
      </w:r>
      <w:r>
        <w:rPr>
          <w:rFonts w:ascii="Times New Roman" w:cs="Times New Roman" w:eastAsia="Times New Roman" w:hAnsi="Times New Roman"/>
          <w:sz w:val="18"/>
          <w:szCs w:val="18"/>
          <w:i w:val="1"/>
          <w:iCs w:val="1"/>
          <w:color w:val="auto"/>
        </w:rPr>
        <w:t>NCEs</w:t>
      </w:r>
      <w:r>
        <w:rPr>
          <w:rFonts w:ascii="Times New Roman" w:cs="Times New Roman" w:eastAsia="Times New Roman" w:hAnsi="Times New Roman"/>
          <w:sz w:val="18"/>
          <w:szCs w:val="18"/>
          <w:color w:val="auto"/>
        </w:rPr>
        <w:t xml:space="preserve">), including small molecule NCEs with regenerative potential, for CNS and other diseases and (ii) cellular therapies involving stem cell-derived blood, cartilage, heart and liver cells. Our internal drug rescue programs are designed to utilize </w:t>
      </w:r>
      <w:r>
        <w:rPr>
          <w:rFonts w:ascii="Times New Roman" w:cs="Times New Roman" w:eastAsia="Times New Roman" w:hAnsi="Times New Roman"/>
          <w:sz w:val="18"/>
          <w:szCs w:val="18"/>
          <w:i w:val="1"/>
          <w:iCs w:val="1"/>
          <w:color w:val="auto"/>
        </w:rPr>
        <w:t>CardioSafe 3D</w:t>
      </w:r>
      <w:r>
        <w:rPr>
          <w:rFonts w:ascii="Times New Roman" w:cs="Times New Roman" w:eastAsia="Times New Roman" w:hAnsi="Times New Roman"/>
          <w:sz w:val="18"/>
          <w:szCs w:val="18"/>
          <w:color w:val="auto"/>
        </w:rPr>
        <w:t>, our customized cardiac bioassay system, to develop small molecule NCEs for our pipeline. In December 2016, we exclusively sublicensed to BlueRock Therapeutics LP, a next generation regenerative medicine company established by Bayer AG and Versant Ventures (</w:t>
      </w:r>
      <w:r>
        <w:rPr>
          <w:rFonts w:ascii="Times New Roman" w:cs="Times New Roman" w:eastAsia="Times New Roman" w:hAnsi="Times New Roman"/>
          <w:sz w:val="18"/>
          <w:szCs w:val="18"/>
          <w:i w:val="1"/>
          <w:iCs w:val="1"/>
          <w:color w:val="auto"/>
        </w:rPr>
        <w:t>BlueRock Therapeutics</w:t>
      </w:r>
      <w:r>
        <w:rPr>
          <w:rFonts w:ascii="Times New Roman" w:cs="Times New Roman" w:eastAsia="Times New Roman" w:hAnsi="Times New Roman"/>
          <w:sz w:val="18"/>
          <w:szCs w:val="18"/>
          <w:color w:val="auto"/>
        </w:rPr>
        <w:t xml:space="preserve">), rights to certain proprietary technologies relating to the production of cardiac stem cells for the treatment of heart disease (the </w:t>
      </w:r>
      <w:r>
        <w:rPr>
          <w:rFonts w:ascii="Times New Roman" w:cs="Times New Roman" w:eastAsia="Times New Roman" w:hAnsi="Times New Roman"/>
          <w:sz w:val="18"/>
          <w:szCs w:val="18"/>
          <w:i w:val="1"/>
          <w:iCs w:val="1"/>
          <w:color w:val="auto"/>
        </w:rPr>
        <w:t>BlueRock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Through VistaStem, we may also pursue additional potential regenerative medicine (</w:t>
      </w:r>
      <w:r>
        <w:rPr>
          <w:rFonts w:ascii="Times New Roman" w:cs="Times New Roman" w:eastAsia="Times New Roman" w:hAnsi="Times New Roman"/>
          <w:sz w:val="18"/>
          <w:szCs w:val="18"/>
          <w:i w:val="1"/>
          <w:iCs w:val="1"/>
          <w:color w:val="auto"/>
        </w:rPr>
        <w:t>RM</w:t>
      </w:r>
      <w:r>
        <w:rPr>
          <w:rFonts w:ascii="Times New Roman" w:cs="Times New Roman" w:eastAsia="Times New Roman" w:hAnsi="Times New Roman"/>
          <w:sz w:val="18"/>
          <w:szCs w:val="18"/>
          <w:color w:val="auto"/>
        </w:rPr>
        <w:t>) applications, including using blood, cartilage, and/or liver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cells derived from hPSCs for (A) cell-based therapy, (B) cell repair therapy, and/or (C) tissue engineering. In a manner similar to our exclusive sublicense agreement with BlueRock Therapeutics, we may pursue these additional RM applications in collaboration with third-parties.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53" w:name="page54"/>
    <w:bookmarkEnd w:id="53"/>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Despite generating $1.25 million of sublicense revenue from the BlueRock Agreement in December 2016, we have not yet achieved recurring revenue-generating status from any of our product candidates or technologies. Since our inception in May 1998, we have devoted substantially all of our time and efforts to developing our lead CNS product candidate, AV-101, from early nonclinical studies to our ongoing Phase 2 clinical development program in MDD, as well as stem cell technology research and development, bioassay development, small molecule drug development, and creating, protecting and patenting intellectual property related to our product candidates and technologies, with the corollary initiatives of recruiting and retaining personnel and raising working capital. As of September 30, 2017, we had an accumulated deficit of approximately $149.3 million. Our net loss for the six months ended September 30, 2017 and 2016 was approximately $7.3 million and $5.1 million, respectively. We expect losses to continue for the foreseeable future, primarily related to our further development of AV-101 for the adjunctive treatment of MDD, as well as other CNS indications.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Our Fiscal Year Ended March 31, 2017 and Six Months Ended September 30, 2017.</w:t>
      </w:r>
    </w:p>
    <w:p>
      <w:pPr>
        <w:spacing w:after="0" w:line="227" w:lineRule="exact"/>
        <w:rPr>
          <w:sz w:val="20"/>
          <w:szCs w:val="20"/>
          <w:color w:val="auto"/>
        </w:rPr>
      </w:pPr>
    </w:p>
    <w:p>
      <w:pPr>
        <w:ind w:right="120"/>
        <w:spacing w:after="0" w:line="296" w:lineRule="auto"/>
        <w:rPr>
          <w:sz w:val="20"/>
          <w:szCs w:val="20"/>
          <w:color w:val="auto"/>
        </w:rPr>
      </w:pPr>
      <w:r>
        <w:rPr>
          <w:rFonts w:ascii="Times New Roman" w:cs="Times New Roman" w:eastAsia="Times New Roman" w:hAnsi="Times New Roman"/>
          <w:sz w:val="16"/>
          <w:szCs w:val="16"/>
          <w:color w:val="auto"/>
        </w:rPr>
        <w:t xml:space="preserve">During Fiscal 2017 and the first two quarters of Fiscal 2018, we have continued to (i) advance nonclinical, including manufacturing, and clinical development of AV-101 as a potential new generation antidepressant and as a potential new therapeutic alternative for several other CNS indications with significant unmet medical need, (ii)expand the regulatory and intellectual property foundation to support broad clinical development and, ultimately, commercialization of AV-101 in the U.S. and foreign markets, and (iii) on a limited basis, advance the predictive toxicology capabilities of </w:t>
      </w:r>
      <w:r>
        <w:rPr>
          <w:rFonts w:ascii="Times New Roman" w:cs="Times New Roman" w:eastAsia="Times New Roman" w:hAnsi="Times New Roman"/>
          <w:sz w:val="16"/>
          <w:szCs w:val="16"/>
          <w:i w:val="1"/>
          <w:iCs w:val="1"/>
          <w:color w:val="auto"/>
        </w:rPr>
        <w:t>CardioSafe</w:t>
      </w:r>
      <w:r>
        <w:rPr>
          <w:rFonts w:ascii="Times New Roman" w:cs="Times New Roman" w:eastAsia="Times New Roman" w:hAnsi="Times New Roman"/>
          <w:sz w:val="16"/>
          <w:szCs w:val="16"/>
          <w:color w:val="auto"/>
        </w:rPr>
        <w:t xml:space="preserve"> 3D for small molecule new chemical entity drug rescue and development applications and collaborative regenerative medicine opportunities related to our cardiac stem cell technology platform .</w:t>
      </w:r>
    </w:p>
    <w:p>
      <w:pPr>
        <w:spacing w:after="0" w:line="16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Pursuant to our Cooperative Research and Development Agreement (</w:t>
      </w:r>
      <w:r>
        <w:rPr>
          <w:rFonts w:ascii="Times New Roman" w:cs="Times New Roman" w:eastAsia="Times New Roman" w:hAnsi="Times New Roman"/>
          <w:sz w:val="18"/>
          <w:szCs w:val="18"/>
          <w:i w:val="1"/>
          <w:iCs w:val="1"/>
          <w:color w:val="auto"/>
        </w:rPr>
        <w:t>CRADA</w:t>
      </w:r>
      <w:r>
        <w:rPr>
          <w:rFonts w:ascii="Times New Roman" w:cs="Times New Roman" w:eastAsia="Times New Roman" w:hAnsi="Times New Roman"/>
          <w:sz w:val="18"/>
          <w:szCs w:val="18"/>
          <w:color w:val="auto"/>
        </w:rPr>
        <w:t>) with the NIH, the NIH continues to fund, and Dr. Carlos Zarate Jr. of the NIMH continues to conduct, the NIMH AV-101 MDD Phase 2 Monotherapy Study, at no cost to us other than supplying clinical trial material. Although we do not direct or control the progress of this study, we currently anticipate that the NIMH will complete the NIMH AV-101 MDD Phase 2 Monotherapy Study in the first half of 2018.</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May 2016, we consummated an underwritten public offering of our securities pursuant to which we received net proceeds of approximately $9.54 million and issued to institutional investors an aggregate of 2,570,040 registered shares of our common stock and five-year warrants exercisable at $5.30 per share to purchase an aggregate of 2,705,883 shares of our common stock (</w:t>
      </w:r>
      <w:r>
        <w:rPr>
          <w:rFonts w:ascii="Times New Roman" w:cs="Times New Roman" w:eastAsia="Times New Roman" w:hAnsi="Times New Roman"/>
          <w:sz w:val="18"/>
          <w:szCs w:val="18"/>
          <w:i w:val="1"/>
          <w:iCs w:val="1"/>
          <w:color w:val="auto"/>
        </w:rPr>
        <w:t>May 2016 Public Offering</w:t>
      </w:r>
      <w:r>
        <w:rPr>
          <w:rFonts w:ascii="Times New Roman" w:cs="Times New Roman" w:eastAsia="Times New Roman" w:hAnsi="Times New Roman"/>
          <w:sz w:val="18"/>
          <w:szCs w:val="18"/>
          <w:color w:val="auto"/>
        </w:rPr>
        <w:t>). In connection with the May 2016 Public Offering, our common stock was approved for listing on The NASDAQ Capital Market, where it has traded under the symbol “VTGN” since May 11, 2016. Please see the section titled “</w:t>
      </w:r>
      <w:r>
        <w:rPr>
          <w:rFonts w:ascii="Times New Roman" w:cs="Times New Roman" w:eastAsia="Times New Roman" w:hAnsi="Times New Roman"/>
          <w:sz w:val="18"/>
          <w:szCs w:val="18"/>
          <w:i w:val="1"/>
          <w:iCs w:val="1"/>
          <w:color w:val="auto"/>
        </w:rPr>
        <w:t>Liquidity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Capital Resources</w:t>
      </w:r>
      <w:r>
        <w:rPr>
          <w:rFonts w:ascii="Times New Roman" w:cs="Times New Roman" w:eastAsia="Times New Roman" w:hAnsi="Times New Roman"/>
          <w:sz w:val="18"/>
          <w:szCs w:val="18"/>
          <w:color w:val="auto"/>
        </w:rPr>
        <w:t>” below, for a summary of our capital raising activity subsequent to March 31, 2017 and a discussion of our expected future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w:t>
      </w:r>
    </w:p>
    <w:p>
      <w:pPr>
        <w:spacing w:after="0" w:line="19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In addition to bolstering our Clinical and Regulatory Advisory Board with the appointment of Dr. Maurizio Fava (Harvard University) as Chairman and the addition of members Dr. Sanjay Matthew (Baylor University) and Dr. Thomas Laughren (former director, FDA’s Division of Psychiatry), all pre-eminent opinion leaders in the field of depression, and the addition of veteran healthcare executive Jerry Gin, Ph.D., MBA to our Board of Directors, we enhanced our management team with the addition of Mark A. Smith, MD, Ph.D., as our Chief Medical Officer in June 2016. Dr. Smith has over 20 years of pharmaceutical industry and CNS drug development experience. He has been a successful project leader in both drug discovery and development on projects resulting in approximately 20 investigational new drugs (</w:t>
      </w:r>
      <w:r>
        <w:rPr>
          <w:rFonts w:ascii="Times New Roman" w:cs="Times New Roman" w:eastAsia="Times New Roman" w:hAnsi="Times New Roman"/>
          <w:sz w:val="18"/>
          <w:szCs w:val="18"/>
          <w:i w:val="1"/>
          <w:iCs w:val="1"/>
          <w:color w:val="auto"/>
        </w:rPr>
        <w:t>INDs</w:t>
      </w:r>
      <w:r>
        <w:rPr>
          <w:rFonts w:ascii="Times New Roman" w:cs="Times New Roman" w:eastAsia="Times New Roman" w:hAnsi="Times New Roman"/>
          <w:sz w:val="18"/>
          <w:szCs w:val="18"/>
          <w:color w:val="auto"/>
        </w:rPr>
        <w:t>). Dr. Smith has directed clinical trials examining depression, bipolar disorder, anxiety, schizophrenia, Alzheimer’s disease, ADHD and agitation in Phase 1 through Phase 2b. In addition, Dr. Smith has vast knowledge and expertise in translational neuroscience, clinical trial design and regulatory interactions. In September 2016, we appointed Mark A. McPartland as our Vice President of Corporate Development. Mr. McPartland has over 20 years of experience in corporate development, capital markets, corporate communications and management consulting for companies at varying stage of their corporate evolution, including early- and mid-stage biopharmaceutical companies. Mr. McPartland is primarily concentrating his efforts in expanding awareness of VistaGen across a range of investors, researchers, patients, clinicians and potential partners. In July 2017, we appointed Mark Wallace, M.D., Distinguished Professor of Clinical Anesthesiology at the University of California, San Diego, to our Clinical and Regulatory Advisory Board to assist us in advancing development of AV-101 as a potential non-opioid treatment alternative for neuropathic pain. Dr. Wallace is an internationally recognized leader in the field of multi-modal pain management, with over 30 years of professional experience, board certifications, licensures, honors/awards, grants, articles and abstracts.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54" w:name="page55"/>
    <w:bookmarkEnd w:id="54"/>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December 2016, we entered into the BlueRock Agreement with BlueRock Therapeutics, LP, a next generation regenerative medicine company recently established by Bayer AG and Versant Ventures (</w:t>
      </w:r>
      <w:r>
        <w:rPr>
          <w:rFonts w:ascii="Times New Roman" w:cs="Times New Roman" w:eastAsia="Times New Roman" w:hAnsi="Times New Roman"/>
          <w:sz w:val="18"/>
          <w:szCs w:val="18"/>
          <w:i w:val="1"/>
          <w:iCs w:val="1"/>
          <w:color w:val="auto"/>
        </w:rPr>
        <w:t>BlueRock</w:t>
      </w:r>
      <w:r>
        <w:rPr>
          <w:rFonts w:ascii="Times New Roman" w:cs="Times New Roman" w:eastAsia="Times New Roman" w:hAnsi="Times New Roman"/>
          <w:sz w:val="18"/>
          <w:szCs w:val="18"/>
          <w:color w:val="auto"/>
        </w:rPr>
        <w:t>), pursuant to which BlueRock received exclusive rights to utilize certain technologies exclusively licensed by us from University Health Network (</w:t>
      </w:r>
      <w:r>
        <w:rPr>
          <w:rFonts w:ascii="Times New Roman" w:cs="Times New Roman" w:eastAsia="Times New Roman" w:hAnsi="Times New Roman"/>
          <w:sz w:val="18"/>
          <w:szCs w:val="18"/>
          <w:i w:val="1"/>
          <w:iCs w:val="1"/>
          <w:color w:val="auto"/>
        </w:rPr>
        <w:t>UHN</w:t>
      </w:r>
      <w:r>
        <w:rPr>
          <w:rFonts w:ascii="Times New Roman" w:cs="Times New Roman" w:eastAsia="Times New Roman" w:hAnsi="Times New Roman"/>
          <w:sz w:val="18"/>
          <w:szCs w:val="18"/>
          <w:color w:val="auto"/>
        </w:rPr>
        <w:t>) for the production of cardiac stem cells for the treatment of heart disease. We retained rights to technology licensed from UHN related to small molecule, protein and antibody drug discovery, drug rescue and drug development, including small molecules with cardiac regenerative potential, as well as small molecule, protein and antibody testing involving cardiac cells. In January 2017, we received an upfront cash payment of $1.25 million under the BlueRock Agreement and we may potentially receive additional cash milestones and royalty payments in the future upon BlueRock’s achievement of certain development objectives and commercial sales.</w:t>
      </w:r>
    </w:p>
    <w:p>
      <w:pPr>
        <w:spacing w:after="0" w:line="19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Between late-March 2017 and June 2017, we entered into self-placed private placement transactions with individual accredited investors, pursuant to which we sold units consisting of an aggregate of 495,001 shares of our unregistered common stock and warrants which are not exercisable until six months and one day following issuance and expire on April 30, 2021, to purchase an aggregate of 247,500 shares of our common stock at a weighted average fixed exercise price of $3.99 per share, subject to adjustment only for customary stock dividends, reclassifications, splits and similar transactions. We received cash proceeds of approximately $1 million in this self-placed private placement transaction. In September 2017, we reduced the exercise price of each of the warrants issued in the Spring 2017 Private Placement to $2.00 per share and issued additional warrants, also exercisable six months and one day following issuance at an exercise price of $2.00 per share, to purchase an aggregate of 247,501 unregistered shares of our common stock. In August 2017, in a self-placed private placement transaction, we sold units consisting of 28,572 shares of our unregistered common stock and warrants exercisable six months and one day following the date of issuance through April 30, 2021 to purchase 28,572 unregistered shares of our common stock at an exercise price of $4.00 per share. We received cash proceeds of $50,000 from this private placement transaction.</w:t>
      </w:r>
    </w:p>
    <w:p>
      <w:pPr>
        <w:spacing w:after="0" w:line="19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In September 2017, we completed a firm commitment underwritten public offering, pursuant to which we sold 1,371,430 shares of our common stock and Series A1 Warrants to purchase up to 1,388,931 shares of common stock and Series A2 Warrants to purchase up to 503,641 of common stock (collectively, the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each exercisable for $1.82 per share warrants to two of our existing institutional investors, resulting in net proceeds of approximately $2.0 million (the</w:t>
      </w:r>
      <w:r>
        <w:rPr>
          <w:rFonts w:ascii="Times New Roman" w:cs="Times New Roman" w:eastAsia="Times New Roman" w:hAnsi="Times New Roman"/>
          <w:sz w:val="18"/>
          <w:szCs w:val="18"/>
          <w:i w:val="1"/>
          <w:iCs w:val="1"/>
          <w:color w:val="auto"/>
        </w:rPr>
        <w:t xml:space="preserve"> September 2017 Public Offering</w:t>
      </w:r>
      <w:r>
        <w:rPr>
          <w:rFonts w:ascii="Times New Roman" w:cs="Times New Roman" w:eastAsia="Times New Roman" w:hAnsi="Times New Roman"/>
          <w:sz w:val="18"/>
          <w:szCs w:val="18"/>
          <w:color w:val="auto"/>
        </w:rPr>
        <w:t>). The Series A1 Warrants will be exercisable for a five-year period commencing on March 7, 2018, and the Series A2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exercisable at any time and expire on September 6, 2022. The common stock and the shares of common stock underlying the Warrants issued in the September 2017 Public Offering were sold pursuant to our effective Registration Statement on Form S-3 (Registration No. 333-215671) to cover this and potential future sales of our equity securities in one or more public offerings from time to time.</w:t>
      </w:r>
    </w:p>
    <w:p>
      <w:pPr>
        <w:spacing w:after="0" w:line="19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July 2017, we appointed </w:t>
      </w:r>
      <w:r>
        <w:rPr>
          <w:rFonts w:ascii="Times New Roman" w:cs="Times New Roman" w:eastAsia="Times New Roman" w:hAnsi="Times New Roman"/>
          <w:sz w:val="18"/>
          <w:szCs w:val="18"/>
          <w:color w:val="333333"/>
        </w:rPr>
        <w:t>Mark Wallace, M.D., Distinguished Professor of Clinical Anesthesiology at the University of California, San Diego, to our Clinical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and Regulatory Advisory Board to assist us in advancing development of AV-101 as a potential non-opioid treatment alternative for neuropathic pain. Dr. Wallace is an internationally recognized leader in the field of multi-modal pain management, with over 30 years of professional experience, board certifications, licensures, honors/awards, grants, articles and abstracts.</w:t>
      </w:r>
    </w:p>
    <w:p>
      <w:pPr>
        <w:spacing w:after="0" w:line="1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continue to prepare for the launch of our AV-101 MDD Phase 2 Adjunctive Treatment Study with initiatives that have significantly improved the efficiency of our AV-101 manufacturing processes and production of sufficient quantities of AV-101 to enable a more comprehensive initiation of the study. We currently anticipate the launch of the AV-101 MDD Phase 2 Adjunctive Treatment Study, with Dr. Maurizio Fava of Harvard Medical School serving as Principal Investigator, in the first quarter of 2018.</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Additionally, we are pursuing initiatives to secure a broad spectrum of intellectual property protection for AV-101 covering multiple CNS indications. </w:t>
      </w:r>
      <w:r>
        <w:rPr>
          <w:rFonts w:ascii="Times New Roman" w:cs="Times New Roman" w:eastAsia="Times New Roman" w:hAnsi="Times New Roman"/>
          <w:sz w:val="18"/>
          <w:szCs w:val="18"/>
          <w:color w:val="333333"/>
        </w:rPr>
        <w:t>W</w:t>
      </w:r>
      <w:r>
        <w:rPr>
          <w:rFonts w:ascii="Times New Roman" w:cs="Times New Roman" w:eastAsia="Times New Roman" w:hAnsi="Times New Roman"/>
          <w:sz w:val="18"/>
          <w:szCs w:val="18"/>
          <w:color w:val="auto"/>
        </w:rPr>
        <w:t>e have filed and are pursuing several patent applications in Europe, the U.S. and other selected regions. Several of these patent applications have already been granted or allowed, on both (i) certain novel therapeutic methods of use of AV-101, including depression, and (ii) certain novel methods of producing AV-101. In Europe, the European Patent Office (</w:t>
      </w:r>
      <w:r>
        <w:rPr>
          <w:rFonts w:ascii="Times New Roman" w:cs="Times New Roman" w:eastAsia="Times New Roman" w:hAnsi="Times New Roman"/>
          <w:sz w:val="18"/>
          <w:szCs w:val="18"/>
          <w:i w:val="1"/>
          <w:iCs w:val="1"/>
          <w:color w:val="auto"/>
        </w:rPr>
        <w:t>EPO</w:t>
      </w:r>
      <w:r>
        <w:rPr>
          <w:rFonts w:ascii="Times New Roman" w:cs="Times New Roman" w:eastAsia="Times New Roman" w:hAnsi="Times New Roman"/>
          <w:sz w:val="18"/>
          <w:szCs w:val="18"/>
          <w:color w:val="auto"/>
        </w:rPr>
        <w:t>) recently granted our patent related to methods of treating depression with AV-101 and certain other neurological indications. In the U.S. and other selected regional markets, we are currently pursuing a counterpart AV-101 patent application similar to the patent granted by the EPO. Although the U.S. Patent and Trademark Office (</w:t>
      </w:r>
      <w:r>
        <w:rPr>
          <w:rFonts w:ascii="Times New Roman" w:cs="Times New Roman" w:eastAsia="Times New Roman" w:hAnsi="Times New Roman"/>
          <w:sz w:val="18"/>
          <w:szCs w:val="18"/>
          <w:i w:val="1"/>
          <w:iCs w:val="1"/>
          <w:color w:val="auto"/>
        </w:rPr>
        <w:t>USPTO</w:t>
      </w:r>
      <w:r>
        <w:rPr>
          <w:rFonts w:ascii="Times New Roman" w:cs="Times New Roman" w:eastAsia="Times New Roman" w:hAnsi="Times New Roman"/>
          <w:sz w:val="18"/>
          <w:szCs w:val="18"/>
          <w:color w:val="auto"/>
        </w:rPr>
        <w:t>) has not yet allowed the counterpart application filed in the U.S., we believe that our counterpart patent applications under review by the USPTO and other countries ultimately will be granted.</w:t>
      </w:r>
    </w:p>
    <w:p>
      <w:pPr>
        <w:spacing w:after="0" w:line="195"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In Europe, the U.S. and other selected regional markets, we are also prosecuting patent applications related to novel methods of producing AV-101. We recently received a Notice of Allowance for manufacturing patent applications regarding our manufacturing process from the USPTO and Chinese patent office. We have submitted a counterpart application to the EPO, which has not yet been approved. However, given that our application at the USPTO was sufficient to obtain an allowed patent in the U.S., we believe our counterpart patent application at the EPO ultimately will be granted.</w:t>
      </w:r>
    </w:p>
    <w:p>
      <w:pPr>
        <w:spacing w:after="0" w:line="217"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As a matter of course, we continue to minimize, to the greatest extent possible cash commitments and expenditures for both internal and external research and development and general and administrative services. To further advance the nonclinical and clinical development of AV-101 and our stem cell technology platform, as well as support our operating activities, we continue to carefully manage our routine operating costs, including our internal employee related expenses, as well as external costs relating to regulatory consulting, contract research and development, investor relations and corporate development, legal, acquisition and protection of intellectual property, public company compliance and other professional services and internal costs.</w:t>
      </w:r>
    </w:p>
    <w:p>
      <w:pPr>
        <w:sectPr>
          <w:pgSz w:w="11900" w:h="16838" w:orient="portrait"/>
          <w:cols w:equalWidth="0" w:num="1">
            <w:col w:w="11400"/>
          </w:cols>
          <w:pgMar w:left="240" w:top="12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Fiscal Years Ended March 31, 2017 and 2016</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fiscal years ended March 31, 2017 and 2016 (amounts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Sublicense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jc w:val="right"/>
              <w:ind w:right="6672"/>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jc w:val="right"/>
              <w:ind w:right="6652"/>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jc w:val="right"/>
              <w:ind w:right="6652"/>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Change in warrant liabilities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(10,254)</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(47,219)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Accrued dividend on Series B Preferred Stock</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dividend on Series B Preferred Stock</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(11,624)</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(51,419)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recognized $1.25 million in sublicense revenue pursuant to the BlueRock Agreement in the quarter ended December 31, 2016. While we may potentially receive additional payments and royalties under the BlueRock Agreement in the future, in the event certain performance-based milestones and commercial sales are achieved by BlueRock, the agreement might not provide recurring revenue to us in the near term. We reported no other revenue for the fiscal years ended March 31, 2017 or 2016 and we presently have no revenue-generating arrangements with respect to AV-101 or other potential product candidates. However, as indicated previously, under our CRADA with the NIH, the NIH is fully funding and conducting the NIMH AV-101 MDD Phase 2 Monotherapy Study at no cost to us.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1" w:right="239" w:bottom="1440" w:gutter="0" w:footer="0" w:header="0"/>
        </w:sectPr>
      </w:pPr>
    </w:p>
    <w:bookmarkStart w:id="56" w:name="page57"/>
    <w:bookmarkEnd w:id="56"/>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 totaled $5.2 million for the fiscal year ended March 31, 2017 (</w:t>
      </w:r>
      <w:r>
        <w:rPr>
          <w:rFonts w:ascii="Times New Roman" w:cs="Times New Roman" w:eastAsia="Times New Roman" w:hAnsi="Times New Roman"/>
          <w:sz w:val="18"/>
          <w:szCs w:val="18"/>
          <w:i w:val="1"/>
          <w:iCs w:val="1"/>
          <w:color w:val="auto"/>
        </w:rPr>
        <w:t>Fiscal 2017</w:t>
      </w:r>
      <w:r>
        <w:rPr>
          <w:rFonts w:ascii="Times New Roman" w:cs="Times New Roman" w:eastAsia="Times New Roman" w:hAnsi="Times New Roman"/>
          <w:sz w:val="18"/>
          <w:szCs w:val="18"/>
          <w:color w:val="auto"/>
        </w:rPr>
        <w:t>), an increase of approximately 33% compared with the $3.9 million incurred for the fiscal year ended March 31, 2016 (</w:t>
      </w:r>
      <w:r>
        <w:rPr>
          <w:rFonts w:ascii="Times New Roman" w:cs="Times New Roman" w:eastAsia="Times New Roman" w:hAnsi="Times New Roman"/>
          <w:sz w:val="18"/>
          <w:szCs w:val="18"/>
          <w:i w:val="1"/>
          <w:iCs w:val="1"/>
          <w:color w:val="auto"/>
        </w:rPr>
        <w:t>Fiscal 2016</w:t>
      </w:r>
      <w:r>
        <w:rPr>
          <w:rFonts w:ascii="Times New Roman" w:cs="Times New Roman" w:eastAsia="Times New Roman" w:hAnsi="Times New Roman"/>
          <w:sz w:val="18"/>
          <w:szCs w:val="18"/>
          <w:color w:val="auto"/>
        </w:rPr>
        <w:t>), demonstrating our increased and continuing focus on manufacturing and nonclinical and clinical development of AV-101 in preparation for our AV-101 MDD Phase 2 Adjunctive Treatment Study, which we currently anticipate to begin in the first quarter of 2018. Of the amounts reported, non-cash expenses, related primarily to grants or modifications of our equity securities, totaled approximately $534,000 in Fiscal 2017 and $1.7 million in Fiscal 2016. The following table indicates the primary components of research and development expense for each of the periods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Fiscal Years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and other professional services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Technology licenses and royalties, including UHN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Project-related research, development and supplies: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AV-101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Stem cell and all 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modification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280" w:type="dxa"/>
            <w:vAlign w:val="bottom"/>
          </w:tcPr>
          <w:p>
            <w:pPr>
              <w:spacing w:after="0"/>
              <w:rPr>
                <w:sz w:val="18"/>
                <w:szCs w:val="18"/>
                <w:color w:val="auto"/>
              </w:rPr>
            </w:pPr>
          </w:p>
        </w:tc>
        <w:tc>
          <w:tcPr>
            <w:tcW w:w="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18"/>
          <w:szCs w:val="18"/>
          <w:color w:val="auto"/>
        </w:rPr>
        <w:t>The increase in salaries and benefits reflects the impact of the hiring of our Chief Medical Officer (</w:t>
      </w:r>
      <w:r>
        <w:rPr>
          <w:rFonts w:ascii="Times New Roman" w:cs="Times New Roman" w:eastAsia="Times New Roman" w:hAnsi="Times New Roman"/>
          <w:sz w:val="18"/>
          <w:szCs w:val="18"/>
          <w:i w:val="1"/>
          <w:iCs w:val="1"/>
          <w:color w:val="auto"/>
        </w:rPr>
        <w:t>CMO</w:t>
      </w:r>
      <w:r>
        <w:rPr>
          <w:rFonts w:ascii="Times New Roman" w:cs="Times New Roman" w:eastAsia="Times New Roman" w:hAnsi="Times New Roman"/>
          <w:sz w:val="18"/>
          <w:szCs w:val="18"/>
          <w:color w:val="auto"/>
        </w:rPr>
        <w:t>) in June 2016, as well as salary increases and bonus payments granted to our President and Chief Scientific Officer (</w:t>
      </w:r>
      <w:r>
        <w:rPr>
          <w:rFonts w:ascii="Times New Roman" w:cs="Times New Roman" w:eastAsia="Times New Roman" w:hAnsi="Times New Roman"/>
          <w:sz w:val="18"/>
          <w:szCs w:val="18"/>
          <w:i w:val="1"/>
          <w:iCs w:val="1"/>
          <w:color w:val="auto"/>
        </w:rPr>
        <w:t>CSO</w:t>
      </w:r>
      <w:r>
        <w:rPr>
          <w:rFonts w:ascii="Times New Roman" w:cs="Times New Roman" w:eastAsia="Times New Roman" w:hAnsi="Times New Roman"/>
          <w:sz w:val="18"/>
          <w:szCs w:val="18"/>
          <w:color w:val="auto"/>
        </w:rPr>
        <w:t>) and to the four non-officer members of our scientific staff.</w:t>
      </w:r>
    </w:p>
    <w:p>
      <w:pPr>
        <w:spacing w:after="0" w:line="172"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6"/>
          <w:szCs w:val="16"/>
          <w:color w:val="auto"/>
        </w:rPr>
        <w:t xml:space="preserve">The decrease in stock based compensation expense is primarily attributable to the $852,200 fair value, determined using the Black-Scholes Option Pricing Model and the assumptions indicated in Note 13, </w:t>
      </w:r>
      <w:r>
        <w:rPr>
          <w:rFonts w:ascii="Times New Roman" w:cs="Times New Roman" w:eastAsia="Times New Roman" w:hAnsi="Times New Roman"/>
          <w:sz w:val="16"/>
          <w:szCs w:val="16"/>
          <w:i w:val="1"/>
          <w:iCs w:val="1"/>
          <w:color w:val="auto"/>
        </w:rPr>
        <w:t>Stock Option Plans and 401(k) Plan</w:t>
      </w:r>
      <w:r>
        <w:rPr>
          <w:rFonts w:ascii="Times New Roman" w:cs="Times New Roman" w:eastAsia="Times New Roman" w:hAnsi="Times New Roman"/>
          <w:sz w:val="16"/>
          <w:szCs w:val="16"/>
          <w:color w:val="auto"/>
        </w:rPr>
        <w:t>, to the accompanying Consolidated Financial Statements in Part 8 of this Report, of the September 2015 grant of immediately vested and expensed warrants to purchase 150,000 shares of our common stock granted to our CSO. Stock compensation expense in Fiscal 2017 reflects the ratable amortization of option grants made to our CSO and CMO, scientific staff and consultants, in November 2016, June 2016 (CSO and CMO only) and September 2015. Our stock options are generally amortized over a two-year to four-year vesting period. A substantial number of the option grants made in or prior to our fiscal year ended March 31, 2014 became fully-vested and were fully-expensed by March 31, 2017.</w:t>
      </w:r>
    </w:p>
    <w:p>
      <w:pPr>
        <w:spacing w:after="0" w:line="165" w:lineRule="exact"/>
        <w:rPr>
          <w:sz w:val="20"/>
          <w:szCs w:val="20"/>
          <w:color w:val="auto"/>
        </w:rPr>
      </w:pPr>
    </w:p>
    <w:p>
      <w:pPr>
        <w:jc w:val="both"/>
        <w:ind w:right="180"/>
        <w:spacing w:after="0" w:line="310" w:lineRule="auto"/>
        <w:rPr>
          <w:sz w:val="20"/>
          <w:szCs w:val="20"/>
          <w:color w:val="auto"/>
        </w:rPr>
      </w:pPr>
      <w:r>
        <w:rPr>
          <w:rFonts w:ascii="Times New Roman" w:cs="Times New Roman" w:eastAsia="Times New Roman" w:hAnsi="Times New Roman"/>
          <w:sz w:val="16"/>
          <w:szCs w:val="16"/>
          <w:color w:val="auto"/>
        </w:rPr>
        <w:t>Consulting services reflects fees paid or accrued for scientific, nonclinical and clinical development and regulatory advisory and consulting services rendered to us by third-parties, primarily by members of our scientific and CNS clinical and regulatory advisory boards. The reduction in expense for Fiscal 2017 primarily reflects the rationalization of our stem cell-related scientific advisory board and related accruals, including as a result of the BlueRock Agreement.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57" w:name="page58"/>
    <w:bookmarkEnd w:id="57"/>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6"/>
          <w:szCs w:val="16"/>
          <w:color w:val="auto"/>
        </w:rPr>
        <w:t>Technology license expense reflects both recurring annual fees as well as legal counsel and other costs related to patent prosecution and protection pursuant to certain of our stem cell technology license agreements or for other potential commercial purposes. We recognize these costs as they are invoiced to us by the licensors and they do not occur ratably throughout the year or between years. Additionally, in both periods, this expense includes legal counsel and other costs we have incurred to advance in the U.S. and numerous foreign countries several pending patent applications with respect to AV-101 and our stem cell technology platform. Technology license-related legal expense for Fiscal 2017 also includes $55,000 representing the fair value of a warrant granted to intellectual property counsel as partial compensation for services. Fiscal 2017 expense further includes a net of $158,000 related to the sublicense consideration paid to University Health Network (</w:t>
      </w:r>
      <w:r>
        <w:rPr>
          <w:rFonts w:ascii="Times New Roman" w:cs="Times New Roman" w:eastAsia="Times New Roman" w:hAnsi="Times New Roman"/>
          <w:sz w:val="16"/>
          <w:szCs w:val="16"/>
          <w:i w:val="1"/>
          <w:iCs w:val="1"/>
          <w:color w:val="auto"/>
        </w:rPr>
        <w:t>UHN</w:t>
      </w:r>
      <w:r>
        <w:rPr>
          <w:rFonts w:ascii="Times New Roman" w:cs="Times New Roman" w:eastAsia="Times New Roman" w:hAnsi="Times New Roman"/>
          <w:sz w:val="16"/>
          <w:szCs w:val="16"/>
          <w:color w:val="auto"/>
        </w:rPr>
        <w:t>) related to the BlueRock Agreement plus additional fees and expenses related to two newly acquired licenses from UHN related to cardiac stem cell technology, net of amounts previously accrued in connection with our prior sponsored research collaboration with UHN. Technology license expense for Fiscal 2016 included (i) approximately $153,000 of fees and expenses incurred for additional stem cell technology related licenses acquired in connection with our agreement with UHN; (ii) $120,000 of noncash expense resulting from the grants to two intellectual property legal service providers in July 2015 of an aggregate of 10,000 shares of our Series B Preferred, and (iii) $254,000 of noncash expense resulting from the March 2016 grant of immediately-vested warrants to purchase an aggregate of 50,000 shares of our common stock to two intellectual property legal service providers.</w:t>
      </w:r>
    </w:p>
    <w:p>
      <w:pPr>
        <w:spacing w:after="0" w:line="389"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6"/>
          <w:szCs w:val="16"/>
          <w:color w:val="auto"/>
        </w:rPr>
        <w:t>AV-101 expenses for Fiscal 2017 include continuing costs incurred to develop more efficient and cost-effective proprietary production methods for AV-101 and for certain pre-production and nonclinical trial analyses and procedures to facilitate Phase 2 clinical development of AV-101, including our AV-101 MDD Phase 2 Adjunctive Treatment Study. We expect these expenses to increase significantly during Fiscal 2018 and Fiscal 2019 as we continue preparations for, initiate and conduct our AV-101 MDD Phase 2 Adjunctive Treatment Study. Additionally, AV-101 expense in both periods reflects nominal costs associated with standard monitoring for and responding to potential feedback related to our AV-101 Phase 1 clinical safety program and addressing any other matters that may be required under the terms of our prior NIH grant awards, primarily facilitated by our CRO for our Phase 1 safety studies, Cato Research Ltd. The increase in stem cell and other project related expenses in Fiscal 2017 primarily reflects in-house costs associated with our participation in the FDA’s CiPA project focused on using next generation cardiac stem-cell technology-based bioassay systems for in vitro cardiac predictive toxicology screening.</w:t>
      </w:r>
    </w:p>
    <w:p>
      <w:pPr>
        <w:spacing w:after="0" w:line="16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The increase in rent expense in Fiscal 2017 reflects both the impact of the scheduled rent increase for our South San Francisco headquarters and laboratory facilities effective August 2016, as well as the impact of accounting for the November 2016 lease amendment extending our lease of those facilities by five years from July 31, 2017 to July 31, 2022.</w:t>
      </w:r>
    </w:p>
    <w:p>
      <w:pPr>
        <w:spacing w:after="0" w:line="18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Warrant modification expense in Fiscal 2016 reflects the increase in fair value resulting from the November 2015 modification of outstanding warrants to purchase an aggregate of 315,000 shares of our common stock held by our CSO and a key scientific advisor to reduce the exercise prices thereof from a range of $9.25 to $12.80 per share to $7.00 per share. No similar modifications occurred in Fiscal 2017.</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General and administrative expense decreased to $6.3 million in Fiscal 2017 from $13.9 million in Fiscal 2016 primarily as a result of the decrease in non-cash stock compensation expense attributable to option and warrant grants to employees, officers and independent Board members in Fiscal 2016, partially offset by an increase in non-cash expense related to grants of equity securities in payment of certain professional services during Fiscal 2017. Of the amounts reported, non-cash expenses, related primarily to grants or modifications of our equity securities, totaled approximately $3.1 million in Fiscal 2017 and $11.9 million in Fiscal 2016. The following table indicates the primary components of general and administrative expenses for each of the periods (amounts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Fiscal Years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March 31,</w:t>
            </w: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Legal, accounting and other professional fees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entertainment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Rent and utilities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modification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All other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General and Administrative Expense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8"/>
          <w:szCs w:val="18"/>
          <w:color w:val="auto"/>
        </w:rPr>
        <w:t>The increase in salaries and benefits reflects the impact of salary increases and bonus payments granted to our Chief Executive Officer (</w:t>
      </w:r>
      <w:r>
        <w:rPr>
          <w:rFonts w:ascii="Times New Roman" w:cs="Times New Roman" w:eastAsia="Times New Roman" w:hAnsi="Times New Roman"/>
          <w:sz w:val="18"/>
          <w:szCs w:val="18"/>
          <w:i w:val="1"/>
          <w:iCs w:val="1"/>
          <w:color w:val="auto"/>
        </w:rPr>
        <w:t>CEO</w:t>
      </w:r>
      <w:r>
        <w:rPr>
          <w:rFonts w:ascii="Times New Roman" w:cs="Times New Roman" w:eastAsia="Times New Roman" w:hAnsi="Times New Roman"/>
          <w:sz w:val="18"/>
          <w:szCs w:val="18"/>
          <w:color w:val="auto"/>
        </w:rPr>
        <w:t>), Chief Financial Officer (</w:t>
      </w:r>
      <w:r>
        <w:rPr>
          <w:rFonts w:ascii="Times New Roman" w:cs="Times New Roman" w:eastAsia="Times New Roman" w:hAnsi="Times New Roman"/>
          <w:sz w:val="18"/>
          <w:szCs w:val="18"/>
          <w:i w:val="1"/>
          <w:iCs w:val="1"/>
          <w:color w:val="auto"/>
        </w:rPr>
        <w:t>CFO</w:t>
      </w:r>
      <w:r>
        <w:rPr>
          <w:rFonts w:ascii="Times New Roman" w:cs="Times New Roman" w:eastAsia="Times New Roman" w:hAnsi="Times New Roman"/>
          <w:sz w:val="18"/>
          <w:szCs w:val="18"/>
          <w:color w:val="auto"/>
        </w:rPr>
        <w:t>), and a member of our administrative staff and the change in that employee’s status from part-time to full-time, as well as the hiring of our VP, Corporate Development in September 2016.</w:t>
      </w:r>
    </w:p>
    <w:p>
      <w:pPr>
        <w:sectPr>
          <w:pgSz w:w="11900" w:h="16838" w:orient="portrait"/>
          <w:cols w:equalWidth="0" w:num="1">
            <w:col w:w="11420"/>
          </w:cols>
          <w:pgMar w:left="240" w:top="1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58" w:name="page59"/>
    <w:bookmarkEnd w:id="58"/>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6"/>
          <w:szCs w:val="16"/>
          <w:color w:val="auto"/>
        </w:rPr>
        <w:t xml:space="preserve">The decrease in stock based compensation expense is primarily attributable to the $2.8 million fair value, determined using the Black-Scholes Option Pricing Model and the assumptions indicated in Note 13, </w:t>
      </w:r>
      <w:r>
        <w:rPr>
          <w:rFonts w:ascii="Times New Roman" w:cs="Times New Roman" w:eastAsia="Times New Roman" w:hAnsi="Times New Roman"/>
          <w:sz w:val="16"/>
          <w:szCs w:val="16"/>
          <w:i w:val="1"/>
          <w:iCs w:val="1"/>
          <w:color w:val="auto"/>
        </w:rPr>
        <w:t>Stock Option Plans and 401(k) Plan</w:t>
      </w:r>
      <w:r>
        <w:rPr>
          <w:rFonts w:ascii="Times New Roman" w:cs="Times New Roman" w:eastAsia="Times New Roman" w:hAnsi="Times New Roman"/>
          <w:sz w:val="16"/>
          <w:szCs w:val="16"/>
          <w:color w:val="auto"/>
        </w:rPr>
        <w:t>, to the accompanying Consolidated Financial Statements in Item 8 of this Report, of the September 2015 grant of immediately vested and expensed warrants to purchase 500,000 shares of our common stock granted to our CEO, CFO, independent members of our Board of Directors and certain consultants. Stock compensation expense in Fiscal 2017 reflects the ratable amortization of option grants made to our CEO, CFO, independent members of our Board of Directors and administrative staff and consultants, in November 2016, June 2016 (CEO, CFO and independent Board members only) and September 2015, as well as to our VP-Corporate Development upon the commencement of his employment in September 2016. Our stock options are generally amortized over a two-year to four-year vesting period. A substantial number of the option grants made in or prior to our fiscal year ended March 31, 2014 became fully-vested and were fully-expensed by March 31, 2017.</w:t>
      </w:r>
    </w:p>
    <w:p>
      <w:pPr>
        <w:spacing w:after="0" w:line="166"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Board fees includes fees recognized for the services of independent members of our Board of Directors. We added an additional independent director, Dr. Jerry Gin, to our Board in March 2016.</w:t>
      </w:r>
    </w:p>
    <w:p>
      <w:pPr>
        <w:spacing w:after="0" w:line="1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Legal, accounting and other professional fees in Fiscal 2017 and Fiscal 2016 includes $337,500 and $1.0 million, respectively, of non-cash expense recognized pursuant to the June 2015 grant of an aggregate of 90,000 shares of our Series B Preferred having an aggregate fair value at the time of issuance of $1.4 million as compensation for financial advisory and corporate development service contracts with two independent service providers for services performed between July 2015 and June 2016. During Fiscal 2017, in addition to the expense noted above attributable to the June 2015 Series B Preferred grant, we granted an aggregate of 25,000 unregistered shares of our common stock having a fair value at the date of issuance of $108,500 to a legal services provider as partial compensation for services and an aggregate of 320,000 unregistered shares of our common stock having a fair value at the date of issuance of $1.1 million as partial compensation for financial advisory, investment banking and business development services. During Fiscal 2016, in addition to the expense noted above attributable to the June 2015 Series B Preferred grant, we also granted (i) an aggregate of 50,000 shares of our common stock having an aggregate fair value of $500,000 pursuant to two corporate development contracts initiated during the first quarter of Fiscal 2016; (ii) 25,000 shares of our Series B Preferred having a fair value of $250,000 to legal counsel as compensation for services in connection with our debt restructuring and other corporate finance matters, and (iii) 15,750 shares of our unregistered common stock and a five-year warrant to purchase 7,500 unregistered shares of our common stock having an aggregate fair value of $138,000 in connection with investment banking services. In both years, professional services expense also includes cash payments for routine legal fees and expenses and the expense related to the annual audit of the prior year financial statements, preparation of the prior year income tax returns, and quarterly reviews of current year financial statements.</w:t>
      </w:r>
    </w:p>
    <w:p>
      <w:pPr>
        <w:spacing w:after="0" w:line="199"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6"/>
          <w:szCs w:val="16"/>
          <w:color w:val="auto"/>
        </w:rPr>
        <w:t>Investor relations expense includes the fees of our external service providers for a significantly expanded broad spectrum of institutional investor relations and public market awareness and support functions and, particularly during Fiscal 2017, initiatives that included numerous meetings in multiple U.S. markets and other communication activities focused on expanding public market awareness of the Company, including among investment professionals and investment advisors, and individual and institutional investors. During Fiscal 2017, in addition to cash fees and expenses we incurred, we granted an aggregate of 160,000 unregistered shares of our common stock to six investor relations and market awareness service providers as full or partial compensation for their services and recognized non-cash expense of $472,800, representing the fair value of the stock at the time of issuance. We also granted three-year, immediately exercisable warrants to purchase an aggregate of 75,000 shares of our unregistered common stock at exercise prices ranging from $4.50 per share to $6.00 per share to three investor relations service providers and recognized non-cash expense of $172,300 representing the fair value of the warrants at the time of issuance.</w:t>
      </w:r>
    </w:p>
    <w:p>
      <w:pPr>
        <w:spacing w:after="0" w:line="16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 both periods, travel expense reflects costs associated with presentations to and meetings in numerous U.S. markets with existing and potential investors and investment professionals and advisors, media and securities analysts, as well as various investor relations, market awareness and business development initiatives, in Fiscal 2017 by our CEO, CMO and VP, Corporate Development.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59" w:name="page60"/>
    <w:bookmarkEnd w:id="59"/>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Between January 2016 and December 2016, we entered into various warrant exchange agreements with certain warrant holders pursuant to which those holders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exchanged outstanding warrants to purchase shares of our common stock for a lesser number of unregistered shares of our common stock. In both periods,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accounted for these transactions as warrant modifications. Between April 2016 and December 2016, certain warrant holders agreed to exchange an aggregate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224,513 shares of our common stock for an aggregate of 156,246 shares of our unregistered common stock, resulting in our recognition of an aggregate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$350,700 in noncash expense attributable to the increase in fair value related to Fiscal 2017 warrant exchanges. Further, in December 2016, we modified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warrant to reduce the exercise price from $8.00 per share to $3.51 per share and increase the number of shares exercisable under the warrant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 shares to 50,000 shares, recognizing $76,900 in expense as the incremental fair value attributable to the modification. Noncash warrant modification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in Fiscal 2016 includes (i) $122,000 representing the increase in the fair value attributable to the June 2015 modification of outstanding warrants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an aggregate of 54,576 shares of our common stock to reduce the exercise prices thereof, generally from $30.00 per share to $10.00 per share;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$358,000 representing the increase in the fair value attributable to the November 2015 modification of outstanding warrants to purchase an aggregate of 808,553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of our common stock previously granted to our CEO, CFO, and independent members of our Board of Directors to reduce the exercise prices thereof from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range of $9.25 to $12.80 per share to $7.00 per share; and (iii) $5.6 million representing the aggregate increase in the fair value of certain warrant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transactions conducted during the fourth quarter of Fiscal 2016. In January 2016, we entered into an Exchange Agreement with PLTG pursuant to which PLTG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exchanged warrants, including all outstanding PLTG Warrants and the shares issuable pursuant to the Series A Preferred Exchange Warrant, to purchase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aggregate of 2,824,016 shares of our common stock for 2,118,012 unregistered shares of our Series C Convertible Preferred Stock (</w:t>
      </w:r>
      <w:r>
        <w:rPr>
          <w:rFonts w:ascii="Times New Roman" w:cs="Times New Roman" w:eastAsia="Times New Roman" w:hAnsi="Times New Roman"/>
          <w:sz w:val="16"/>
          <w:szCs w:val="16"/>
          <w:i w:val="1"/>
          <w:iCs w:val="1"/>
          <w:color w:val="auto"/>
        </w:rPr>
        <w:t>Series C Preferred</w:t>
      </w:r>
      <w:r>
        <w:rPr>
          <w:rFonts w:ascii="Times New Roman" w:cs="Times New Roman" w:eastAsia="Times New Roman" w:hAnsi="Times New Roman"/>
          <w:sz w:val="16"/>
          <w:szCs w:val="16"/>
          <w:color w:val="auto"/>
        </w:rPr>
        <w:t>) at the ratio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0.75 share of Series C Preferred for each warrant share cancelled. We recognized related noncash warrant modification expense of $3.2 million. In February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March 2016, we entered into similar agreements with certain other warrant holders pursuant to which such warrant holders exchanged outstanding warrants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purchase an aggregate of 1,086,611 shares of our common stock for an aggregate of 814,989 shares of our unregistered common stock. We recognized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$2.4 million in non-cash warrant modification expense. In February 2016, we also extended the term of certain outstanding warrants to purchase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of 91,230 shares of our common stock and recognized $46,000 of non-cash expense as a result of such modifications.</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and Other Expenses, Net</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Interest expense, net, totaled $4,600 for Fiscal 2017, a significant decrease compared to the $770,800 reported for Fiscal 2016, resulting from the extinguishment of substantially all of our promissory notes, as well as other indebtedness, having an aggregate carrying value at the time of extinguishment of approximately $15.9 million, between May 2015 and August 2015 by conversion into our shares of our Series B Preferred at a conversion price of $7.00 per share or cash repayment and the related elimination of note interest and discount amortization. The following table summarizes the primary components of interest expense for each of the periods (amounts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1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Fiscal Years Ended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March 31,</w:t>
            </w:r>
          </w:p>
        </w:tc>
        <w:tc>
          <w:tcPr>
            <w:tcW w:w="3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promissory notes</w:t>
            </w:r>
          </w:p>
        </w:tc>
        <w:tc>
          <w:tcPr>
            <w:tcW w:w="80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discount on promissory notes</w:t>
            </w:r>
          </w:p>
        </w:tc>
        <w:tc>
          <w:tcPr>
            <w:tcW w:w="8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interest expense, including on capital leases and premium financing</w:t>
            </w:r>
          </w:p>
        </w:tc>
        <w:tc>
          <w:tcPr>
            <w:tcW w:w="8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interest expense</w:t>
            </w:r>
          </w:p>
        </w:tc>
        <w:tc>
          <w:tcPr>
            <w:tcW w:w="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fluctuations on notes payable</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Interest expense on promissory notes in Fiscal 2017 represents only the interest accrued on our promissory note to Progressive Medical Research prior to its repayment in June 2016. The substantial overall decrease in interest expense on promissory notes and the related amortization of discounts on such notes between the periods reflects the cessation of interest accrual and discount amortization upon the extinguishment and conversion of all outstanding Senior Secured Convertible Notes, certain 10% convertible notes (</w:t>
      </w:r>
      <w:r>
        <w:rPr>
          <w:rFonts w:ascii="Times New Roman" w:cs="Times New Roman" w:eastAsia="Times New Roman" w:hAnsi="Times New Roman"/>
          <w:sz w:val="18"/>
          <w:szCs w:val="18"/>
          <w:i w:val="1"/>
          <w:iCs w:val="1"/>
          <w:color w:val="auto"/>
        </w:rPr>
        <w:t>2014 Unit Notes</w:t>
      </w:r>
      <w:r>
        <w:rPr>
          <w:rFonts w:ascii="Times New Roman" w:cs="Times New Roman" w:eastAsia="Times New Roman" w:hAnsi="Times New Roman"/>
          <w:sz w:val="18"/>
          <w:szCs w:val="18"/>
          <w:color w:val="auto"/>
        </w:rPr>
        <w:t>) and other outstanding promissory notes into shares of our Series B Preferred between May 2015 and August 2015.</w:t>
      </w:r>
    </w:p>
    <w:p>
      <w:pPr>
        <w:spacing w:after="0" w:line="19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Under the terms of our October 2012 Note Exchange and Purchase Agreement with PLTG, we issued certain Senior Secured Convertible Promissory Notes and a related Exchange Warrant and Investment Warrants between October 2012 and July 2013. Upon PLTG’s exchange of the shares of our Series A Preferred Stock held by PLTG into shares of our common stock, we were also required to issue a Series A Exchange Warrant to PLTG. We determined that the various warrants included certain exercise price resets and other adjustment features requiring us to treat the warrants as liabilities. Accordingly, we recorded a noncash warrant liability at its estimated fair value as of the date of warrant issuance or contract execution. In May 2015, we entered into an agreement with PLTG pursuant to which we amended the various warrants and fixed the exercise price thereof and eliminated the anti-dilution reset features that had previously required the warrants to be treated as liabilities and carried at fair value. Accordingly, during the first quarter of Fiscal 2016, we adjusted these warrants to their fair value, reflecting an increase in the fair value in the amount of $1.9 million since March 31, 2015, resulting primarily from the increase in the market price of our common stock in relation to the exercise price of the warrants, and then subsequently eliminated the entire warrant liability with respect to these warrants. In January 2016, the PLTG warrants were cancelled and exchanged for shares of our Series C Preferred stock.</w:t>
      </w:r>
    </w:p>
    <w:p>
      <w:pPr>
        <w:sectPr>
          <w:pgSz w:w="11900" w:h="16838" w:orient="portrait"/>
          <w:cols w:equalWidth="0" w:num="1">
            <w:col w:w="11420"/>
          </w:cols>
          <w:pgMar w:left="240" w:top="1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60" w:name="page61"/>
    <w:bookmarkEnd w:id="60"/>
    <w:p>
      <w:pPr>
        <w:spacing w:after="0" w:line="99"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Between May 2015 and August 2015 we extinguished outstanding promissory notes and other indebtedness having a carrying value of approximately $15.9 million, including our Senior Secured Convertible Notes, our 2014 Unit Notes and other debt and certain adjustments thereto that were either already due and payable or would have otherwise matured prior to March 31, 2016 by converting such balances into shares of our Series B Preferred at a conversion price (the stated value of the Series B Preferred issued) of $7.00 per share. We treated the conversion of the indebtedness into Series B Preferred as extinguishments of debt for accounting purposes. Since the fair value of the Series B Preferred we negotiated in settlement of the promissory notes and other indebtedness exceeded the carrying value of the debts, we incurred non-recurring noncash losses on each of the extinguishments. Additionally, under the terms of our May 2015 agreement with PLTG in which PLTG agreed to, among other things, convert the Senior Secured Notes and certain other of our convertible promissory notes into Series B Preferred, we issued to PLTG 400,000 shares of Series B Preferred having an aggregate fair value of $4.0 million and Series B Warrants to purchase 1,200,000 shares of our common stock having an aggregate of fair value of $8,270,900. We recognized this aggregate fair value as a further non-recurring noncash component of loss on extinguishment of debt. Many of the 2014 Unit Notes that were converted into Series B Preferred contained a beneficial conversion feature at the time they were originally issued. We accounted for the repurchase of the beneficial conversion feature at the time the 2014 Unit Notes were extinguished and converted, an aggregate of $2.2 million, as a reduction to the loss on extinguishment of debt. We recorded an aggregate net non-recurring non-cash loss of approximately $26.7 million attributable to the extinguishment of substantially all of our indebtedness as a result of the conversion of such indebtedness into shares of our Series B Preferred at a conversion price (stated value) of $7.00 per share.</w:t>
      </w:r>
    </w:p>
    <w:p>
      <w:pPr>
        <w:spacing w:after="0" w:line="19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We allocated the proceeds from self-placed private placement sales of Series B Preferred Units to the Series B Preferred and the Series B Warrants based on their relative fair values on the dates of the sales. The difference between the relative fair value per share of the Series B Preferred, approximately $4.20 per share and $4.13 per share for Fiscal 2017 and Fiscal 2016, respectively, and its conversion price (or stated value) of $7.00 per share represented a deemed dividend to the purchasers of the Series B Preferred Units. Accordingly, we recognized a deemed dividend in the aggregate amount of $111,100 and $2,058,000 in arriving at net loss attributable to common stockholders for Fiscal 2017 and Fiscal 2016 in the accompanying Consolidated Statement of Operations and Comprehensive Loss included in Item 8 of this Annual Report. Further, we recognized $1.3 million and $2.1 million for Fiscal 2017 and Fiscal 2016, respectively, representing the 10% cumulative dividend payable on our Series B Preferred as an additional deduction in arriving at net loss attributable to common stockholders in the accompanying Consolidated Statement of Operations and Comprehensive Loss, included in this Annual Report. The reduction in the dividend accrual results from the automatic conversion of an aggregate of 2,403,051 shares of Series B Preferred upon our completion of the May 2016 Public Offering and a subsequent voluntary conversion of 87,500 shares of our Series B Preferred in August 2016, as disclosed in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to the accompanying Consolidated Financial Statements in Item 8 of this Annual Report.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Three Months Ended September 30, 2017 and 2016</w:t>
      </w:r>
    </w:p>
    <w:p>
      <w:pPr>
        <w:spacing w:after="0" w:line="227"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results of our operations, including both cash and noncash components, for the three months ended September 30, 2017 and 2016 (amounts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(4,997)</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Accrued dividend on Series B Preferred Stock</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Deemed dividend on Series B Preferred Stock</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(5,253)</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reported no revenue for the quarters ended September 30, 2017 or 2016 and we presently have no recurring revenue generating arrangements with respect to AV-101 or other potential product candidates. While we may potentially receive future milestone payments and royalties under the BlueRock Agreement upon achievement of certain performance-based milestones and commercial sales. However, there can be no assurance that the BlueRock Agreement will provide additional revenue to us in the near term or at all.</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16"/>
          <w:szCs w:val="16"/>
          <w:color w:val="auto"/>
        </w:rPr>
        <w:t>Research and development expense, including both cash and noncash components, totaled $2.4 million for the quarter ended September 30, 2017, an increase of approximately 51% compared to the $1.6 million reported for the quarter ended September 30, 2016. Noncash expenses, including stock compensation, depreciation and a portion of rent expense in both periods and a portion of AV-101 project expenses in the quarter ended September 30, 2017, totaled approximately $592,000 and $83,000 in the quarters ended September 30, 2017 and 2016, respectively. The increase in research and development expense in 2017 reflects our continued focus on nonclinical and clinical development of AV-101, particularly our preparations for the launch of the AV-101 MDD Phase 2</w:t>
      </w:r>
    </w:p>
    <w:p>
      <w:pPr>
        <w:sectPr>
          <w:pgSz w:w="11900" w:h="16937" w:orient="portrait"/>
          <w:cols w:equalWidth="0" w:num="1">
            <w:col w:w="11420"/>
          </w:cols>
          <w:pgMar w:left="240" w:top="123" w:right="239" w:bottom="0" w:gutter="0" w:footer="0" w:header="0"/>
        </w:sectPr>
      </w:pPr>
    </w:p>
    <w:bookmarkStart w:id="61" w:name="page62"/>
    <w:bookmarkEnd w:id="61"/>
    <w:p>
      <w:pPr>
        <w:spacing w:after="0" w:line="62"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Adjunctive Treatment Study, which is currently anticipated in the first quarter of 2018, subject to securing additional financing. The following table indicates the primary components of research and development expense for each of the periods (amounts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6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and other professional services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Technology licenses and royalties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Project-related research and supplies: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AV-101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Stem cell and all 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salaries and benefits expense reflects the impact of salary increases granted to our Chief Medical Officer (</w:t>
      </w:r>
      <w:r>
        <w:rPr>
          <w:rFonts w:ascii="Times New Roman" w:cs="Times New Roman" w:eastAsia="Times New Roman" w:hAnsi="Times New Roman"/>
          <w:sz w:val="18"/>
          <w:szCs w:val="18"/>
          <w:i w:val="1"/>
          <w:iCs w:val="1"/>
          <w:color w:val="auto"/>
        </w:rPr>
        <w:t>CMO</w:t>
      </w:r>
      <w:r>
        <w:rPr>
          <w:rFonts w:ascii="Times New Roman" w:cs="Times New Roman" w:eastAsia="Times New Roman" w:hAnsi="Times New Roman"/>
          <w:sz w:val="18"/>
          <w:szCs w:val="18"/>
          <w:color w:val="auto"/>
        </w:rPr>
        <w:t>) and Chief Scientific Officer</w:t>
      </w:r>
    </w:p>
    <w:p>
      <w:pPr>
        <w:spacing w:after="0" w:line="23" w:lineRule="exact"/>
        <w:rPr>
          <w:sz w:val="20"/>
          <w:szCs w:val="20"/>
          <w:color w:val="auto"/>
        </w:rPr>
      </w:pPr>
    </w:p>
    <w:p>
      <w:pPr>
        <w:jc w:val="both"/>
        <w:ind w:right="40"/>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CSO</w:t>
      </w:r>
      <w:r>
        <w:rPr>
          <w:rFonts w:ascii="Times New Roman" w:cs="Times New Roman" w:eastAsia="Times New Roman" w:hAnsi="Times New Roman"/>
          <w:sz w:val="16"/>
          <w:szCs w:val="16"/>
          <w:color w:val="auto"/>
        </w:rPr>
        <w:t>) in July 2017 and to the non-officer members of our scientific staff in June 2017. Additionally, our then-newly-hired CMO did not receive a bonus payment in July 2016; however, both our CMO and CSO were granted a bonus in September 2017. The full amount of each officer’s 2017 bonus was accrued at the time it was granted, but only 25% of the total amount was paid by September 30, 2017, with the remaining balance to be paid ratably through March 31, 2018.</w:t>
      </w:r>
    </w:p>
    <w:p>
      <w:pPr>
        <w:spacing w:after="0" w:line="15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Noncash stock based compensation expense increased in the current period primarily from the routine amortization of option grants made to our CSO, CMO and scientific staff in September 2017, April 2017 and November 2016, which grants, in the aggregate, account for approximately $105,000 of 2017 expense. Expense attributable to these grants is being amortized over two-year to four-year vesting periods, based on the terms of the respective grants. Substantially all option grants made prior to September 2015 were fully-vested and fully-expensed prior to June 30, 2017.</w:t>
      </w:r>
    </w:p>
    <w:p>
      <w:pPr>
        <w:spacing w:after="0" w:line="19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Consulting services reflects fees paid or accrued for scientific, nonclinical and clinical development and regulatory advisory services rendered to us by third-parties, primarily by members of our scientific and CNS clinical and regulatory advisory boards. The reduction in expense in the current period primarily reflects the change in terms of consulting agreements with our stem cell-related scientific advisory board members.</w:t>
      </w:r>
    </w:p>
    <w:p>
      <w:pPr>
        <w:spacing w:after="0" w:line="186"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Technology license expense reflects both recurring annual fees as well as legal counsel and other costs related to patent prosecution and protection pursuant to our stem cell technology license agreements or that we have elected to pursue for commercial purposes. We recognize these costs as they are invoiced to us by the licensors or counsel and they do not occur ratably throughout the year or between years. In both periods, this expense includes legal counsel and other costs we have incurred to advance pending patent applications in the U.S. and numerous foreign countries with respect to AV-101 and our stem cell technology platform.</w:t>
      </w:r>
    </w:p>
    <w:p>
      <w:pPr>
        <w:spacing w:after="0" w:line="15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AV-101 project expense for the quarter ended September 30, 2017 includes continuing costs incurred to develop more efficient and cost-effective proprietary manufacturing methods for AV-101, and to produce clinical trial material for the AV-101 MDD Phase 2 Adjunctive Treatment Study, as well as costs incurred for certain other nonclinical studies to facilitate further clinical development of AV-101 in MDD and potentially for other indications, and to comply with applicable FDA regulations. Stem cell and other project related expenses reflects costs associated with our in-house stem cell technology-related initiatives, and, in 2016, our participation in the FDA’s Comprehensive In Vitro Proarrhythmia Assay (</w:t>
      </w:r>
      <w:r>
        <w:rPr>
          <w:rFonts w:ascii="Times New Roman" w:cs="Times New Roman" w:eastAsia="Times New Roman" w:hAnsi="Times New Roman"/>
          <w:sz w:val="18"/>
          <w:szCs w:val="18"/>
          <w:i w:val="1"/>
          <w:iCs w:val="1"/>
          <w:color w:val="auto"/>
        </w:rPr>
        <w:t>CiPA</w:t>
      </w:r>
      <w:r>
        <w:rPr>
          <w:rFonts w:ascii="Times New Roman" w:cs="Times New Roman" w:eastAsia="Times New Roman" w:hAnsi="Times New Roman"/>
          <w:sz w:val="18"/>
          <w:szCs w:val="18"/>
          <w:color w:val="auto"/>
        </w:rPr>
        <w:t>) project.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The increase in rent expense for the quarter ended September 30, 2017 reflects higher commercial property rents prevalent in the South San Francisco real estate market and recognized in our November 2016 lease amendment extending the lease of our headquarters facilities in South San Francisco by five years from July 31, 2017 to July 31, 2022 and the related accounting for the extension amendment.</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 including both cash and noncash components, increased by 72% to approximately $2.6 million from $1.5 million for the quarters ended September 30, 2017 and 2016, respectively. Noncash expense aggregated approximately $1,494,000 and $579,000 for the quarters ended September 30, 2017 and 2016, respectively, including, in both periods, stock compensation expense, a portion of investor relations and investment banking expenses, warrant modification expense, and a portion of rent expense. The overall increase in general and administrative expenses resulted primarily from increased professional services expenses, including noncash expense attributable to the grant of common stock for services, noncash warrant modification expense and, to a lesser extent, salary and benefits and noncash stock compensation expenses. The following table indicates the primary components of general and administrative expenses, including the cash and noncash components, for each of the periods (amounts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6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fees</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Legal, accounting and other professional fees</w:t>
            </w: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8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Rent and utilities</w:t>
            </w:r>
          </w:p>
        </w:tc>
        <w:tc>
          <w:tcPr>
            <w:tcW w:w="7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modification expense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All other expenses</w:t>
            </w: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increase in salaries and benefits primarily reflects the impact of the hiring of our Vice President of Corporate Development </w:t>
      </w:r>
      <w:r>
        <w:rPr>
          <w:rFonts w:ascii="Times New Roman" w:cs="Times New Roman" w:eastAsia="Times New Roman" w:hAnsi="Times New Roman"/>
          <w:sz w:val="18"/>
          <w:szCs w:val="18"/>
          <w:i w:val="1"/>
          <w:iCs w:val="1"/>
          <w:color w:val="auto"/>
        </w:rPr>
        <w:t>(VP-Corporate Development</w:t>
      </w:r>
      <w:r>
        <w:rPr>
          <w:rFonts w:ascii="Times New Roman" w:cs="Times New Roman" w:eastAsia="Times New Roman" w:hAnsi="Times New Roman"/>
          <w:sz w:val="18"/>
          <w:szCs w:val="18"/>
          <w:color w:val="auto"/>
        </w:rPr>
        <w:t>) in September 2016 and salary increases granted in July 2017 to our Chief Executive Officer (</w:t>
      </w:r>
      <w:r>
        <w:rPr>
          <w:rFonts w:ascii="Times New Roman" w:cs="Times New Roman" w:eastAsia="Times New Roman" w:hAnsi="Times New Roman"/>
          <w:sz w:val="18"/>
          <w:szCs w:val="18"/>
          <w:i w:val="1"/>
          <w:iCs w:val="1"/>
          <w:color w:val="auto"/>
        </w:rPr>
        <w:t>CEO</w:t>
      </w:r>
      <w:r>
        <w:rPr>
          <w:rFonts w:ascii="Times New Roman" w:cs="Times New Roman" w:eastAsia="Times New Roman" w:hAnsi="Times New Roman"/>
          <w:sz w:val="18"/>
          <w:szCs w:val="18"/>
          <w:color w:val="auto"/>
        </w:rPr>
        <w:t>), Chief Financial Officer (</w:t>
      </w:r>
      <w:r>
        <w:rPr>
          <w:rFonts w:ascii="Times New Roman" w:cs="Times New Roman" w:eastAsia="Times New Roman" w:hAnsi="Times New Roman"/>
          <w:sz w:val="18"/>
          <w:szCs w:val="18"/>
          <w:i w:val="1"/>
          <w:iCs w:val="1"/>
          <w:color w:val="auto"/>
        </w:rPr>
        <w:t>CFO</w:t>
      </w:r>
      <w:r>
        <w:rPr>
          <w:rFonts w:ascii="Times New Roman" w:cs="Times New Roman" w:eastAsia="Times New Roman" w:hAnsi="Times New Roman"/>
          <w:sz w:val="18"/>
          <w:szCs w:val="18"/>
          <w:color w:val="auto"/>
        </w:rPr>
        <w:t>), and VP-Corporate Development and, in June 2017, to a non-officer member of our administrative staff. Additionally, each of our officers was granted a bonus in September 2017, but our VP-Corporate Development had not yet joined the Company in July 2016, when our CEO and CFO received a bonus payment. The full amount of each officer’s 2017 bonus was accrued at the time it was granted, but only 25% of the total amount was paid by September 30, 2017, with the remaining balance to be paid ratably through March 31, 2018.</w:t>
      </w:r>
    </w:p>
    <w:p>
      <w:pPr>
        <w:spacing w:after="0" w:line="19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Stock based compensation expense increased in the current period primarily as a result of the routine amortization of option grants to independent members of our Board and our CEO, CFO and administrative staff in September 2017, April 2017 and November 2016, plus the new-hire grant made to our VP-Corporate Development in September 2016, which grants account for approximately $117,000 of 2017 expense. Expense attributable to these grants is being amortized over a two-year to four-year vesting period, based on the terms of the respective grants. Substantially all option grants made prior to September 2015 were fully-vested and fully-expensed prior to June 30, 2017.</w:t>
      </w:r>
    </w:p>
    <w:p>
      <w:pPr>
        <w:spacing w:after="0" w:line="193"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Board fees includes fees recognized for the services of independent members of our Board. The Board modified committee assignments effective in April 2017, resulting in the slight increase in expense.</w:t>
      </w:r>
    </w:p>
    <w:p>
      <w:pPr>
        <w:spacing w:after="0" w:line="17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Legal, accounting and other professional fees for the quarters ended September 30, 2017 and 2016 includes cash expense related to routine legal services as well as accounting expense related to the review of the financial statements for the second quarter of each fiscal year. In the quarter ended September 30, 2017, additionally, we granted an aggregate of 20,000 unregistered shares of our common stock having an aggregate fair value of $30,800 to legal services providers as compensation for services and an aggregate of 150,000 unregistered shares of our common stock having an aggregate fair value of $234,000 to two investment banking firms pursuant to financial advisory agreements. In the quarter ended September 30, 2016, we granted an aggregate of 25,000 unregistered shares of our common stock having a fair value of $108,500 to a legal services provider as compensation for services.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Investor relations expense includes the fees of our various external service providers for a broad spectrum of investor relations, market awareness and strategic advisory and support functions, as well as initiatives that included numerous meetings in multiple U.S. markets and other communication activities focused on expanding market awareness of the Company, including among registered investment professionals and investment advisors, and individual and institutional investors. In the quarter ended September 30, 2017, in addition to cash fees and expenses we incurred, we granted an aggregate of 457,000 unregistered shares of our common stock to various corporate development, investor relations, market awareness and strategic business advisory service providers for their services and recognized noncash expense of $713,300, representing the fair value of the stock at the time of issuance. In the quarter ended September 30, 2016, we granted an aggregate of 25,000 unregistered shares of our common stock having a fair value at the time of issuance of $108,500 to an investor relations service provider as compensation for services.</w:t>
      </w:r>
    </w:p>
    <w:p>
      <w:pPr>
        <w:spacing w:after="0" w:line="192"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8"/>
          <w:szCs w:val="18"/>
          <w:color w:val="auto"/>
        </w:rPr>
        <w:t>In both periods, travel expense reflects costs associated with management presentations to and meetings in multiple U.S. markets with existing and potential individual and institutional investors, investment professionals and advisors, media, and securities analysts, as well as various investor relations, market awareness and corporate development initiatives.</w:t>
      </w:r>
    </w:p>
    <w:p>
      <w:pPr>
        <w:spacing w:after="0" w:line="186"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The increase in rent expense for the quarter ended September 30, 2017 reflects higher commercial property rents prevalent in the local real estate market and recognized in our November 2016 lease amendment extending the lease of our headquarters facilities by five years from July 31, 2017 to July 31, 2022 and the related accounting for the extension amendment.</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September 2017, we reduced the exercise price of 247,500 warrants issued in the Spring 2017 Private Placement from a weighted average exercise price of $3.99 per share to $2.00 per share. We also issued to each of the Spring 2017 Private Placement investors additional warrants to purchase an aggregate total of 247,501 shares of common stock, with an exercise price of $2.00 per share. We recognized noncash expense of $279,700 in the quarter ended September 30, 2017 representing the increase in fair value of the warrants granted initially before and after the modification and the fair value of the additional warrants granted. In August 2016, we entered into warrant exchange agreements with certain warrant holders pursuant to which the warrant holders exchanged outstanding warrants to purchase an aggregate of 20,000 shares of our common stock for an aggregate of 15,000 shares of our unregistered common stock. As we had with similar prior transactions, we accounted for these transactions as warrant modifications, resulting in our recognition of $17,100 in noncash expense in the quarter ended September 30, 2016.</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and Other Expenses</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Interest expense totaled $3,300 for the quarter ended September 30, 2017 compared to $1,400 reported for the quarter ended September 30, 2016. Interest expense in both periods relates to interest paid on insurance premium financing and on a capital lease of office equipment.</w:t>
      </w:r>
    </w:p>
    <w:p>
      <w:pPr>
        <w:spacing w:after="0" w:line="17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recognized $256,300 and $241,000 for the quarters ended September 30, 2017 and 2016, respectively, representing the 10% cumulative dividend payable on our Series B Preferred as an additional deduction in arriving at net loss attributable to common stockholders in the accompanying Condensed Consolidated Statement of Operations and Comprehensive Loss included in Part I of this Report. There have been no conversions of outstanding shares of our Series B Preferred stock into shares of our common stock since August 2016.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Six Months Ended September 30, 2017 and 2016</w:t>
      </w:r>
    </w:p>
    <w:p>
      <w:pPr>
        <w:spacing w:after="0" w:line="227"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results of our operations, including both cash and noncash components, for the six months ended September 30, 2017 and 2016 (amounts in thousands).</w:t>
      </w:r>
    </w:p>
    <w:p>
      <w:pPr>
        <w:spacing w:after="0" w:line="172"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8"/>
          <w:szCs w:val="18"/>
          <w:b w:val="1"/>
          <w:bCs w:val="1"/>
          <w:color w:val="auto"/>
        </w:rPr>
        <w:t>Six Months Ended September</w:t>
      </w:r>
    </w:p>
    <w:p>
      <w:pPr>
        <w:spacing w:after="0" w:line="23"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43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4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(7,262)</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Accrued dividend on Series B Preferred Stock</w:t>
            </w:r>
          </w:p>
        </w:tc>
        <w:tc>
          <w:tcPr>
            <w:tcW w:w="4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Deemed dividend on Series B Preferred Stock</w:t>
            </w: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3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(7,766)</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(5,960)</w:t>
            </w:r>
          </w:p>
        </w:tc>
        <w:tc>
          <w:tcPr>
            <w:tcW w:w="0" w:type="dxa"/>
            <w:vAlign w:val="bottom"/>
          </w:tcPr>
          <w:p>
            <w:pPr>
              <w:spacing w:after="0"/>
              <w:rPr>
                <w:sz w:val="1"/>
                <w:szCs w:val="1"/>
                <w:color w:val="auto"/>
              </w:rPr>
            </w:pPr>
          </w:p>
        </w:tc>
      </w:tr>
      <w:tr>
        <w:trPr>
          <w:trHeight w:val="865"/>
        </w:trPr>
        <w:tc>
          <w:tcPr>
            <w:tcW w:w="20" w:type="dxa"/>
            <w:vAlign w:val="bottom"/>
          </w:tcPr>
          <w:p>
            <w:pPr>
              <w:spacing w:after="0"/>
              <w:rPr>
                <w:sz w:val="24"/>
                <w:szCs w:val="24"/>
                <w:color w:val="auto"/>
              </w:rPr>
            </w:pPr>
          </w:p>
        </w:tc>
        <w:tc>
          <w:tcPr>
            <w:tcW w:w="4440" w:type="dxa"/>
            <w:vAlign w:val="bottom"/>
            <w:tcBorders>
              <w:top w:val="single" w:sz="8" w:color="CCEEFF"/>
              <w:bottom w:val="single" w:sz="8" w:color="auto"/>
            </w:tcBorders>
          </w:tcPr>
          <w:p>
            <w:pPr>
              <w:spacing w:after="0"/>
              <w:rPr>
                <w:sz w:val="24"/>
                <w:szCs w:val="24"/>
                <w:color w:val="auto"/>
              </w:rPr>
            </w:pPr>
          </w:p>
        </w:tc>
        <w:tc>
          <w:tcPr>
            <w:tcW w:w="4360" w:type="dxa"/>
            <w:vAlign w:val="bottom"/>
            <w:tcBorders>
              <w:top w:val="single" w:sz="8" w:color="CCEEFF"/>
              <w:bottom w:val="single" w:sz="8" w:color="auto"/>
            </w:tcBorders>
          </w:tcPr>
          <w:p>
            <w:pPr>
              <w:jc w:val="right"/>
              <w:ind w:right="2872"/>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reported no revenue for the six-month periods ended September 30, 2017 or 2016 and we presently have no recurring revenue generating arrangements with respect to AV-101 or other potential product candidates. While we may potentially receive future milestone payments and royalties under the BlueRock Agreement upon the achievement of certain performance-based milestones and commercial sales, there can be no assurance that the BlueRock Agreement will provide additional revenue to us in the near term or at all.</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6"/>
          <w:szCs w:val="16"/>
          <w:color w:val="auto"/>
        </w:rPr>
        <w:t>Research and development expense, including both cash and noncash components, totaled $3.5 million for the six months ended September 30, 2017, an increase of approximately 45% compared to the $2.4 million reported for the six months ended September 30, 2016. Noncash expenses totaled approximately $843,000 and $131,000 in the six months ended September 30, 2017 and 2016, respectively, including stock compensation, depreciation and a portion of rent expense in both periods, and a portion of AV-101 project expenses in the six months ended September 30, 2017. The increase in research and development expense in 2017 reflects our continued focus on nonclinical and clinical development of AV-101, particularly our preparations for the launch of the AV-101 MDD Phase 2 Adjunctive Treatment Study, which is currently anticipated in the first quarter of 2018, subject to securing additional financing. The following table indicates the primary cash and noncash components of research and development expense for each of the periods (amounts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Six Months Ended September</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and other professional services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Technology licenses and royalties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Project-related research and supplies: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AV-101</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Stem cell and all other</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increase in salaries and benefits reflects the hiring of our Chief Medical Officer (</w:t>
      </w:r>
      <w:r>
        <w:rPr>
          <w:rFonts w:ascii="Times New Roman" w:cs="Times New Roman" w:eastAsia="Times New Roman" w:hAnsi="Times New Roman"/>
          <w:sz w:val="18"/>
          <w:szCs w:val="18"/>
          <w:i w:val="1"/>
          <w:iCs w:val="1"/>
          <w:color w:val="auto"/>
        </w:rPr>
        <w:t>CMO</w:t>
      </w:r>
      <w:r>
        <w:rPr>
          <w:rFonts w:ascii="Times New Roman" w:cs="Times New Roman" w:eastAsia="Times New Roman" w:hAnsi="Times New Roman"/>
          <w:sz w:val="18"/>
          <w:szCs w:val="18"/>
          <w:color w:val="auto"/>
        </w:rPr>
        <w:t>) in June 2016, and salary increases granted to our CMO in July 2017, to our Chief Scientific Officer (</w:t>
      </w:r>
      <w:r>
        <w:rPr>
          <w:rFonts w:ascii="Times New Roman" w:cs="Times New Roman" w:eastAsia="Times New Roman" w:hAnsi="Times New Roman"/>
          <w:sz w:val="18"/>
          <w:szCs w:val="18"/>
          <w:i w:val="1"/>
          <w:iCs w:val="1"/>
          <w:color w:val="auto"/>
        </w:rPr>
        <w:t>CSO</w:t>
      </w:r>
      <w:r>
        <w:rPr>
          <w:rFonts w:ascii="Times New Roman" w:cs="Times New Roman" w:eastAsia="Times New Roman" w:hAnsi="Times New Roman"/>
          <w:sz w:val="18"/>
          <w:szCs w:val="18"/>
          <w:color w:val="auto"/>
        </w:rPr>
        <w:t>) and to the non-officer members of our scientific staff in June 2016 and June 2017. Additionally, our then-newly-hired CMO did not receive a bonus payment in July 2016; however, both our CMO and CSO were granted a bonus in September 2017. The full amount of each officer’s September 2017 bonus was accrued at the time it was granted, but only 25% of the total amount was paid by September 30, 2017, with the remaining balance to be paid ratably through March 31, 2018.</w:t>
      </w:r>
    </w:p>
    <w:p>
      <w:pPr>
        <w:spacing w:after="0" w:line="190"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6"/>
          <w:szCs w:val="16"/>
          <w:color w:val="auto"/>
        </w:rPr>
        <w:t>Stock based compensation expense increased in the current period primarily as a result of the routine amortization of option grants made to our CSO, CMO and scientific staff in September 2017, April 2017 and November 2016, plus the new-hire grant made to our CMO in June 2016, which grants account for approximately $193,000 of 2017 expense. The expense attributable to these grants is being amortized over a two-year to four-year vesting period, based on the terms of the respective grants. Substantially all option grants made prior to September 2015 were fully-vested and fully-expensed prior to June 30, 2017.</w:t>
      </w:r>
    </w:p>
    <w:p>
      <w:pPr>
        <w:spacing w:after="0" w:line="15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Consulting services reflects fees paid or accrued for scientific, nonclinical and clinical development and regulatory advisory services rendered to us by third-parties, primarily by members of our scientific and CNS clinical and regulatory advisory boards. The reduction in expense in 2017 primarily reflects the change in terms of consulting agreements with our stem cell-related scientific advisory board members.</w:t>
      </w:r>
    </w:p>
    <w:p>
      <w:pPr>
        <w:sectPr>
          <w:pgSz w:w="11900" w:h="16838" w:orient="portrait"/>
          <w:cols w:equalWidth="0" w:num="1">
            <w:col w:w="11420"/>
          </w:cols>
          <w:pgMar w:left="240" w:top="123" w:right="239" w:bottom="47" w:gutter="0" w:footer="0" w:header="0"/>
        </w:sectPr>
      </w:pPr>
    </w:p>
    <w:bookmarkStart w:id="64" w:name="page65"/>
    <w:bookmarkEnd w:id="64"/>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Technology license expense reflects both recurring annual fees as well as legal counsel and other costs related to patent prosecution and protection pursuant to our stem cell technology license agreements or that we have elected to pursue for commercial purposes. We recognize these costs as they are invoiced to us by the licensors or counsel and they do not occur ratably throughout the year or between years. In both periods, but to a greater extent in 2016, this expense includes legal counsel and other costs we have incurred to advance numerous pending patent applications in the U.S. and various foreign countries with respect to AV-101 and our stem cell technology platform.</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AV-101 project expense for both periods includes continuing costs incurred to develop more efficient and cost-effective proprietary manufacturing methods for AV-101, and to produce clinical trial material enabling the AV-101 MDD Phase 2 Adjunctive Treatment Study, and, primarily in 2017, costs incurred for certain other nonclinical studies to facilitate further clinical development of AV-101 in MDD and potentially for other indications and to comply with applicable FDA regulations. Stem cell and other project related expenses reflects costs associated with our in-house stem cell technology-related initiatives, and, in 2016, our participation in the FDA’s Comprehensive In Vitro Proarrhythmia Assay (</w:t>
      </w:r>
      <w:r>
        <w:rPr>
          <w:rFonts w:ascii="Times New Roman" w:cs="Times New Roman" w:eastAsia="Times New Roman" w:hAnsi="Times New Roman"/>
          <w:sz w:val="18"/>
          <w:szCs w:val="18"/>
          <w:i w:val="1"/>
          <w:iCs w:val="1"/>
          <w:color w:val="auto"/>
        </w:rPr>
        <w:t>CiPA</w:t>
      </w:r>
      <w:r>
        <w:rPr>
          <w:rFonts w:ascii="Times New Roman" w:cs="Times New Roman" w:eastAsia="Times New Roman" w:hAnsi="Times New Roman"/>
          <w:sz w:val="18"/>
          <w:szCs w:val="18"/>
          <w:color w:val="auto"/>
        </w:rPr>
        <w:t>) project.</w:t>
      </w:r>
    </w:p>
    <w:p>
      <w:pPr>
        <w:spacing w:after="0" w:line="19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The increase in rent expense for 2017 reflects higher commercial property rents prevalent in the South San Francisco real estate market and recognized in our November 2016 lease amendment extending the lease of our headquarters facilities in South San Francisco by five years, from July 31, 2017 to July 31, 2022, and the related accounting for the extension amendment.</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 including both cash and noncash components, increased approximately 42% to $3.7 million for the six months ended September 30, 2017 from $2.6 million for the six months ended September 30, 2016. Noncash expense aggregated approximately $1.7 million and $1.0 million for the six months ended September 30, 2017 and 2016, respectively, including, in both periods, stock compensation expense, a portion of investor relations and investment banking expenses, warrant modification expense, and a portion of rent expense. The overall increase in general and administrative expenses was primarily attributable to increased salary and benefits expense and noncash stock compensation, professional services and warrant modification expenses. The following table indicates the primary components of general and administrative expenses, including noncash components, for each of the periods (amounts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Six Months Ended September</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fees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Legal, accounting and other professional fees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Rent and utilities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modification expense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All other expenses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The increase in salaries and benefits reflects the impact of the hiring of our Vice President of Corporate Development </w:t>
      </w:r>
      <w:r>
        <w:rPr>
          <w:rFonts w:ascii="Times New Roman" w:cs="Times New Roman" w:eastAsia="Times New Roman" w:hAnsi="Times New Roman"/>
          <w:sz w:val="18"/>
          <w:szCs w:val="18"/>
          <w:i w:val="1"/>
          <w:iCs w:val="1"/>
          <w:color w:val="auto"/>
        </w:rPr>
        <w:t>(VP-Corporate Development</w:t>
      </w:r>
      <w:r>
        <w:rPr>
          <w:rFonts w:ascii="Times New Roman" w:cs="Times New Roman" w:eastAsia="Times New Roman" w:hAnsi="Times New Roman"/>
          <w:sz w:val="18"/>
          <w:szCs w:val="18"/>
          <w:color w:val="auto"/>
        </w:rPr>
        <w:t>) in September 2016 and salary increases granted in June 2016 and July 2017 to our Chief Executive Officer (</w:t>
      </w:r>
      <w:r>
        <w:rPr>
          <w:rFonts w:ascii="Times New Roman" w:cs="Times New Roman" w:eastAsia="Times New Roman" w:hAnsi="Times New Roman"/>
          <w:sz w:val="18"/>
          <w:szCs w:val="18"/>
          <w:i w:val="1"/>
          <w:iCs w:val="1"/>
          <w:color w:val="auto"/>
        </w:rPr>
        <w:t>CEO</w:t>
      </w:r>
      <w:r>
        <w:rPr>
          <w:rFonts w:ascii="Times New Roman" w:cs="Times New Roman" w:eastAsia="Times New Roman" w:hAnsi="Times New Roman"/>
          <w:sz w:val="18"/>
          <w:szCs w:val="18"/>
          <w:color w:val="auto"/>
        </w:rPr>
        <w:t>) and Chief Financial Officer (</w:t>
      </w:r>
      <w:r>
        <w:rPr>
          <w:rFonts w:ascii="Times New Roman" w:cs="Times New Roman" w:eastAsia="Times New Roman" w:hAnsi="Times New Roman"/>
          <w:sz w:val="18"/>
          <w:szCs w:val="18"/>
          <w:i w:val="1"/>
          <w:iCs w:val="1"/>
          <w:color w:val="auto"/>
        </w:rPr>
        <w:t>CFO</w:t>
      </w:r>
      <w:r>
        <w:rPr>
          <w:rFonts w:ascii="Times New Roman" w:cs="Times New Roman" w:eastAsia="Times New Roman" w:hAnsi="Times New Roman"/>
          <w:sz w:val="18"/>
          <w:szCs w:val="18"/>
          <w:color w:val="auto"/>
        </w:rPr>
        <w:t>), and in June 2016 and June 2017 to a non-officer member of our administrative staff. Additionally, each of our officers was granted a bonus in September 2017, but our VP-Corporate Development had not yet joined the Company in July 2016, when our CEO and CFO received a bonus payment. The full amount of each officer’s 2017 bonus was accrued at the time it was granted, but only 25% of the total amount was paid by September 30, 2017, with the remaining balance to be paid ratably through March 31, 2018.</w:t>
      </w:r>
    </w:p>
    <w:p>
      <w:pPr>
        <w:spacing w:after="0" w:line="19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Stock based compensation expense increased in the current period primarily as a result of the routine amortization of option grants to independent members of our Board of Directors and our CEO, CFO and administrative staff in September 2017, April 2017 and November 2016, plus the new-hire grant made to our VP-Corporate Development in September 2016 in September 2016, which grants account for approximately $232,000 of 2017 expense. The expense attributable to these grants is being amortized over a two-year to four-year vesting period based on the terms of the respective grants. Substantially all option grants made prior to September 2015 were fully-vested and fully-expensed prior to June 30, 2017.</w:t>
      </w:r>
    </w:p>
    <w:p>
      <w:pPr>
        <w:spacing w:after="0" w:line="193"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Board fees includes fees recognized for the services of independent members of our Board. The Board modified committee assignments effective in April 2017, resulting in the slight increase in expense.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Legal, accounting and other professional fees for the six months ended September 30, 2017 and 2016 includes expense related to routine legal services as well as the accounting expense related to the annual audit of the prior year’s financial statements and the review of the financial statements for the first and second quarters of the current fiscal year. In addition to cash fees incurred, during the six months ended September 30, 2017, we granted an aggregate of 20,000 unregistered shares of our common stock having an aggregate fair value of $30,800 to legal services providers as compensation for services and an aggregate of 150,000 unregistered shares of our common stock having an aggregate fair value of $234,000 to two investment banking firms pursuant to financial advisory agreements. Noncash expense for the six months ended September 30, 2016 included approximately $338,000 recognized in the quarter ended June 30, 2016 pursuant to the June 30, 2015 grant of an aggregate of 90,000 shares of our Series B 10% convertible preferred stock having an aggregate fair value of $1,350,000</w:t>
      </w:r>
    </w:p>
    <w:p>
      <w:pPr>
        <w:sectPr>
          <w:pgSz w:w="11900" w:h="16932" w:orient="portrait"/>
          <w:cols w:equalWidth="0" w:num="1">
            <w:col w:w="11420"/>
          </w:cols>
          <w:pgMar w:left="240" w:top="125" w:right="239" w:bottom="0" w:gutter="0" w:footer="0" w:header="0"/>
        </w:sectPr>
      </w:pPr>
    </w:p>
    <w:bookmarkStart w:id="65" w:name="page66"/>
    <w:bookmarkEnd w:id="65"/>
    <w:p>
      <w:pPr>
        <w:jc w:val="both"/>
        <w:spacing w:after="0" w:line="262" w:lineRule="auto"/>
        <w:rPr>
          <w:sz w:val="20"/>
          <w:szCs w:val="20"/>
          <w:color w:val="auto"/>
        </w:rPr>
      </w:pPr>
      <w:r>
        <w:rPr>
          <w:rFonts w:ascii="Times New Roman" w:cs="Times New Roman" w:eastAsia="Times New Roman" w:hAnsi="Times New Roman"/>
          <w:sz w:val="18"/>
          <w:szCs w:val="18"/>
          <w:color w:val="auto"/>
        </w:rPr>
        <w:t>as compensation for financial advisory and corporate development service contracts with two independent providers for services to be performed through June 30, 2016 and $108,500 recognized in the quarter ended September 30, 2016 representing the fair value of 25,000 unregistered shares of our common stock granted to a legal services provider as compensation for services.</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Investor relations expense includes the fees of our various external service providers for a broad spectrum of investor relations, market awareness and strategic advisory and support functions, as well as initiatives that included numerous meetings in multiple U.S. markets and other communication activities focused on expanding market awareness of the Company, including among registered investment professionals and investment advisors, and individual and institutional investors. In the six months ended September 30, 2017, in addition to cash fees and expenses we incurred, in the quarter ended June 30, 2017,we granted 25,000 unregistered shares of our common stock to an investor relations and awareness service provider as partial compensation for its services and recognized noncash expense of approximately $50,000 representing the fair value of the stock at the time of issuance; additionally, in the quarter ended September 30, 2017, we granted an aggregate of 457,000 unregistered shares of our common stock to various corporate development, investor relations, market awareness and business advisory service providers as compensation for their services and recognized noncash expense of $713,300, representing the fair value of the stock at the time of issuance. In the six months ended September 30, 2016, we granted an aggregate of 25,000 unregistered shares of our common stock having a fair value at the time of issuance of $108,500 to an investor relations service provider as compensation for its services.</w:t>
      </w:r>
    </w:p>
    <w:p>
      <w:pPr>
        <w:spacing w:after="0" w:line="195"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8"/>
          <w:szCs w:val="18"/>
          <w:color w:val="auto"/>
        </w:rPr>
        <w:t>In both periods, travel expense reflects costs associated with management presentations to and meetings in multiple U.S. markets with existing and potential individual and institutional investors, investment professionals and advisors, media, and securities analysts, as well as various investor relations, market awareness and corporate development initiatives.</w:t>
      </w:r>
    </w:p>
    <w:p>
      <w:pPr>
        <w:spacing w:after="0" w:line="18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The increase in rent expense for 2017 reflects higher commercial property rents prevalent in the South San Francisco real estate market and recognized in our November 2016 lease amendment extending the lease of our headquarters facilities in South San Francisco by five years, from July 31, 2017 to July 31, 2022, and the related accounting for the extension amendment.</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September 2017, we reduced the exercise price of 247,500 warrants issued in the Spring 2017 Private Placement from a weighted average exercise price of $3.99 per share to $2.00 per share. We also issued to each of the Spring 2017 Private Placement investors additional warrants to purchase an aggregate total of 247,501 shares of common stock, with an exercise price of $2.00 per share. We recognized noncash expense of $279,700 in the six months ended September 30, 2017, representing the increase in fair value of the warrants granted initially before and after the modification and the fair value of the additional warrants granted. Between April 2016 and August 2016, we entered into warrant exchange agreements with certain warrant holders pursuant to which the warrant holders exchanged outstanding warrants to purchase an aggregate of 61,649 shares of our common stock for an aggregate of 46,238 shares of our unregistered common stock. As with similar prior transactions, we accounted for these transactions as warrant modifications, resulting in our recognition of an aggregate of $57,400 in noncash expense during the six-month period ended September 30, 2016.</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and Other Expenses.</w:t>
      </w:r>
    </w:p>
    <w:p>
      <w:pPr>
        <w:spacing w:after="0" w:line="227"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Interest expense totaled $5,700 for the six months ended September 30, 2017 compared to $2,800 reported for the six months ended September 30, 2016. Interest expense in both periods relates to interest paid on insurance premium financing and on a capital lease of office equipment.</w:t>
      </w:r>
    </w:p>
    <w:p>
      <w:pPr>
        <w:spacing w:after="0" w:line="17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recognized $503,600 and $780,800 for the six months ended September 30, 2017 and 2016, respectively, representing the 10% cumulative noncash dividend payable on our Series B Preferred as an additional deduction in arriving at net loss attributable to common stockholders in the accompanying Condensed Consolidated Statement of Operations and Comprehensive Loss included in Part I of this Report. The reduction in the dividend accrual results from the automatic conversion of an aggregate of 2,403,051 shares of Series B Preferred into an equal number of shares of our common stock upon our completion of our May 2016 public offering of shares of our common stock and warrants, and a subsequent voluntary conversion of 87,500 shares of our Series B Preferred in August 2016. There have been no conversions of outstanding shares of Series B Preferred into common shares since August 2016.</w:t>
      </w:r>
    </w:p>
    <w:p>
      <w:pPr>
        <w:spacing w:after="0" w:line="19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During the quarter ended June 30, 2016, we allocated the proceeds from our self-placed private placement sales of Series B Preferred Units to the Series B Preferred stock and the Series B Warrants based on their relative fair values on the dates of the sales. The difference between the relative fair value per share of the Series B Preferred, approximately $4.20 per share, and its Conversion Price (or stated value) of $7.00 per share represented a deemed dividend to the purchasers of the Series B Preferred Units. Accordingly, we recognized a deemed dividend in the aggregate amount of $111,100 in arriving at net loss attributable to common stockholders for the six months ended September 30, 2016 in the accompanying Condensed Consolidated Statement of Operations and Comprehensive Loss included in Part I of this Report.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consider certain accounting policies related to revenue recognition, impairment of long-lived assets, research and development, stock-based compensation, warrant liability and income taxes to be critical accounting policies that require the use of significant judgments and estimates relating to matters that are inherently uncertain and may result in materially different results under different assumptions and conditions. The preparation of financial statements in conformity with United States generally accepted accounting principles (</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requires us to make estimates and assumptions that affect the amounts reported in the financial statements and accompanying notes to the consolidated financial statements. These estimates include useful lives for property and equipment and related depreciation calculations, and assumptions for valuing options, warrants and other stock-based compensation. Our actual results could differ from these estimates.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16"/>
          <w:szCs w:val="16"/>
          <w:color w:val="auto"/>
        </w:rPr>
        <w:t xml:space="preserve">We have historically generated revenue principally from collaborative research and development arrangements, licensing and technology access fees and government grants. We recognize revenue under the provisions of the SEC issued Staff Accounting Bulletin 104, Topic 13, </w:t>
      </w:r>
      <w:r>
        <w:rPr>
          <w:rFonts w:ascii="Times New Roman" w:cs="Times New Roman" w:eastAsia="Times New Roman" w:hAnsi="Times New Roman"/>
          <w:sz w:val="16"/>
          <w:szCs w:val="16"/>
          <w:i w:val="1"/>
          <w:iCs w:val="1"/>
          <w:color w:val="auto"/>
        </w:rPr>
        <w:t>Revenue Recognition Revised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Updated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SAB 104</w:t>
      </w:r>
      <w:r>
        <w:rPr>
          <w:rFonts w:ascii="Times New Roman" w:cs="Times New Roman" w:eastAsia="Times New Roman" w:hAnsi="Times New Roman"/>
          <w:sz w:val="16"/>
          <w:szCs w:val="16"/>
          <w:color w:val="auto"/>
        </w:rPr>
        <w:t>) and Accounting Standards Codification (</w:t>
      </w:r>
      <w:r>
        <w:rPr>
          <w:rFonts w:ascii="Times New Roman" w:cs="Times New Roman" w:eastAsia="Times New Roman" w:hAnsi="Times New Roman"/>
          <w:sz w:val="16"/>
          <w:szCs w:val="16"/>
          <w:i w:val="1"/>
          <w:iCs w:val="1"/>
          <w:color w:val="auto"/>
        </w:rPr>
        <w:t>ASC</w:t>
      </w:r>
      <w:r>
        <w:rPr>
          <w:rFonts w:ascii="Times New Roman" w:cs="Times New Roman" w:eastAsia="Times New Roman" w:hAnsi="Times New Roman"/>
          <w:sz w:val="16"/>
          <w:szCs w:val="16"/>
          <w:color w:val="auto"/>
        </w:rPr>
        <w:t>) 605-25,</w:t>
      </w:r>
      <w:r>
        <w:rPr>
          <w:rFonts w:ascii="Times New Roman" w:cs="Times New Roman" w:eastAsia="Times New Roman" w:hAnsi="Times New Roman"/>
          <w:sz w:val="16"/>
          <w:szCs w:val="16"/>
          <w:i w:val="1"/>
          <w:iCs w:val="1"/>
          <w:color w:val="auto"/>
        </w:rPr>
        <w:t xml:space="preserve"> Revenue Arrangements-Multiple Element Arrangements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ASC 605-25</w:t>
      </w:r>
      <w:r>
        <w:rPr>
          <w:rFonts w:ascii="Times New Roman" w:cs="Times New Roman" w:eastAsia="Times New Roman" w:hAnsi="Times New Roman"/>
          <w:sz w:val="16"/>
          <w:szCs w:val="16"/>
          <w:color w:val="auto"/>
        </w:rPr>
        <w:t>). Revenue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arrangements not having multiple deliverables, as outlined in ASC 605-25, is recognized once costs are incurred and collectability is reasonably assured.</w:t>
      </w:r>
    </w:p>
    <w:p>
      <w:pPr>
        <w:spacing w:after="0" w:line="157" w:lineRule="exact"/>
        <w:rPr>
          <w:sz w:val="20"/>
          <w:szCs w:val="20"/>
          <w:color w:val="auto"/>
        </w:rPr>
      </w:pPr>
    </w:p>
    <w:p>
      <w:pPr>
        <w:ind w:right="320"/>
        <w:spacing w:after="0" w:line="339" w:lineRule="auto"/>
        <w:rPr>
          <w:sz w:val="20"/>
          <w:szCs w:val="20"/>
          <w:color w:val="auto"/>
        </w:rPr>
      </w:pPr>
      <w:r>
        <w:rPr>
          <w:rFonts w:ascii="Times New Roman" w:cs="Times New Roman" w:eastAsia="Times New Roman" w:hAnsi="Times New Roman"/>
          <w:sz w:val="16"/>
          <w:szCs w:val="16"/>
          <w:color w:val="auto"/>
        </w:rPr>
        <w:t>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w:t>
      </w:r>
    </w:p>
    <w:p>
      <w:pPr>
        <w:sectPr>
          <w:pgSz w:w="11900" w:h="16838" w:orient="portrait"/>
          <w:cols w:equalWidth="0" w:num="1">
            <w:col w:w="11420"/>
          </w:cols>
          <w:pgMar w:left="240" w:top="125" w:right="239" w:bottom="0" w:gutter="0" w:footer="0" w:header="0"/>
        </w:sectPr>
      </w:pPr>
    </w:p>
    <w:bookmarkStart w:id="66" w:name="page67"/>
    <w:bookmarkEnd w:id="66"/>
    <w:p>
      <w:pPr>
        <w:jc w:val="both"/>
        <w:ind w:right="340"/>
        <w:spacing w:after="0" w:line="342" w:lineRule="auto"/>
        <w:rPr>
          <w:sz w:val="20"/>
          <w:szCs w:val="20"/>
          <w:color w:val="auto"/>
        </w:rPr>
      </w:pPr>
      <w:r>
        <w:rPr>
          <w:rFonts w:ascii="Times New Roman" w:cs="Times New Roman" w:eastAsia="Times New Roman" w:hAnsi="Times New Roman"/>
          <w:sz w:val="16"/>
          <w:szCs w:val="16"/>
          <w:color w:val="auto"/>
        </w:rPr>
        <w:t xml:space="preserve">prices. The selling price for each unit is based on vendor-specific objective evidence, or </w:t>
      </w:r>
      <w:r>
        <w:rPr>
          <w:rFonts w:ascii="Times New Roman" w:cs="Times New Roman" w:eastAsia="Times New Roman" w:hAnsi="Times New Roman"/>
          <w:sz w:val="16"/>
          <w:szCs w:val="16"/>
          <w:i w:val="1"/>
          <w:iCs w:val="1"/>
          <w:color w:val="auto"/>
        </w:rPr>
        <w:t>VSOE</w:t>
      </w:r>
      <w:r>
        <w:rPr>
          <w:rFonts w:ascii="Times New Roman" w:cs="Times New Roman" w:eastAsia="Times New Roman" w:hAnsi="Times New Roman"/>
          <w:sz w:val="16"/>
          <w:szCs w:val="16"/>
          <w:color w:val="auto"/>
        </w:rPr>
        <w:t>, if available, third party evidence if VSOE is not available, or estimated selling price if neither VSOE nor third party evidence is available. The applicable revenue recognition criteria are then applied to each of the units.</w:t>
      </w:r>
    </w:p>
    <w:p>
      <w:pPr>
        <w:spacing w:after="0" w:line="126" w:lineRule="exact"/>
        <w:rPr>
          <w:sz w:val="20"/>
          <w:szCs w:val="20"/>
          <w:color w:val="auto"/>
        </w:rPr>
      </w:pPr>
    </w:p>
    <w:p>
      <w:pPr>
        <w:jc w:val="both"/>
        <w:ind w:right="460"/>
        <w:spacing w:after="0" w:line="262" w:lineRule="auto"/>
        <w:rPr>
          <w:sz w:val="20"/>
          <w:szCs w:val="20"/>
          <w:color w:val="auto"/>
        </w:rPr>
      </w:pPr>
      <w:r>
        <w:rPr>
          <w:rFonts w:ascii="Times New Roman" w:cs="Times New Roman" w:eastAsia="Times New Roman" w:hAnsi="Times New Roman"/>
          <w:sz w:val="18"/>
          <w:szCs w:val="18"/>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86" w:lineRule="exact"/>
        <w:rPr>
          <w:sz w:val="20"/>
          <w:szCs w:val="20"/>
          <w:color w:val="auto"/>
        </w:rPr>
      </w:pPr>
    </w:p>
    <w:p>
      <w:pPr>
        <w:jc w:val="both"/>
        <w:ind w:left="660" w:hanging="328"/>
        <w:spacing w:after="0" w:line="288" w:lineRule="auto"/>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Collaborative arrangements typically consist of non-refundable and/or exclusive technology access fees, cost reimbursements for specific research and development spending, and various future product development milestone and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389" w:lineRule="exact"/>
        <w:rPr>
          <w:rFonts w:ascii="Times New Roman" w:cs="Times New Roman" w:eastAsia="Times New Roman" w:hAnsi="Times New Roman"/>
          <w:sz w:val="16"/>
          <w:szCs w:val="16"/>
          <w:color w:val="auto"/>
        </w:rPr>
      </w:pPr>
    </w:p>
    <w:p>
      <w:pPr>
        <w:jc w:val="both"/>
        <w:ind w:left="660" w:hanging="328"/>
        <w:spacing w:after="0" w:line="258"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190"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grant awards, which support our research efforts on specific projects, generally provide for reimbursement of approved costs as defined in the terms of grant awards. We recognize grant revenue when associated project costs are incurred.</w:t>
      </w:r>
    </w:p>
    <w:p>
      <w:pPr>
        <w:spacing w:after="0" w:line="17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The Financial Accounting Standards Board (the </w:t>
      </w:r>
      <w:r>
        <w:rPr>
          <w:rFonts w:ascii="Times New Roman" w:cs="Times New Roman" w:eastAsia="Times New Roman" w:hAnsi="Times New Roman"/>
          <w:sz w:val="18"/>
          <w:szCs w:val="18"/>
          <w:i w:val="1"/>
          <w:iCs w:val="1"/>
          <w:color w:val="auto"/>
        </w:rPr>
        <w:t>FASB</w:t>
      </w:r>
      <w:r>
        <w:rPr>
          <w:rFonts w:ascii="Times New Roman" w:cs="Times New Roman" w:eastAsia="Times New Roman" w:hAnsi="Times New Roman"/>
          <w:sz w:val="18"/>
          <w:szCs w:val="18"/>
          <w:color w:val="auto"/>
        </w:rPr>
        <w:t>) has recently issued new guidance regarding revenue recognition. This new guidance will be effective for our fiscal year beginning April 1, 2018, with earlier adoption permitted. We have completed our initial assessment of the new guidance and will be developing an implementation plan to evaluate the accounting and disclosure requirements under the new guidance. Based on our assessment to date, we do not believe that adoption of the new guidance will have a material impact on our consolidated financial statements. We have not yet finalized our transition method for adoption of the new guidance.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5"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auto"/>
        </w:rPr>
        <w:t>In accordance with ASC 360-10</w:t>
      </w:r>
      <w:r>
        <w:rPr>
          <w:rFonts w:ascii="Times New Roman" w:cs="Times New Roman" w:eastAsia="Times New Roman" w:hAnsi="Times New Roman"/>
          <w:sz w:val="16"/>
          <w:szCs w:val="16"/>
          <w:i w:val="1"/>
          <w:iCs w:val="1"/>
          <w:color w:val="auto"/>
        </w:rPr>
        <w:t>, Property, Plant &amp; Equipment—Overall</w:t>
      </w:r>
      <w:r>
        <w:rPr>
          <w:rFonts w:ascii="Times New Roman" w:cs="Times New Roman" w:eastAsia="Times New Roman" w:hAnsi="Times New Roman"/>
          <w:sz w:val="16"/>
          <w:szCs w:val="16"/>
          <w:color w:val="auto"/>
        </w:rPr>
        <w:t>, we review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Consolidated Statements of Operations and Comprehensive Loss.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manufacturing and nonclinical and clinical development of AV-101, our oral CNS prodrug candidate in Phase 2 clinical development for MDD, and, from-time-to-time, sponsored stem cell research and development, as well as costs related to the application and prosecution of patents related to AV-101 and our stem cell technology platform. All such costs are charged to expense as incurred.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6"/>
          <w:szCs w:val="16"/>
          <w:color w:val="auto"/>
        </w:rPr>
        <w:t>We recognize non-cash compensation expense for all stock-based awards to employees based on the grant date fair value of the award. We record this expense over the period during which the employee is required to perform services in exchange for the award, which generally represents the scheduled vesting</w:t>
      </w:r>
    </w:p>
    <w:p>
      <w:pPr>
        <w:spacing w:after="0" w:line="1" w:lineRule="exact"/>
        <w:rPr>
          <w:sz w:val="20"/>
          <w:szCs w:val="20"/>
          <w:color w:val="auto"/>
        </w:rPr>
      </w:pPr>
    </w:p>
    <w:p>
      <w:pPr>
        <w:ind w:right="60"/>
        <w:spacing w:after="0" w:line="323" w:lineRule="auto"/>
        <w:rPr>
          <w:sz w:val="20"/>
          <w:szCs w:val="20"/>
          <w:color w:val="auto"/>
        </w:rPr>
      </w:pPr>
      <w:r>
        <w:rPr>
          <w:rFonts w:ascii="Times New Roman" w:cs="Times New Roman" w:eastAsia="Times New Roman" w:hAnsi="Times New Roman"/>
          <w:sz w:val="16"/>
          <w:szCs w:val="16"/>
          <w:color w:val="auto"/>
        </w:rPr>
        <w:t>period. We have granted no restricted stock awards nor do we have any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67" w:name="page68"/>
    <w:bookmarkEnd w:id="67"/>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use the Black-Scholes option pricing model to estimate the fair value of stock-based awards as of the grant date. The Black-Scholes model is complex and dependent upon key data input estimates. The primary data inputs with the greatest degree of judgment are the expected term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to estimate the expected term as an input into the Black-Scholes option pricing model. We determine expected volatility using the historical method, which, because of the limited period during which our stock has been publicly traded and its historically limited trading volume, is based on the historical daily trading data of the common stock of a peer group of public companies over the expected term of the option.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Liability.</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Although we did not have a warrant liability at March 31, 2017 or 2016, in conjunction with certain Senior Secured Convertible Promissory Notes that we issued to Platinum Long Term Growth VII, LLC (</w:t>
      </w:r>
      <w:r>
        <w:rPr>
          <w:rFonts w:ascii="Times New Roman" w:cs="Times New Roman" w:eastAsia="Times New Roman" w:hAnsi="Times New Roman"/>
          <w:sz w:val="18"/>
          <w:szCs w:val="18"/>
          <w:i w:val="1"/>
          <w:iCs w:val="1"/>
          <w:color w:val="auto"/>
        </w:rPr>
        <w:t>PLTG</w:t>
      </w:r>
      <w:r>
        <w:rPr>
          <w:rFonts w:ascii="Times New Roman" w:cs="Times New Roman" w:eastAsia="Times New Roman" w:hAnsi="Times New Roman"/>
          <w:sz w:val="18"/>
          <w:szCs w:val="18"/>
          <w:color w:val="auto"/>
        </w:rPr>
        <w:t xml:space="preserve">) between October 2012 and July 2013 and the related warrants, and the contingently issuable Series A Exchange Warrant (collectively, the </w:t>
      </w:r>
      <w:r>
        <w:rPr>
          <w:rFonts w:ascii="Times New Roman" w:cs="Times New Roman" w:eastAsia="Times New Roman" w:hAnsi="Times New Roman"/>
          <w:sz w:val="18"/>
          <w:szCs w:val="18"/>
          <w:i w:val="1"/>
          <w:iCs w:val="1"/>
          <w:color w:val="auto"/>
        </w:rPr>
        <w:t>PLTG Warrants</w:t>
      </w:r>
      <w:r>
        <w:rPr>
          <w:rFonts w:ascii="Times New Roman" w:cs="Times New Roman" w:eastAsia="Times New Roman" w:hAnsi="Times New Roman"/>
          <w:sz w:val="18"/>
          <w:szCs w:val="18"/>
          <w:color w:val="auto"/>
        </w:rPr>
        <w:t>), we determined that the PLTG Warrants included certain exercise price and other adjustment features requiring them to be treated as non-cash liabilities. Accordingly, the PLTG Warrants were recorded at their issuance-date estimated fair values and marked to market at each subsequent reporting period, recording the change in the fair value as non-cash expense or non-cash income. The key component in determining the fair value of the PLTG Warrants and the related liability was the market price of our common stock, which is subject to significant fluctuation and is not under our control. The resulting change in the fair value of the warrant liability on our net income or loss was therefore also subject to significant fluctuation and would have continued to be so until all of the PLTG Warrants were issued and exercised, amended, cancelled or expired. Assuming all other fair value inputs remained generally constant, we recorded an increase in the warrant liability and non-cash losses when our stock price increased and a decrease in the warrant liability and non-cash income when our stock price decreased.</w:t>
      </w:r>
    </w:p>
    <w:p>
      <w:pPr>
        <w:spacing w:after="0" w:line="19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foregoing, on May 12, 2015, we entered into an agreement with PLTG pursuant to which we (i) fixed the exercise price of the PLTG Warrants at $7.00 per share, (ii) eliminated the exercise price reset features and (iii) fixed the number of shares of our common stock issuable thereunder. This agreement and the related amendments to the PLTG Warrants resulted in the elimination of the warrant liability with respect to the PLTG Warrants during the quarter ending June 30, 2015. As further described in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to the Consolidated Financial Statements for the years ended March 31, 2017 and 2016 elsewhere in this Prospectus, the PLTG Warrants, including the right to receive the Series A Exchange Warrant, were cancelled in exchange for our issuance of shares of our Series C Preferred stock to PLTG in January 2016.</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account for income taxes using the asset and liability approach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We believe the following recent accounting pronouncements or changes in accounting pronouncements are of significance or potential significance to the Company.</w:t>
      </w:r>
    </w:p>
    <w:p>
      <w:pPr>
        <w:spacing w:after="0" w:line="172"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 xml:space="preserve">In May 2014, the Financial Accounting Standards Board (the </w:t>
      </w:r>
      <w:r>
        <w:rPr>
          <w:rFonts w:ascii="Times New Roman" w:cs="Times New Roman" w:eastAsia="Times New Roman" w:hAnsi="Times New Roman"/>
          <w:sz w:val="16"/>
          <w:szCs w:val="16"/>
          <w:i w:val="1"/>
          <w:iCs w:val="1"/>
          <w:color w:val="auto"/>
        </w:rPr>
        <w:t>FASB</w:t>
      </w:r>
      <w:r>
        <w:rPr>
          <w:rFonts w:ascii="Times New Roman" w:cs="Times New Roman" w:eastAsia="Times New Roman" w:hAnsi="Times New Roman"/>
          <w:sz w:val="16"/>
          <w:szCs w:val="16"/>
          <w:color w:val="auto"/>
        </w:rPr>
        <w:t xml:space="preserve">) issued ASU No. 2014-09,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standard creates a five-step model that requires entities to exercise judgment when considering the recognition of revenue, including (1) identifying the contract(s) with the customer, (2) identifying the separate performance obligations in the contract, (3) determining the transaction price, (4) allocating the transaction price to the separate performance obligations, and (5) recognizing revenue as each performance obligation is satisfied. The standard also requires additional disclosure about the nature, amount, timing and uncertainty of revenue and cash flows arising from customer contracts, including qualitative and quantitative information about contracts with customers, significant judgments and changes in judgments and assets recognized with respect to costs incurred to obtain or fulfill a contract. The FASB has continued to issue accounting standards updates to clarify and provide implementation guidance related to Revenue from Contracts with Customers, including ASU 2016-08</w:t>
      </w:r>
      <w:r>
        <w:rPr>
          <w:rFonts w:ascii="Times New Roman" w:cs="Times New Roman" w:eastAsia="Times New Roman" w:hAnsi="Times New Roman"/>
          <w:sz w:val="16"/>
          <w:szCs w:val="16"/>
          <w:i w:val="1"/>
          <w:iCs w:val="1"/>
          <w:color w:val="auto"/>
        </w:rPr>
        <w:t>, Revenue from Contract with Customers: Principal versus Agent Considerations</w:t>
      </w:r>
      <w:r>
        <w:rPr>
          <w:rFonts w:ascii="Times New Roman" w:cs="Times New Roman" w:eastAsia="Times New Roman" w:hAnsi="Times New Roman"/>
          <w:sz w:val="16"/>
          <w:szCs w:val="16"/>
          <w:color w:val="auto"/>
        </w:rPr>
        <w:t xml:space="preserve">, ASU 2016-10, </w:t>
      </w:r>
      <w:r>
        <w:rPr>
          <w:rFonts w:ascii="Times New Roman" w:cs="Times New Roman" w:eastAsia="Times New Roman" w:hAnsi="Times New Roman"/>
          <w:sz w:val="16"/>
          <w:szCs w:val="16"/>
          <w:i w:val="1"/>
          <w:iCs w:val="1"/>
          <w:color w:val="auto"/>
        </w:rPr>
        <w:t>Revenue from Contracts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with Customers: Identifying Performance Obligations and Licensing</w:t>
      </w:r>
      <w:r>
        <w:rPr>
          <w:rFonts w:ascii="Times New Roman" w:cs="Times New Roman" w:eastAsia="Times New Roman" w:hAnsi="Times New Roman"/>
          <w:sz w:val="16"/>
          <w:szCs w:val="16"/>
          <w:color w:val="auto"/>
        </w:rPr>
        <w:t>, and ASU 2016-12,</w:t>
      </w:r>
      <w:r>
        <w:rPr>
          <w:rFonts w:ascii="Times New Roman" w:cs="Times New Roman" w:eastAsia="Times New Roman" w:hAnsi="Times New Roman"/>
          <w:sz w:val="16"/>
          <w:szCs w:val="16"/>
          <w:i w:val="1"/>
          <w:iCs w:val="1"/>
          <w:color w:val="auto"/>
        </w:rPr>
        <w:t xml:space="preserve"> Revenue from Contracts with Customers: Narrow-Scope Improvements and Practical Expedients. </w:t>
      </w:r>
      <w:r>
        <w:rPr>
          <w:rFonts w:ascii="Times New Roman" w:cs="Times New Roman" w:eastAsia="Times New Roman" w:hAnsi="Times New Roman"/>
          <w:sz w:val="16"/>
          <w:szCs w:val="16"/>
          <w:color w:val="auto"/>
        </w:rPr>
        <w:t>These amendments address a number of areas, including a company’s identification of its performance obligations in a contract,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collectability, non-cash consideration, presentation of sales tax and a company’s evaluation of the nature of its promise to grant a license of intellectual property and whether or not that revenue is recognized over time or at a point in time. These new standards will be effective for our fiscal year beginning April 1, 2018, with earlier adoption permitted. We have completed our initial assessment of the new guidance and will be developing an implementation plan to evaluate the accounting and disclosure requirements under the new standards. Based on our assessment to date, we do not believe that adoption of Topic 606 and the related standards will have a material impact on our consolidated financial statements. We have not yet finalized our transition method for adoption of the new standards.</w:t>
      </w:r>
    </w:p>
    <w:p>
      <w:pPr>
        <w:sectPr>
          <w:pgSz w:w="11900" w:h="16838" w:orient="portrait"/>
          <w:cols w:equalWidth="0" w:num="1">
            <w:col w:w="11420"/>
          </w:cols>
          <w:pgMar w:left="240" w:top="1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68" w:name="page69"/>
    <w:bookmarkEnd w:id="68"/>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August 2014, the FASB issued ASU No. 2014-15, </w:t>
      </w:r>
      <w:r>
        <w:rPr>
          <w:rFonts w:ascii="Times New Roman" w:cs="Times New Roman" w:eastAsia="Times New Roman" w:hAnsi="Times New Roman"/>
          <w:sz w:val="18"/>
          <w:szCs w:val="18"/>
          <w:i w:val="1"/>
          <w:iCs w:val="1"/>
          <w:color w:val="auto"/>
        </w:rPr>
        <w:t>Presentation of Financial Statements—Going Concern (Subtopic 205-40): Disclosure of Uncertainties about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 Entity’s Ability to Continue as a Going Concern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ASU 2014-15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ASU sets forth a requirement for management to evaluate whether there are conditions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events that raise substantial doubt about an entity’s ability to continue as a going concern by 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or other disclosures when substantial doubt is not alleviated; and (6) require an assessment for a period of one year after the date the financial statements are issued or available to be issued. Substantial doubt about an entity’s ability to continue as a going concern exists when relevant conditions and events, considered in the aggregate, indicate that it is probable (as defined under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that the entity will be unable to meet its obligations as they become due within one year after the date that the financial statements are issued or are available to be issued. If substantial doubt exists, the extent of the required disclosures depends on an evaluation of management’s plans (if any) to mitigate the going concern uncertainty. This evaluation should include consideration of conditions and events that are either known or are reasonably knowable at the date the financial statements are issued or are available to be issued, as well as whether it is probable that management's plans to address the substantial doubt will be implemented and, if so, whether it is probable that the plans will alleviate the substantial doubt. We adopted ASU 2014-15 for our fiscal year ended March 31, 2017 and Note 2, </w:t>
      </w:r>
      <w:r>
        <w:rPr>
          <w:rFonts w:ascii="Times New Roman" w:cs="Times New Roman" w:eastAsia="Times New Roman" w:hAnsi="Times New Roman"/>
          <w:sz w:val="18"/>
          <w:szCs w:val="18"/>
          <w:i w:val="1"/>
          <w:iCs w:val="1"/>
          <w:color w:val="auto"/>
        </w:rPr>
        <w:t>Basis of Presentation and Going Concern</w:t>
      </w:r>
      <w:r>
        <w:rPr>
          <w:rFonts w:ascii="Times New Roman" w:cs="Times New Roman" w:eastAsia="Times New Roman" w:hAnsi="Times New Roman"/>
          <w:sz w:val="18"/>
          <w:szCs w:val="18"/>
          <w:color w:val="auto"/>
        </w:rPr>
        <w:t>, includes our disclosures regarding substantial doubt about our ability to continue as a going concern and the steps we have planned to alleviate such doubt for the twelve months following the date of the issuance of these Consolidated Financial Statements.</w:t>
      </w:r>
    </w:p>
    <w:p>
      <w:pPr>
        <w:spacing w:after="0" w:line="196"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 xml:space="preserve">In April 2015, the FASB issued ASU No. 2015-03, </w:t>
      </w:r>
      <w:r>
        <w:rPr>
          <w:rFonts w:ascii="Times New Roman" w:cs="Times New Roman" w:eastAsia="Times New Roman" w:hAnsi="Times New Roman"/>
          <w:sz w:val="18"/>
          <w:szCs w:val="18"/>
          <w:i w:val="1"/>
          <w:iCs w:val="1"/>
          <w:color w:val="auto"/>
        </w:rPr>
        <w:t>Interest - Imputation of Interest (Subtopic 835-30): Simplifying the Presentation of Debt Issuance Costs</w:t>
      </w:r>
      <w:r>
        <w:rPr>
          <w:rFonts w:ascii="Times New Roman" w:cs="Times New Roman" w:eastAsia="Times New Roman" w:hAnsi="Times New Roman"/>
          <w:sz w:val="18"/>
          <w:szCs w:val="18"/>
          <w:color w:val="auto"/>
        </w:rPr>
        <w:t>. The amendments in this ASU require that debt issuance costs related to a recognized debt liability be presented in the balance sheet as a direct deduction from the carrying amount of that debt liability, consistent with debt discounts. The amendments in this update are effective for financial statements issued for fiscal years ending after December 31, 2015, and interim periods within those fiscal years. We have adopted this ASU effective with our fiscal year beginning April 1, 2016, but have incurred no debt issuance costs since that date.</w:t>
      </w:r>
    </w:p>
    <w:p>
      <w:pPr>
        <w:spacing w:after="0" w:line="188" w:lineRule="exact"/>
        <w:rPr>
          <w:sz w:val="20"/>
          <w:szCs w:val="20"/>
          <w:color w:val="auto"/>
        </w:rPr>
      </w:pPr>
    </w:p>
    <w:p>
      <w:pPr>
        <w:jc w:val="both"/>
        <w:ind w:right="360"/>
        <w:spacing w:after="0" w:line="312" w:lineRule="auto"/>
        <w:rPr>
          <w:sz w:val="20"/>
          <w:szCs w:val="20"/>
          <w:color w:val="auto"/>
        </w:rPr>
      </w:pPr>
      <w:r>
        <w:rPr>
          <w:rFonts w:ascii="Times New Roman" w:cs="Times New Roman" w:eastAsia="Times New Roman" w:hAnsi="Times New Roman"/>
          <w:sz w:val="16"/>
          <w:szCs w:val="16"/>
          <w:color w:val="auto"/>
        </w:rPr>
        <w:t xml:space="preserve">In November 2015, the FASB issued ASU No. 2015-17, </w:t>
      </w:r>
      <w:r>
        <w:rPr>
          <w:rFonts w:ascii="Times New Roman" w:cs="Times New Roman" w:eastAsia="Times New Roman" w:hAnsi="Times New Roman"/>
          <w:sz w:val="16"/>
          <w:szCs w:val="16"/>
          <w:i w:val="1"/>
          <w:iCs w:val="1"/>
          <w:color w:val="auto"/>
        </w:rPr>
        <w:t>Balance Sheet Classification of Deferred Taxes</w:t>
      </w:r>
      <w:r>
        <w:rPr>
          <w:rFonts w:ascii="Times New Roman" w:cs="Times New Roman" w:eastAsia="Times New Roman" w:hAnsi="Times New Roman"/>
          <w:sz w:val="16"/>
          <w:szCs w:val="16"/>
          <w:color w:val="auto"/>
        </w:rPr>
        <w:t>, which amends existing guidance on income taxes to require the classification of all deferred tax assets and liabilities as non-current on the balance sheet. We have adopted this ASU effective with our fiscal year beginning April 1, 2017 on a prospective basis. We do not expect this ASU to have a material impact on our consolidated financial statements.</w:t>
      </w:r>
    </w:p>
    <w:p>
      <w:pPr>
        <w:spacing w:after="0" w:line="14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 xml:space="preserve">In January 2016, the FASB issued ASU No. 2016-01, </w:t>
      </w:r>
      <w:r>
        <w:rPr>
          <w:rFonts w:ascii="Times New Roman" w:cs="Times New Roman" w:eastAsia="Times New Roman" w:hAnsi="Times New Roman"/>
          <w:sz w:val="18"/>
          <w:szCs w:val="18"/>
          <w:i w:val="1"/>
          <w:iCs w:val="1"/>
          <w:color w:val="auto"/>
        </w:rPr>
        <w:t>Financial Instruments - Overall: Recognition and Measurement of Financial Assets and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The updated guidance enhances the reporting model for financial instruments, which includes amendments to address aspects of recognition,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presentation and disclosure. The amendment to the standard is effective for financial statements issued for our fiscal year beginning April 1, 2018. We do not believe that this ASU will have a material impact on our consolidated financial statements.</w:t>
      </w:r>
    </w:p>
    <w:p>
      <w:pPr>
        <w:spacing w:after="0" w:line="187"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 xml:space="preserve">In February 2016, the FASB issued ASU 2016-02,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ASC 842</w:t>
      </w:r>
      <w:r>
        <w:rPr>
          <w:rFonts w:ascii="Times New Roman" w:cs="Times New Roman" w:eastAsia="Times New Roman" w:hAnsi="Times New Roman"/>
          <w:sz w:val="16"/>
          <w:szCs w:val="16"/>
          <w:color w:val="auto"/>
        </w:rPr>
        <w:t xml:space="preserve">), which will replace the existing guidance in ASC 840,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and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the current guidance for operating leases. The standard is effective for financial statements issued for fiscal years beginning after December 15, 2018, and interim periods within those fiscal years, with early adoption permitted. We are in the process of evaluating the impact that this new guidance will have on our consolidated financial statements.</w:t>
      </w:r>
    </w:p>
    <w:p>
      <w:pPr>
        <w:spacing w:after="0" w:line="166"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Compensation—Stock Compensation (Topic 718):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which includes multiple provisions intended to simplify several aspects of accounting for share-based payment transactions, including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classification of awards as either equity or liabilities, an option to recognize gross stock compensation expense with actual forfeitures recognized as they occur, as well as certain classifications on the statement of cash flows. The standard is effective for our fiscal year beginning April 1, 2017. We are evaluating the impact of this ASU on our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From our inception in May 1998 through September 30, 2017, we have financed our operations and technology acquisitions primarily through the issuance and sale of our equity and debt securities, including convertible promissory notes and short-term promissory notes, for cash proceeds of approximately $47.6 million, as well as from an aggregate of approximately $17.6 million of government research grant awards, strategic collaboration payments, intellectual property sublicensing and other revenues. We have also issued equity securities with an approximate aggregate value at issuance of $32.3 million in non-cash settlements of certain liabilities, including liabilities for professional services rendered to us or as compensation for such services. Additionally, pursuant to our CRADA with the NIH, the NIMH continues to conduct Phase 2 clinical development activities relating to AV-101 as a potential new generation antidepressant. The NIMH AV-101 MDD Phase 2 Monotherapy Study is being sponsored in full, at no cost to us other than supplying clinical trial material, by the NIMH under the direction of Dr. Carlos Zarate Jr. as Principal Investigator.</w:t>
      </w:r>
    </w:p>
    <w:p>
      <w:pPr>
        <w:sectPr>
          <w:pgSz w:w="11900" w:h="16838" w:orient="portrait"/>
          <w:cols w:equalWidth="0" w:num="1">
            <w:col w:w="11420"/>
          </w:cols>
          <w:pgMar w:left="240" w:top="1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69" w:name="page70"/>
    <w:bookmarkEnd w:id="69"/>
    <w:p>
      <w:pPr>
        <w:spacing w:after="0" w:line="50"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 xml:space="preserve">Between late-March 2017 and June 30, 2017, we sold to accredited investors, in a self-placed private placement, units consisting of an aggregate of 495,001 unregistered shares of our common stock and warrants to purchase an aggregate of 247,500 unregistered shares of our common stock pursuant to which we received proceeds of approximately $1.0 million (the </w:t>
      </w:r>
      <w:r>
        <w:rPr>
          <w:rFonts w:ascii="Times New Roman" w:cs="Times New Roman" w:eastAsia="Times New Roman" w:hAnsi="Times New Roman"/>
          <w:sz w:val="18"/>
          <w:szCs w:val="18"/>
          <w:i w:val="1"/>
          <w:iCs w:val="1"/>
          <w:color w:val="auto"/>
        </w:rPr>
        <w:t>Spring 2017 Private Placement</w:t>
      </w:r>
      <w:r>
        <w:rPr>
          <w:rFonts w:ascii="Times New Roman" w:cs="Times New Roman" w:eastAsia="Times New Roman" w:hAnsi="Times New Roman"/>
          <w:sz w:val="18"/>
          <w:szCs w:val="18"/>
          <w:color w:val="auto"/>
        </w:rPr>
        <w:t>), resulting in our cash and cash equivalents balance of $1.6 million at June 30, 2017. In August 2017, in a self-placed private placement transaction, we sold to an accredited investor units consisting of 28,572 shares of our unregistered common stock and warrants to purchase 28,572 unregistered shares of our common stock at an exercise price of $4.00 per share. We received cash proceeds of $50,000 from this sale of our securities. In September, we completed an underwritten, public offering of shares of our common stock and warrants, pursuant to which we received net proceeds of approximately $2.0 million. Our cash balance at June 30, 2017 plus the proceeds from subsequent sales of our securities was not sufficient to enable us to fund our planned operations, including expected cash expenditures of approximately $12 million for the next twelve months, including expenditures required to further prepare for, launch and satisfy a significant portion of the projected expenses associated with our proposed AV-101 MDD Phase 2 Adjunctive Treatment Study.</w:t>
      </w:r>
    </w:p>
    <w:p>
      <w:pPr>
        <w:spacing w:after="0" w:line="1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September 2017, we completed a firm commitment underwritten public offering, pursuant to which we offered and sold an aggregate of 1,371,430 shares of our common stock and warrants to purchase an aggregate of 1,892,572 shares of our common stock to two of our existing institutional investors, resulting in gross proceeds of approximately $2.4 million under our Registration Statement on Form S-3 (Registration No. 333-215671) (the </w:t>
      </w:r>
      <w:r>
        <w:rPr>
          <w:rFonts w:ascii="Times New Roman" w:cs="Times New Roman" w:eastAsia="Times New Roman" w:hAnsi="Times New Roman"/>
          <w:sz w:val="18"/>
          <w:szCs w:val="18"/>
          <w:i w:val="1"/>
          <w:iCs w:val="1"/>
          <w:color w:val="auto"/>
        </w:rPr>
        <w:t>S-3 Registration Statement</w:t>
      </w:r>
      <w:r>
        <w:rPr>
          <w:rFonts w:ascii="Times New Roman" w:cs="Times New Roman" w:eastAsia="Times New Roman" w:hAnsi="Times New Roman"/>
          <w:sz w:val="18"/>
          <w:szCs w:val="18"/>
          <w:color w:val="auto"/>
        </w:rPr>
        <w:t>) that had been previously declared effective by the Securities and Exchange Commission to cover potential future sales of our equity securities in one or more public offerings from time to time. While we may make additional sales of our equity securities under the S-3 Registration Statement, we do not have an obligation to do so.</w:t>
      </w:r>
    </w:p>
    <w:p>
      <w:pPr>
        <w:spacing w:after="0" w:line="19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Additionally, in September 2017, to facilitate potential future issuances and sales of our equity securities for ordinary corporate finance and general corporate purposes and as recommended by our Board, our stockholders approved an amendment to our Restated and Amended Articles of Incorporation to increase the number of shares of common stock available for issuance from 30 million shares to 100 million shares, an amount our Board determined is customary and appropriate for a NASDAQ-listed, clinical-stage biopharmaceutical company. Following that approval, in October 2017, we filed a Registration Statement on Form S-1 (Registration No. 333-221009) (the </w:t>
      </w:r>
      <w:r>
        <w:rPr>
          <w:rFonts w:ascii="Times New Roman" w:cs="Times New Roman" w:eastAsia="Times New Roman" w:hAnsi="Times New Roman"/>
          <w:sz w:val="18"/>
          <w:szCs w:val="18"/>
          <w:i w:val="1"/>
          <w:iCs w:val="1"/>
          <w:color w:val="auto"/>
        </w:rPr>
        <w:t>S-1 Registration Statement</w:t>
      </w:r>
      <w:r>
        <w:rPr>
          <w:rFonts w:ascii="Times New Roman" w:cs="Times New Roman" w:eastAsia="Times New Roman" w:hAnsi="Times New Roman"/>
          <w:sz w:val="18"/>
          <w:szCs w:val="18"/>
          <w:color w:val="auto"/>
        </w:rPr>
        <w:t>) pursuant to which we anticipate completing an offering of our equity securities with proceeds sufficient to enable the launch and completion of the AV-101 MDD Phase 2 Adjunctive Treatment Study and fund our internal operations for at least the next twelve months. There can be no assurance, however, that we will achieve effectiveness of the S-1 Registration Statement or successfully complete an offering thereunder.</w:t>
      </w:r>
    </w:p>
    <w:p>
      <w:pPr>
        <w:spacing w:after="0" w:line="192"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6"/>
          <w:szCs w:val="16"/>
          <w:color w:val="auto"/>
        </w:rPr>
        <w:t xml:space="preserve">Although our current financial resources are not yet sufficient to fully fund completion of the AV-101 MDD Phase 2 Adjunctive Treatment Study, we anticipate, as we have numerous times in the past, raising sufficient additional capital as and when necessary and advisable to sustain our operations and achieve our key corporate objectives through at least the next twelve months, including initiating and conducting the AV-101 MDD Phase 2 Adjunctive Treatment Study in an ordinary course manner. We expect to secure additional capital primarily through the sale of our equity securities in one or more private placements to accredited investors or public offerings. We have filed a Registration Statement on Form S-3 (Registration No. 333-215671) (the </w:t>
      </w:r>
      <w:r>
        <w:rPr>
          <w:rFonts w:ascii="Times New Roman" w:cs="Times New Roman" w:eastAsia="Times New Roman" w:hAnsi="Times New Roman"/>
          <w:sz w:val="16"/>
          <w:szCs w:val="16"/>
          <w:i w:val="1"/>
          <w:iCs w:val="1"/>
          <w:color w:val="auto"/>
        </w:rPr>
        <w:t>S-3 Registration Statement</w:t>
      </w:r>
      <w:r>
        <w:rPr>
          <w:rFonts w:ascii="Times New Roman" w:cs="Times New Roman" w:eastAsia="Times New Roman" w:hAnsi="Times New Roman"/>
          <w:sz w:val="16"/>
          <w:szCs w:val="16"/>
          <w:color w:val="auto"/>
        </w:rPr>
        <w:t xml:space="preserve">) that has been declared effective by the Securities and Exchange Commission (the </w:t>
      </w:r>
      <w:r>
        <w:rPr>
          <w:rFonts w:ascii="Times New Roman" w:cs="Times New Roman" w:eastAsia="Times New Roman" w:hAnsi="Times New Roman"/>
          <w:sz w:val="16"/>
          <w:szCs w:val="16"/>
          <w:i w:val="1"/>
          <w:iCs w:val="1"/>
          <w:color w:val="auto"/>
        </w:rPr>
        <w:t>Commission</w:t>
      </w:r>
      <w:r>
        <w:rPr>
          <w:rFonts w:ascii="Times New Roman" w:cs="Times New Roman" w:eastAsia="Times New Roman" w:hAnsi="Times New Roman"/>
          <w:sz w:val="16"/>
          <w:szCs w:val="16"/>
          <w:color w:val="auto"/>
        </w:rPr>
        <w:t>) to cover our potential future sale of our equity securities in one or more public offerings from time to time. As of the date of this prospectus, we have sold approximately $6.28 million of securities under the S-3 Registration Statement.</w:t>
      </w:r>
    </w:p>
    <w:p>
      <w:pPr>
        <w:spacing w:after="0" w:line="167"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We may also seek research and development collaborations that could generate revenue, funding for development of AV-101 and additional product candidates, as well as additional government grant awards and agreements similar to our current CRADA with the NIMH, which provides for the NIMH to fully fund the NIMH’s ongoing NIMH AV-101 MDD Phase 2 Monotherapy Study. Such strategic collaborations may provide non-dilutive resources to advance our strategic initiatives while reducing a portion of our future cash outlays and working capital requirements. In a manner similar to the BlueRock Agreement, we may also pursue similar arrangements with third-parties covering other of our intellectual property. Although we may seek additional collaborations that could generate revenue and/or non-dilutive funding for development of AV-101 and other product candidates, as well as new government grant awards and/or agreements similar to our CRADA with NIMH, no assurance can be provided that any such collaborations, awards or agreements will occur in the future.</w:t>
      </w:r>
    </w:p>
    <w:p>
      <w:pPr>
        <w:spacing w:after="0" w:line="167"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AV-101 as an adjunctive treatment for MDD and other potential CNS conditions, and various applications of our stem cell technology platform, the availability of, and our ability to obtain, government grant awards and agreements,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our employee headcount and related expenses, as well as the timing of and projected costs relating to key research and development projects, including our expenses associated with our proposed AV-101 MDD Phase 2 Adjunctive Treatment Study, regulatory consulting, CRO services, investor relations and corporate development, legal, acquisition and protection of intellectual property, public company compliance and other professional services and working capital costs.</w:t>
      </w:r>
    </w:p>
    <w:p>
      <w:pPr>
        <w:spacing w:after="0" w:line="16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Notwithstanding the foregoing, substantial additional financing may not be available to us on a timely basis, on acceptable terms, or at all. If we are unable to obtain substantial additional financing on a timely basis when needed in 2017 and beyond,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cash and cash equivalents for the periods stated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25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6"/>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2017</w:t>
            </w:r>
          </w:p>
        </w:tc>
        <w:tc>
          <w:tcPr>
            <w:tcW w:w="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2016</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(4,010)</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(7,263)</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9,994</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(1,157)</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2,921</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8"/>
          <w:szCs w:val="18"/>
          <w:color w:val="auto"/>
        </w:rPr>
        <w:t>Cash and cash equivalents at end of period</w:t>
      </w:r>
    </w:p>
    <w:p>
      <w:pPr>
        <w:sectPr>
          <w:pgSz w:w="11900" w:h="16888" w:orient="portrait"/>
          <w:cols w:equalWidth="0" w:num="1">
            <w:col w:w="11420"/>
          </w:cols>
          <w:pgMar w:left="240" w:top="123" w:right="239" w:bottom="0" w:gutter="0" w:footer="0" w:header="0"/>
        </w:sectPr>
      </w:pPr>
    </w:p>
    <w:bookmarkStart w:id="70" w:name="page71"/>
    <w:bookmarkEnd w:id="70"/>
    <w:p>
      <w:pPr>
        <w:jc w:val="both"/>
        <w:ind w:left="6080"/>
        <w:spacing w:after="0"/>
        <w:tabs>
          <w:tab w:leader="none" w:pos="6780" w:val="left"/>
          <w:tab w:leader="none" w:pos="7440" w:val="left"/>
          <w:tab w:leader="none" w:pos="8140" w:val="left"/>
          <w:tab w:leader="none" w:pos="8800" w:val="left"/>
          <w:tab w:leader="none" w:pos="9500" w:val="left"/>
          <w:tab w:leader="none" w:pos="10180" w:val="left"/>
          <w:tab w:leader="none" w:pos="11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1,764</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6,257</w:t>
        <w:tab/>
        <w:t>$</w:t>
      </w:r>
      <w:r>
        <w:rPr>
          <w:sz w:val="20"/>
          <w:szCs w:val="20"/>
          <w:color w:val="auto"/>
        </w:rPr>
        <w:tab/>
      </w:r>
      <w:r>
        <w:rPr>
          <w:rFonts w:ascii="Times New Roman" w:cs="Times New Roman" w:eastAsia="Times New Roman" w:hAnsi="Times New Roman"/>
          <w:sz w:val="18"/>
          <w:szCs w:val="18"/>
          <w:color w:val="auto"/>
        </w:rPr>
        <w:t>2,921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14605</wp:posOffset>
            </wp:positionV>
            <wp:extent cx="330200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02000" cy="1714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71" w:name="page72"/>
    <w:bookmarkEnd w:id="71"/>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new generation medicines for depression and other central nervous system (</w:t>
      </w:r>
      <w:r>
        <w:rPr>
          <w:rFonts w:ascii="Times New Roman" w:cs="Times New Roman" w:eastAsia="Times New Roman" w:hAnsi="Times New Roman"/>
          <w:sz w:val="18"/>
          <w:szCs w:val="18"/>
          <w:i w:val="1"/>
          <w:iCs w:val="1"/>
          <w:color w:val="auto"/>
        </w:rPr>
        <w:t>CNS</w:t>
      </w:r>
      <w:r>
        <w:rPr>
          <w:rFonts w:ascii="Times New Roman" w:cs="Times New Roman" w:eastAsia="Times New Roman" w:hAnsi="Times New Roman"/>
          <w:sz w:val="18"/>
          <w:szCs w:val="18"/>
          <w:color w:val="auto"/>
        </w:rPr>
        <w:t>) disorders. Unless the context otherwise requires, the words “</w:t>
      </w:r>
      <w:r>
        <w:rPr>
          <w:rFonts w:ascii="Times New Roman" w:cs="Times New Roman" w:eastAsia="Times New Roman" w:hAnsi="Times New Roman"/>
          <w:sz w:val="18"/>
          <w:szCs w:val="18"/>
          <w:i w:val="1"/>
          <w:iCs w:val="1"/>
          <w:color w:val="auto"/>
        </w:rPr>
        <w:t>VistaGen Therapeutics, Inc.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VistaGen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refer to VistaGen Therapeutics, Inc., a Nevada corporation. All references to future quarters and years in this prospectus supplement refer to calendar quarters and calendar years, unless reference is made otherwise.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AV-101 is our oral CNS product candidate in Phase 2 clinical development in the United States, initially as a new generation adjunctive treatment for Major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Depressive Disorder (</w:t>
      </w:r>
      <w:r>
        <w:rPr>
          <w:rFonts w:ascii="Times New Roman" w:cs="Times New Roman" w:eastAsia="Times New Roman" w:hAnsi="Times New Roman"/>
          <w:sz w:val="18"/>
          <w:szCs w:val="18"/>
          <w:i w:val="1"/>
          <w:iCs w:val="1"/>
          <w:color w:val="auto"/>
        </w:rPr>
        <w:t>MDD</w:t>
      </w:r>
      <w:r>
        <w:rPr>
          <w:rFonts w:ascii="Times New Roman" w:cs="Times New Roman" w:eastAsia="Times New Roman" w:hAnsi="Times New Roman"/>
          <w:sz w:val="18"/>
          <w:szCs w:val="18"/>
          <w:color w:val="auto"/>
        </w:rPr>
        <w:t>) in patients with an inadequate response to standard antidepressants approved by the U.S. Food and Drug Administration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FDA</w:t>
      </w:r>
      <w:r>
        <w:rPr>
          <w:rFonts w:ascii="Times New Roman" w:cs="Times New Roman" w:eastAsia="Times New Roman" w:hAnsi="Times New Roman"/>
          <w:sz w:val="18"/>
          <w:szCs w:val="18"/>
          <w:color w:val="auto"/>
        </w:rPr>
        <w:t>). During the years ending March 31, 2017 and 2016, we spent approximately $5.2 million and $3.9 million, respectively, on 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including development of AV-101. AV-101’s mechanism of action (</w:t>
      </w:r>
      <w:r>
        <w:rPr>
          <w:rFonts w:ascii="Times New Roman" w:cs="Times New Roman" w:eastAsia="Times New Roman" w:hAnsi="Times New Roman"/>
          <w:sz w:val="16"/>
          <w:szCs w:val="16"/>
          <w:i w:val="1"/>
          <w:iCs w:val="1"/>
          <w:color w:val="auto"/>
        </w:rPr>
        <w:t>MOA</w:t>
      </w:r>
      <w:r>
        <w:rPr>
          <w:rFonts w:ascii="Times New Roman" w:cs="Times New Roman" w:eastAsia="Times New Roman" w:hAnsi="Times New Roman"/>
          <w:sz w:val="16"/>
          <w:szCs w:val="16"/>
          <w:color w:val="auto"/>
        </w:rPr>
        <w:t>) involves both NMDA (N-methyl-D-aspartate) and AMPA (alpha-amino-3-hydroxy-5-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methyl-4-isoxazolepropionic acid) receptors in the brain responsible for fast excitatory synaptic activity throughout the CNS. AV-101’s MOA is fundamentally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differentiated from all FDA-approved antidepressants, as well as all atypical antipsychotics such as aripiprazole often used adjunctively to augment them.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believe AV-101 also has potential as a non-opioid treatment alternative for neuropathic pain, as well as several additional CNS indications </w:t>
      </w:r>
      <w:r>
        <w:rPr>
          <w:rFonts w:ascii="Times New Roman" w:cs="Times New Roman" w:eastAsia="Times New Roman" w:hAnsi="Times New Roman"/>
          <w:sz w:val="16"/>
          <w:szCs w:val="16"/>
          <w:color w:val="333333"/>
        </w:rPr>
        <w:t>where modulation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the NMDA receptors, activation of AMPA pathways and/or key active metabolites of AV-101 may achieve therapeutic benefit</w:t>
      </w:r>
      <w:r>
        <w:rPr>
          <w:rFonts w:ascii="Times New Roman" w:cs="Times New Roman" w:eastAsia="Times New Roman" w:hAnsi="Times New Roman"/>
          <w:sz w:val="18"/>
          <w:szCs w:val="18"/>
          <w:color w:val="000000"/>
        </w:rPr>
        <w:t>, including Parkinson’s disease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levodopa -induced dyskinesia (</w:t>
      </w:r>
      <w:r>
        <w:rPr>
          <w:rFonts w:ascii="Times New Roman" w:cs="Times New Roman" w:eastAsia="Times New Roman" w:hAnsi="Times New Roman"/>
          <w:sz w:val="18"/>
          <w:szCs w:val="18"/>
          <w:i w:val="1"/>
          <w:iCs w:val="1"/>
          <w:color w:val="auto"/>
        </w:rPr>
        <w:t>PD LID</w:t>
      </w:r>
      <w:r>
        <w:rPr>
          <w:rFonts w:ascii="Times New Roman" w:cs="Times New Roman" w:eastAsia="Times New Roman" w:hAnsi="Times New Roman"/>
          <w:sz w:val="18"/>
          <w:szCs w:val="18"/>
          <w:color w:val="auto"/>
        </w:rPr>
        <w:t>), epilepsy and Huntington’s disease.</w:t>
      </w:r>
    </w:p>
    <w:p>
      <w:pPr>
        <w:spacing w:after="0" w:line="21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Clinical studies conducted at the U.S. National Institute of Mental Health (</w:t>
      </w:r>
      <w:r>
        <w:rPr>
          <w:rFonts w:ascii="Times New Roman" w:cs="Times New Roman" w:eastAsia="Times New Roman" w:hAnsi="Times New Roman"/>
          <w:sz w:val="18"/>
          <w:szCs w:val="18"/>
          <w:i w:val="1"/>
          <w:iCs w:val="1"/>
          <w:color w:val="auto"/>
        </w:rPr>
        <w:t>NIMH</w:t>
      </w:r>
      <w:r>
        <w:rPr>
          <w:rFonts w:ascii="Times New Roman" w:cs="Times New Roman" w:eastAsia="Times New Roman" w:hAnsi="Times New Roman"/>
          <w:sz w:val="18"/>
          <w:szCs w:val="18"/>
          <w:color w:val="auto"/>
        </w:rPr>
        <w:t>), part of the U.S. National Institutes of Health (</w:t>
      </w:r>
      <w:r>
        <w:rPr>
          <w:rFonts w:ascii="Times New Roman" w:cs="Times New Roman" w:eastAsia="Times New Roman" w:hAnsi="Times New Roman"/>
          <w:sz w:val="18"/>
          <w:szCs w:val="18"/>
          <w:i w:val="1"/>
          <w:iCs w:val="1"/>
          <w:color w:val="auto"/>
        </w:rPr>
        <w:t>NIH</w:t>
      </w:r>
      <w:r>
        <w:rPr>
          <w:rFonts w:ascii="Times New Roman" w:cs="Times New Roman" w:eastAsia="Times New Roman" w:hAnsi="Times New Roman"/>
          <w:sz w:val="18"/>
          <w:szCs w:val="18"/>
          <w:color w:val="auto"/>
        </w:rPr>
        <w:t>), by Dr. Carlos Zarate, Jr., Chief of the NIMH’s Experimental Therapeutics &amp; Pathophysiology Branch and its Section on Neurobiology and Treatment of Mood and Anxiety Disorders, have focused on the antidepressant effects of an FDA-approved anesthetic, ketamine hydrochloride injection (</w:t>
      </w:r>
      <w:r>
        <w:rPr>
          <w:rFonts w:ascii="Times New Roman" w:cs="Times New Roman" w:eastAsia="Times New Roman" w:hAnsi="Times New Roman"/>
          <w:sz w:val="18"/>
          <w:szCs w:val="18"/>
          <w:i w:val="1"/>
          <w:iCs w:val="1"/>
          <w:color w:val="auto"/>
        </w:rPr>
        <w:t>ketamine</w:t>
      </w:r>
      <w:r>
        <w:rPr>
          <w:rFonts w:ascii="Times New Roman" w:cs="Times New Roman" w:eastAsia="Times New Roman" w:hAnsi="Times New Roman"/>
          <w:sz w:val="18"/>
          <w:szCs w:val="18"/>
          <w:color w:val="auto"/>
        </w:rPr>
        <w:t>), an ion-channel blocking NMDA receptor antagonist, in MDD patients with inadequate responses to multiple standard antidepressants. These NIMH studies, as well as clinical research at Yale University and other academic institutions, have demonstrated robust antidepressant effects in treatment-resistant MDD patients within twenty-four hours of a single sub-anesthetic dose of ketamine administered by intravenous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injection.</w:t>
      </w:r>
    </w:p>
    <w:p>
      <w:pPr>
        <w:spacing w:after="0" w:line="19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We believe AV-101 may have potential to deliver ketamine-like antidepressant effects, without the need for IV administration and ketamine’s psychological and other negative side effects. As published in the October 2015 issue of the peer-reviewed </w:t>
      </w:r>
      <w:r>
        <w:rPr>
          <w:rFonts w:ascii="Times New Roman" w:cs="Times New Roman" w:eastAsia="Times New Roman" w:hAnsi="Times New Roman"/>
          <w:sz w:val="18"/>
          <w:szCs w:val="18"/>
          <w:i w:val="1"/>
          <w:iCs w:val="1"/>
          <w:color w:val="auto"/>
        </w:rPr>
        <w:t>Journal of Pharmacology and Experimental Therapeutics,</w:t>
      </w:r>
      <w:r>
        <w:rPr>
          <w:rFonts w:ascii="Times New Roman" w:cs="Times New Roman" w:eastAsia="Times New Roman" w:hAnsi="Times New Roman"/>
          <w:sz w:val="18"/>
          <w:szCs w:val="18"/>
          <w:color w:val="auto"/>
        </w:rPr>
        <w:t xml:space="preserve"> in an article titled, </w:t>
      </w:r>
      <w:r>
        <w:rPr>
          <w:rFonts w:ascii="Times New Roman" w:cs="Times New Roman" w:eastAsia="Times New Roman" w:hAnsi="Times New Roman"/>
          <w:sz w:val="18"/>
          <w:szCs w:val="18"/>
          <w:i w:val="1"/>
          <w:iCs w:val="1"/>
          <w:color w:val="auto"/>
        </w:rPr>
        <w:t>The prodrug 4-chlorokynurenine causes ketamine-like antidepressant effects, but not side effects, by NMDA/glycineB-site inhibition,</w:t>
      </w:r>
      <w:r>
        <w:rPr>
          <w:rFonts w:ascii="Times New Roman" w:cs="Times New Roman" w:eastAsia="Times New Roman" w:hAnsi="Times New Roman"/>
          <w:sz w:val="18"/>
          <w:szCs w:val="18"/>
          <w:color w:val="auto"/>
        </w:rPr>
        <w:t xml:space="preserve"> using well-established preclinical models of depression, AV-101 was shown to induce fast-acting, dose-dependent, persistent and 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both inhibiting the GlyB site of the NMDA receptor and activating the AMPA receptor pathway in the brain.</w:t>
      </w:r>
    </w:p>
    <w:p>
      <w:pPr>
        <w:spacing w:after="0" w:line="193"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6"/>
          <w:szCs w:val="16"/>
          <w:color w:val="auto"/>
        </w:rPr>
        <w:t>Pursuant to our Cooperative Research and Development Agreement (</w:t>
      </w:r>
      <w:r>
        <w:rPr>
          <w:rFonts w:ascii="Times New Roman" w:cs="Times New Roman" w:eastAsia="Times New Roman" w:hAnsi="Times New Roman"/>
          <w:sz w:val="16"/>
          <w:szCs w:val="16"/>
          <w:i w:val="1"/>
          <w:iCs w:val="1"/>
          <w:color w:val="auto"/>
        </w:rPr>
        <w:t>CRADA</w:t>
      </w:r>
      <w:r>
        <w:rPr>
          <w:rFonts w:ascii="Times New Roman" w:cs="Times New Roman" w:eastAsia="Times New Roman" w:hAnsi="Times New Roman"/>
          <w:sz w:val="16"/>
          <w:szCs w:val="16"/>
          <w:color w:val="auto"/>
        </w:rPr>
        <w:t xml:space="preserve">) with the NIMH, the NIMH is currently funding, and Dr. Zarate, as Principal Investigator, and his team are currently conducting, a small Phase 2 clinical study of AV-101 monotherapy in subjects with treatment-resistant MDD (the </w:t>
      </w:r>
      <w:r>
        <w:rPr>
          <w:rFonts w:ascii="Times New Roman" w:cs="Times New Roman" w:eastAsia="Times New Roman" w:hAnsi="Times New Roman"/>
          <w:sz w:val="16"/>
          <w:szCs w:val="16"/>
          <w:i w:val="1"/>
          <w:iCs w:val="1"/>
          <w:color w:val="auto"/>
        </w:rPr>
        <w:t>NIMH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AV-101 MDD Phase 2 Monotherapy Study</w:t>
      </w:r>
      <w:r>
        <w:rPr>
          <w:rFonts w:ascii="Times New Roman" w:cs="Times New Roman" w:eastAsia="Times New Roman" w:hAnsi="Times New Roman"/>
          <w:sz w:val="16"/>
          <w:szCs w:val="16"/>
          <w:color w:val="auto"/>
        </w:rPr>
        <w:t>). In October 2017, we received FDA authorization to launch our 180-patient Phase 2 multi-center, multi-dose, double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blind, placebo-controlled efficacy and safety study of AV-101 as a new generation adjunctive treatment of MDD in adult patients with an inadequate therapeutic response to standard, FDA-approved antidepressants (the </w:t>
      </w:r>
      <w:r>
        <w:rPr>
          <w:rFonts w:ascii="Times New Roman" w:cs="Times New Roman" w:eastAsia="Times New Roman" w:hAnsi="Times New Roman"/>
          <w:sz w:val="16"/>
          <w:szCs w:val="16"/>
          <w:i w:val="1"/>
          <w:iCs w:val="1"/>
          <w:color w:val="auto"/>
        </w:rPr>
        <w:t>AV-101 MDD Phase 2 Adjunctive Treatment Study</w:t>
      </w:r>
      <w:r>
        <w:rPr>
          <w:rFonts w:ascii="Times New Roman" w:cs="Times New Roman" w:eastAsia="Times New Roman" w:hAnsi="Times New Roman"/>
          <w:sz w:val="16"/>
          <w:szCs w:val="16"/>
          <w:color w:val="auto"/>
        </w:rPr>
        <w:t>). Subject to completion of this offering, we intend to launch the AV-101 MDD Phase 2 Adjunctive Treatment Study in the first quarter of 2018 with Dr. Maurizio Fava, Professor of Psychiatry at Harvard Medical School and Director, Division of Clinical Research, Massachusetts General Hospital (</w:t>
      </w:r>
      <w:r>
        <w:rPr>
          <w:rFonts w:ascii="Times New Roman" w:cs="Times New Roman" w:eastAsia="Times New Roman" w:hAnsi="Times New Roman"/>
          <w:sz w:val="16"/>
          <w:szCs w:val="16"/>
          <w:i w:val="1"/>
          <w:iCs w:val="1"/>
          <w:color w:val="auto"/>
        </w:rPr>
        <w:t>MGH</w:t>
      </w:r>
      <w:r>
        <w:rPr>
          <w:rFonts w:ascii="Times New Roman" w:cs="Times New Roman" w:eastAsia="Times New Roman" w:hAnsi="Times New Roman"/>
          <w:sz w:val="16"/>
          <w:szCs w:val="16"/>
          <w:color w:val="auto"/>
        </w:rPr>
        <w:t xml:space="preserve">) Research Institute, as the Principal Investigator. Dr. Fava was the co-Principal Investigator with Dr. A. John Rush of the STAR*D study, the largest clinical trial conducted in depression to date, whose findings were published in journals such as the </w:t>
      </w:r>
      <w:r>
        <w:rPr>
          <w:rFonts w:ascii="Times New Roman" w:cs="Times New Roman" w:eastAsia="Times New Roman" w:hAnsi="Times New Roman"/>
          <w:sz w:val="16"/>
          <w:szCs w:val="16"/>
          <w:i w:val="1"/>
          <w:iCs w:val="1"/>
          <w:color w:val="auto"/>
        </w:rPr>
        <w:t>New England Journal of Medicine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NEJM</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Journal of the American Medical Association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JAMA</w:t>
      </w:r>
      <w:r>
        <w:rPr>
          <w:rFonts w:ascii="Times New Roman" w:cs="Times New Roman" w:eastAsia="Times New Roman" w:hAnsi="Times New Roman"/>
          <w:sz w:val="16"/>
          <w:szCs w:val="16"/>
          <w:color w:val="auto"/>
        </w:rPr>
        <w:t>). If started in the first quarter of 2018, we expect to complete this study by the end of 2018, with top line results available in the first quarter of 2019.</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VistaStem Therapeutics (</w:t>
      </w:r>
      <w:r>
        <w:rPr>
          <w:rFonts w:ascii="Times New Roman" w:cs="Times New Roman" w:eastAsia="Times New Roman" w:hAnsi="Times New Roman"/>
          <w:sz w:val="18"/>
          <w:szCs w:val="18"/>
          <w:i w:val="1"/>
          <w:iCs w:val="1"/>
          <w:color w:val="auto"/>
        </w:rPr>
        <w:t>VistaStem</w:t>
      </w:r>
      <w:r>
        <w:rPr>
          <w:rFonts w:ascii="Times New Roman" w:cs="Times New Roman" w:eastAsia="Times New Roman" w:hAnsi="Times New Roman"/>
          <w:sz w:val="18"/>
          <w:szCs w:val="18"/>
          <w:color w:val="auto"/>
        </w:rPr>
        <w:t>) is our wholly owned subsidiary focused on applying human pluripotent stem cell (</w:t>
      </w:r>
      <w:r>
        <w:rPr>
          <w:rFonts w:ascii="Times New Roman" w:cs="Times New Roman" w:eastAsia="Times New Roman" w:hAnsi="Times New Roman"/>
          <w:sz w:val="18"/>
          <w:szCs w:val="18"/>
          <w:i w:val="1"/>
          <w:iCs w:val="1"/>
          <w:color w:val="auto"/>
        </w:rPr>
        <w:t>hPSC</w:t>
      </w:r>
      <w:r>
        <w:rPr>
          <w:rFonts w:ascii="Times New Roman" w:cs="Times New Roman" w:eastAsia="Times New Roman" w:hAnsi="Times New Roman"/>
          <w:sz w:val="18"/>
          <w:szCs w:val="18"/>
          <w:color w:val="auto"/>
        </w:rPr>
        <w:t>) technology, internally and with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collaborators, to discover, rescue, develop and commercialize (i) proprietary new chemical entities (</w:t>
      </w:r>
      <w:r>
        <w:rPr>
          <w:rFonts w:ascii="Times New Roman" w:cs="Times New Roman" w:eastAsia="Times New Roman" w:hAnsi="Times New Roman"/>
          <w:sz w:val="18"/>
          <w:szCs w:val="18"/>
          <w:i w:val="1"/>
          <w:iCs w:val="1"/>
          <w:color w:val="auto"/>
        </w:rPr>
        <w:t>NCEs</w:t>
      </w:r>
      <w:r>
        <w:rPr>
          <w:rFonts w:ascii="Times New Roman" w:cs="Times New Roman" w:eastAsia="Times New Roman" w:hAnsi="Times New Roman"/>
          <w:sz w:val="18"/>
          <w:szCs w:val="18"/>
          <w:color w:val="auto"/>
        </w:rPr>
        <w:t>) for CNS and other diseases and (ii) regenerative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medicine (</w:t>
      </w:r>
      <w:r>
        <w:rPr>
          <w:rFonts w:ascii="Times New Roman" w:cs="Times New Roman" w:eastAsia="Times New Roman" w:hAnsi="Times New Roman"/>
          <w:sz w:val="18"/>
          <w:szCs w:val="18"/>
          <w:i w:val="1"/>
          <w:iCs w:val="1"/>
          <w:color w:val="auto"/>
        </w:rPr>
        <w:t>RM</w:t>
      </w:r>
      <w:r>
        <w:rPr>
          <w:rFonts w:ascii="Times New Roman" w:cs="Times New Roman" w:eastAsia="Times New Roman" w:hAnsi="Times New Roman"/>
          <w:sz w:val="18"/>
          <w:szCs w:val="18"/>
          <w:color w:val="auto"/>
        </w:rPr>
        <w:t xml:space="preserve">) involving hPSC-derived blood, cartilage, heart and liver cells. Our internal drug rescue programs are designed to utilize </w:t>
      </w:r>
      <w:r>
        <w:rPr>
          <w:rFonts w:ascii="Times New Roman" w:cs="Times New Roman" w:eastAsia="Times New Roman" w:hAnsi="Times New Roman"/>
          <w:sz w:val="18"/>
          <w:szCs w:val="18"/>
          <w:i w:val="1"/>
          <w:iCs w:val="1"/>
          <w:color w:val="auto"/>
        </w:rPr>
        <w:t>CardioSafe 3D</w:t>
      </w:r>
      <w:r>
        <w:rPr>
          <w:rFonts w:ascii="Times New Roman" w:cs="Times New Roman" w:eastAsia="Times New Roman" w:hAnsi="Times New Roman"/>
          <w:sz w:val="18"/>
          <w:szCs w:val="18"/>
          <w:color w:val="auto"/>
        </w:rPr>
        <w:t>,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customized cardiac bioassay system, to develop small molecule NCEs for our pipeline. To advance potential RM applications of its cardiac stem cell technology,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2016, we exclusively sublicensed to BlueRock Therapeutics LP, a next generation RM company established by Bayer AG and Versant Ventures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BlueRock Therapeutics</w:t>
      </w:r>
      <w:r>
        <w:rPr>
          <w:rFonts w:ascii="Times New Roman" w:cs="Times New Roman" w:eastAsia="Times New Roman" w:hAnsi="Times New Roman"/>
          <w:sz w:val="16"/>
          <w:szCs w:val="16"/>
          <w:color w:val="auto"/>
        </w:rPr>
        <w:t xml:space="preserve">), rights to certain proprietary technologies relating to the production of cardiac stem cells for the treatment of heart disease (the </w:t>
      </w:r>
      <w:r>
        <w:rPr>
          <w:rFonts w:ascii="Times New Roman" w:cs="Times New Roman" w:eastAsia="Times New Roman" w:hAnsi="Times New Roman"/>
          <w:sz w:val="16"/>
          <w:szCs w:val="16"/>
          <w:i w:val="1"/>
          <w:iCs w:val="1"/>
          <w:color w:val="auto"/>
        </w:rPr>
        <w:t>BlueRock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Agreement</w:t>
      </w:r>
      <w:r>
        <w:rPr>
          <w:rFonts w:ascii="Times New Roman" w:cs="Times New Roman" w:eastAsia="Times New Roman" w:hAnsi="Times New Roman"/>
          <w:sz w:val="16"/>
          <w:szCs w:val="16"/>
          <w:color w:val="auto"/>
        </w:rPr>
        <w:t>). In a manner similar to our exclusive sublicense agreement with BlueRock Therapeutics, we may pursue additional RM collaborations or licensing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involving blood, cartilage, and/or liver cells derived from hPSCs for (A) cell-based therapy, (B) cell repair therapy, and/or (C) tissue engineering.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72" w:name="page73"/>
    <w:bookmarkEnd w:id="72"/>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AV-101 and Major Depressive Disorder</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Background</w:t>
      </w:r>
    </w:p>
    <w:p>
      <w:pPr>
        <w:spacing w:after="0" w:line="2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World Health Organization (</w:t>
      </w:r>
      <w:r>
        <w:rPr>
          <w:rFonts w:ascii="Times New Roman" w:cs="Times New Roman" w:eastAsia="Times New Roman" w:hAnsi="Times New Roman"/>
          <w:sz w:val="18"/>
          <w:szCs w:val="18"/>
          <w:i w:val="1"/>
          <w:iCs w:val="1"/>
          <w:color w:val="auto"/>
        </w:rPr>
        <w:t>WHO</w:t>
      </w:r>
      <w:r>
        <w:rPr>
          <w:rFonts w:ascii="Times New Roman" w:cs="Times New Roman" w:eastAsia="Times New Roman" w:hAnsi="Times New Roman"/>
          <w:sz w:val="18"/>
          <w:szCs w:val="18"/>
          <w:color w:val="auto"/>
        </w:rPr>
        <w:t>) estimates that 300 million people worldwide are affected by depression. According to the NIH, major depression is one of the most common mental disorders in the U.S. The NIMH reports that, in 2014, approximately 16 million adults in the U.S. had at least one major depressive episode in the past year. According to the U.S. Centers for Disease Control and Prevention (</w:t>
      </w:r>
      <w:r>
        <w:rPr>
          <w:rFonts w:ascii="Times New Roman" w:cs="Times New Roman" w:eastAsia="Times New Roman" w:hAnsi="Times New Roman"/>
          <w:sz w:val="18"/>
          <w:szCs w:val="18"/>
          <w:i w:val="1"/>
          <w:iCs w:val="1"/>
          <w:color w:val="auto"/>
        </w:rPr>
        <w:t>CDC</w:t>
      </w:r>
      <w:r>
        <w:rPr>
          <w:rFonts w:ascii="Times New Roman" w:cs="Times New Roman" w:eastAsia="Times New Roman" w:hAnsi="Times New Roman"/>
          <w:sz w:val="18"/>
          <w:szCs w:val="18"/>
          <w:color w:val="auto"/>
        </w:rPr>
        <w:t>) one in 10 Americans over the age of 12 takes a standard, FDA-approved antidepressant.</w:t>
      </w:r>
    </w:p>
    <w:p>
      <w:pPr>
        <w:spacing w:after="0" w:line="18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Most standard antidepressants target neurotransmitter reuptake inhibition – either serotonin (antidepressants known as </w:t>
      </w:r>
      <w:r>
        <w:rPr>
          <w:rFonts w:ascii="Times New Roman" w:cs="Times New Roman" w:eastAsia="Times New Roman" w:hAnsi="Times New Roman"/>
          <w:sz w:val="18"/>
          <w:szCs w:val="18"/>
          <w:i w:val="1"/>
          <w:iCs w:val="1"/>
          <w:color w:val="auto"/>
        </w:rPr>
        <w:t>SSRIs</w:t>
      </w:r>
      <w:r>
        <w:rPr>
          <w:rFonts w:ascii="Times New Roman" w:cs="Times New Roman" w:eastAsia="Times New Roman" w:hAnsi="Times New Roman"/>
          <w:sz w:val="18"/>
          <w:szCs w:val="18"/>
          <w:color w:val="auto"/>
        </w:rPr>
        <w:t xml:space="preserve">) or serotonin/norepinephrine (antidepressants known as </w:t>
      </w:r>
      <w:r>
        <w:rPr>
          <w:rFonts w:ascii="Times New Roman" w:cs="Times New Roman" w:eastAsia="Times New Roman" w:hAnsi="Times New Roman"/>
          <w:sz w:val="18"/>
          <w:szCs w:val="18"/>
          <w:i w:val="1"/>
          <w:iCs w:val="1"/>
          <w:color w:val="auto"/>
        </w:rPr>
        <w:t>SNRIs</w:t>
      </w:r>
      <w:r>
        <w:rPr>
          <w:rFonts w:ascii="Times New Roman" w:cs="Times New Roman" w:eastAsia="Times New Roman" w:hAnsi="Times New Roman"/>
          <w:sz w:val="18"/>
          <w:szCs w:val="18"/>
          <w:color w:val="auto"/>
        </w:rPr>
        <w:t>). Even when effective, these standard antidepressants take many weeks to achieve adequate therapeutic effects. Nearly two out of every three drug-treated depression patients do not obtain adequate therapeutic benefit from initial treatment with a standard antidepressant. Even after treatment with many different standard antidepressants, nearly one out of every three drug-treated depression patients still do not achieve adequate therapeutic benefits from their antidepressant medication. Such patients with an inadequate response to standard antidepressants often seek to augment their treatment regimen by adding an atypical antipsychotic (drugs such as aripiprazole), despite only modest potential therapeutic benefit and the significant risk of additional side effects.</w:t>
      </w:r>
    </w:p>
    <w:p>
      <w:pPr>
        <w:spacing w:after="0" w:line="19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All standard antidepressants have risks of side effects, including, among others, anxiety, metabolic syndrome, sleep disturbance and sexual dysfunction. Adjunctive use of atypical antipsychotics to augment inadequately performing standard antidepressants may increase the risk of significant side effects, including, tardive dyskinesia, substantial weight gain, diabetes and heart disease, while offering only a modest potential increase in therapeutic benefit.</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AV-101</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AV-101 is our oral CNS product candidate in Phase 2 development in the United States, initially focused as a new generation antidepressant for the adjunctive treatment of MDD patients with an inadequate response to standard, FDA-approved antidepressants. As published in the October 2015 issue of the peer-reviewed, </w:t>
      </w:r>
      <w:r>
        <w:rPr>
          <w:rFonts w:ascii="Times New Roman" w:cs="Times New Roman" w:eastAsia="Times New Roman" w:hAnsi="Times New Roman"/>
          <w:sz w:val="18"/>
          <w:szCs w:val="18"/>
          <w:i w:val="1"/>
          <w:iCs w:val="1"/>
          <w:color w:val="auto"/>
        </w:rPr>
        <w:t>Journal of Pharmacology and Experimental Therapeutics,</w:t>
      </w:r>
      <w:r>
        <w:rPr>
          <w:rFonts w:ascii="Times New Roman" w:cs="Times New Roman" w:eastAsia="Times New Roman" w:hAnsi="Times New Roman"/>
          <w:sz w:val="18"/>
          <w:szCs w:val="18"/>
          <w:color w:val="auto"/>
        </w:rPr>
        <w:t xml:space="preserve"> in an article titled, </w:t>
      </w:r>
      <w:r>
        <w:rPr>
          <w:rFonts w:ascii="Times New Roman" w:cs="Times New Roman" w:eastAsia="Times New Roman" w:hAnsi="Times New Roman"/>
          <w:sz w:val="18"/>
          <w:szCs w:val="18"/>
          <w:i w:val="1"/>
          <w:iCs w:val="1"/>
          <w:color w:val="auto"/>
        </w:rPr>
        <w:t>The prodrug 4-chlorokynurenine causes ketamine-like antidepressant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effects, but not side effects, by NMDA/glycineB-site inhibition, </w:t>
      </w:r>
      <w:r>
        <w:rPr>
          <w:rFonts w:ascii="Times New Roman" w:cs="Times New Roman" w:eastAsia="Times New Roman" w:hAnsi="Times New Roman"/>
          <w:sz w:val="18"/>
          <w:szCs w:val="18"/>
          <w:color w:val="auto"/>
        </w:rPr>
        <w:t>using well-established preclinical models of depression, AV-101 was shown to induce fast-acting,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dose-dependent, persistent and statistically significant ketamine-like antidepressant effects following a single treatment, responses equivalent to those seen with a single sub-anesthetic control dose of ketamine, but without the negative side effects seen with ketamine. In addition, these studies confirmed that the antidepressant effects of AV-101 were mediated through both inhibition of the GlyB site of NMDA receptors and activation of the AMPA receptor pathway in the brain, a key final common pathway feature of certain new generation antidepressants such as ketamine and AV-101, each with a MOA that is fundamentally different from all standard antidepressants and atypical antipsychotics used adjunctively to augment them.</w:t>
      </w:r>
    </w:p>
    <w:p>
      <w:pPr>
        <w:spacing w:after="0" w:line="19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completed two NIH-funded, randomized, double blind, placebo-controlled AV-101 Phase 1 safety studies. Pursuant to our CRADA with the NIMH and Dr. Carlos Zarate, Jr., the NIMH is funding, and Dr. Zarate, as Principal Investigator, and his team are conducting, a small NIMH AV-101 MDD Phase 2 Monotherapy Study. Although we are not involved in conducting this study, we currently anticipate that the NIMH will complete the NIMH AV-101 MDD Phase 2 Monotherapy Study during the first half of 2018.</w:t>
      </w:r>
    </w:p>
    <w:p>
      <w:pPr>
        <w:spacing w:after="0" w:line="19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6"/>
          <w:szCs w:val="16"/>
          <w:color w:val="auto"/>
        </w:rPr>
        <w:t>We are preparing to begin the AV-101 MDD Phase 2 Adjunctive Treatment Study, which will test the safety, efficacy and tolerability of AV-101 as an adjunctive treatment of MDD in adult patients with an inadequate response to standard, FDA-approved antidepressants. Subject to receiving sufficient financing, , we intend to launch the AV-101 MDD Phase 2 Adjunctive Treatment Study in the first quarter of 2018. In connection with our preparation for this study, as well as potential Phase 3 development and commercialization of AV-101, we, together with our contract manufacturing organization (</w:t>
      </w:r>
      <w:r>
        <w:rPr>
          <w:rFonts w:ascii="Times New Roman" w:cs="Times New Roman" w:eastAsia="Times New Roman" w:hAnsi="Times New Roman"/>
          <w:sz w:val="16"/>
          <w:szCs w:val="16"/>
          <w:i w:val="1"/>
          <w:iCs w:val="1"/>
          <w:color w:val="auto"/>
        </w:rPr>
        <w:t>CMO</w:t>
      </w:r>
      <w:r>
        <w:rPr>
          <w:rFonts w:ascii="Times New Roman" w:cs="Times New Roman" w:eastAsia="Times New Roman" w:hAnsi="Times New Roman"/>
          <w:sz w:val="16"/>
          <w:szCs w:val="16"/>
          <w:color w:val="auto"/>
        </w:rPr>
        <w:t>), developed a novel process for the production of AV-101 drug substance. We believe our new proprietary production process will significantly improve AV-101 manufacturing efficiency, thereby reducing the current and future cost of manufacturing AV-101 drug substance and improving the yield of AV-101 drug substance manufactured. While developing our new manufacturing process, our CMO produced a batch of AV-101 drug substance that contained certain impurities not within the limits set out by the International Conference on Harmonisation of Technical Requirements for Registration of Pharmaceuticals for Human Use (</w:t>
      </w:r>
      <w:r>
        <w:rPr>
          <w:rFonts w:ascii="Times New Roman" w:cs="Times New Roman" w:eastAsia="Times New Roman" w:hAnsi="Times New Roman"/>
          <w:sz w:val="16"/>
          <w:szCs w:val="16"/>
          <w:i w:val="1"/>
          <w:iCs w:val="1"/>
          <w:color w:val="auto"/>
        </w:rPr>
        <w:t>the ICH Guidelines</w:t>
      </w:r>
      <w:r>
        <w:rPr>
          <w:rFonts w:ascii="Times New Roman" w:cs="Times New Roman" w:eastAsia="Times New Roman" w:hAnsi="Times New Roman"/>
          <w:sz w:val="16"/>
          <w:szCs w:val="16"/>
          <w:color w:val="auto"/>
        </w:rPr>
        <w:t>). The FDA routinely utilizes the ICH Guidelines as an industry standard for development stage programs such as our AV-101 Phase 2 program. Consequently, the FDA placed a clinical hold on the launch of the AV-101 MDD Phase 2 Adjunctive Treatment Study until we either (a) further improved our AV-101 manufacturing process to remove the impurities or reduce the impurities below applicable limits in the ICH Guidelines, or (b) conducted a bridging toxicology study to qualify the impurities as safe for clinical use. In response to the FDA’s requests, we did both. We further improved our AV-101 manufacturing process, produced a new batch of AV-101 drug substance using the improved process, and now have analytical results from that batch showing that the impurities were reduced to a level below the limits of the ICH Guidelines. In addition, we conducted a bridging toxicology study, the results of which confirmed that the impurities found in the AV-101 drug substance tested were safe for clinical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73" w:name="page74"/>
    <w:bookmarkEnd w:id="73"/>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FDA also requested additional contraceptive protection in the upcoming clinical study until we complete preclinical reproductive toxicology studies that are routinely conducted later in stages of clinical development. Although previous toxicology studies for AV-101 do not suggest any reproductive organ involvement, and we have confirmed with the FDA that our proposed study is a Phase 2 study, we have implemented additional contraceptive measures in the revised protocol for the AV-101 MDD Phase 2 Adjunctive Treatment Study that will remain in effect until standard reproductive toxicology studies are completed in the ordinary course prior to commencement of Phase 3 development. We have confirmed with the FDA that our recently implemented contraceptive measures are appropriate for the current stage of development of AV-101.</w:t>
      </w:r>
    </w:p>
    <w:p>
      <w:pPr>
        <w:spacing w:after="0" w:line="1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September 2017, we requested, and were granted, a pre-IND Type A meeting with the FDA’s Division of Psychiatry to discuss certain matters pertaining to our AV-101 development program and the AV-101 MDD Phase 2 Adjunctive Treatment Study. Subsequent to our Type A Meeting with the FDA, we submitted the supplemental data from our new manufacturing process, the bridging toxicology report and our study protocol, revised to address the FDA’s comments. These documents addressed all concerns raised by the FDA to date. Consequently, on October 26, 2017, the FDA authorized us to proceed, under our Investigational New Drug (</w:t>
      </w:r>
      <w:r>
        <w:rPr>
          <w:rFonts w:ascii="Times New Roman" w:cs="Times New Roman" w:eastAsia="Times New Roman" w:hAnsi="Times New Roman"/>
          <w:sz w:val="18"/>
          <w:szCs w:val="18"/>
          <w:i w:val="1"/>
          <w:iCs w:val="1"/>
          <w:color w:val="auto"/>
        </w:rPr>
        <w:t>IND</w:t>
      </w:r>
      <w:r>
        <w:rPr>
          <w:rFonts w:ascii="Times New Roman" w:cs="Times New Roman" w:eastAsia="Times New Roman" w:hAnsi="Times New Roman"/>
          <w:sz w:val="18"/>
          <w:szCs w:val="18"/>
          <w:color w:val="auto"/>
        </w:rPr>
        <w:t>) application, with the AV-101 MDD Phase 2 Adjunctive Treatment Study. We believe preclinical studies and Phase 1 safety studies support our hypothesis that AV-101 also has potential as a non-opioid treatment alternative for neuropathic pain, as well as several additional CNS indications where modulation of the NMDA receptors, activation of AMPA pathways and/or key active metabolites of AV-101 may achieve therapeutic benefit, including Parkinson’s disease levodopa induced dyskinesia (</w:t>
      </w:r>
      <w:r>
        <w:rPr>
          <w:rFonts w:ascii="Times New Roman" w:cs="Times New Roman" w:eastAsia="Times New Roman" w:hAnsi="Times New Roman"/>
          <w:sz w:val="18"/>
          <w:szCs w:val="18"/>
          <w:i w:val="1"/>
          <w:iCs w:val="1"/>
          <w:color w:val="auto"/>
        </w:rPr>
        <w:t>PD LID</w:t>
      </w:r>
      <w:r>
        <w:rPr>
          <w:rFonts w:ascii="Times New Roman" w:cs="Times New Roman" w:eastAsia="Times New Roman" w:hAnsi="Times New Roman"/>
          <w:sz w:val="18"/>
          <w:szCs w:val="18"/>
          <w:color w:val="auto"/>
        </w:rPr>
        <w:t>), epilepsy and Huntington’s disease. We are beginning to plan additional Phase 2 clinical studies to further evaluate the therapeutic potential of AV-101 beyond MDD.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CardioSafe 3D™; NCE Drug Rescue and Regenerative Medicine</w:t>
      </w:r>
    </w:p>
    <w:p>
      <w:pPr>
        <w:spacing w:after="0" w:line="22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VistaStem Therapeutics is our wholly owned subsidiary focused on applying hPSC technology to discover, rescue, develop and commercialize proprietary small molecule NCEs for CNS and other diseases, as well as potential cellular therapies involving stem cell-derived blood, cartilage, heart and liver cells.</w:t>
      </w:r>
    </w:p>
    <w:p>
      <w:pPr>
        <w:spacing w:after="0" w:line="1"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CardioSafe </w:t>
      </w:r>
      <w:r>
        <w:rPr>
          <w:rFonts w:ascii="Times New Roman" w:cs="Times New Roman" w:eastAsia="Times New Roman" w:hAnsi="Times New Roman"/>
          <w:sz w:val="18"/>
          <w:szCs w:val="18"/>
          <w:color w:val="auto"/>
        </w:rPr>
        <w:t>3D™ is our customized</w:t>
      </w:r>
      <w:r>
        <w:rPr>
          <w:rFonts w:ascii="Times New Roman" w:cs="Times New Roman" w:eastAsia="Times New Roman" w:hAnsi="Times New Roman"/>
          <w:sz w:val="18"/>
          <w:szCs w:val="18"/>
          <w:i w:val="1"/>
          <w:iCs w:val="1"/>
          <w:color w:val="auto"/>
        </w:rPr>
        <w:t xml:space="preserve"> in vitro </w:t>
      </w:r>
      <w:r>
        <w:rPr>
          <w:rFonts w:ascii="Times New Roman" w:cs="Times New Roman" w:eastAsia="Times New Roman" w:hAnsi="Times New Roman"/>
          <w:sz w:val="18"/>
          <w:szCs w:val="18"/>
          <w:color w:val="auto"/>
        </w:rPr>
        <w:t>cardiac bioassay system capable of predicting potential human heart toxicity of small molecule NCEs</w:t>
      </w:r>
      <w:r>
        <w:rPr>
          <w:rFonts w:ascii="Times New Roman" w:cs="Times New Roman" w:eastAsia="Times New Roman" w:hAnsi="Times New Roman"/>
          <w:sz w:val="18"/>
          <w:szCs w:val="18"/>
          <w:i w:val="1"/>
          <w:iCs w:val="1"/>
          <w:color w:val="auto"/>
        </w:rPr>
        <w:t xml:space="preserve"> in vitro</w:t>
      </w:r>
      <w:r>
        <w:rPr>
          <w:rFonts w:ascii="Times New Roman" w:cs="Times New Roman" w:eastAsia="Times New Roman" w:hAnsi="Times New Roman"/>
          <w:sz w:val="18"/>
          <w:szCs w:val="18"/>
          <w:color w:val="auto"/>
        </w:rPr>
        <w:t>, long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before they are ever tested in animal and human studies. Potential commercial applications of our stem cell technology platform involve using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internally for NCE drug discovery and drug rescue to expand our proprietary drug candidate pipeline. Drug rescue involves leveraging substantial prior research and development investments by pharmaceutical companies and others related to public domain NCE programs terminated before FDA approval due to heart toxicity risks and RM and cellular therapies. To advance potential RM applications of our cardiac stem cell technology, in December 2016, we exclusively sublicensed to BlueRock Therapeutics LP, a next generation regenerative medicine company established by Bayer AG and Versant Ventures, rights to certain proprietary technologies relating to the production of cardiac stem cells for the treatment of heart disease. In a manner similar to the BlueRock Agreement, we may also pursue additional potential RM applications using blood, cartilage, and/or liver cells derived from hPSCs for (A) cell-based therapy (injection of stem cell-derived mature organ-specific cells obtained through directed differentiation), (B) cell repair therapy (induction of regeneration by biologically active molecules administered alone or produced by infused genetically engineered cells), or (C) tissue engineering (transplantation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grown complex tissues) using hPSC-derived blood, bone, cartilage, and/or liver cells.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3" w:right="279" w:bottom="1440" w:gutter="0" w:footer="0" w:header="0"/>
        </w:sectPr>
      </w:pPr>
    </w:p>
    <w:bookmarkStart w:id="74" w:name="page75"/>
    <w:bookmarkEnd w:id="74"/>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7"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Our core strategy is to develop and commercialize innovative small molecule drugs that address significant unmet medical needs related to CNS diseases and disorders. We have assembled a management team and a team of scientific, clinical, and regulatory advisors, including recognized experts in the fields of depression and other CNS disorders, with significant pharmaceutical industry and regulatory experience to lead and execute the development and commercialization of our CNS product candidate opportunities. Key elements of our strategy are to:</w:t>
      </w:r>
    </w:p>
    <w:p>
      <w:pPr>
        <w:spacing w:after="0" w:line="188" w:lineRule="exact"/>
        <w:rPr>
          <w:sz w:val="20"/>
          <w:szCs w:val="20"/>
          <w:color w:val="auto"/>
        </w:rPr>
      </w:pPr>
    </w:p>
    <w:p>
      <w:pPr>
        <w:ind w:left="660" w:right="40" w:hanging="328"/>
        <w:spacing w:after="0" w:line="253"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Develop and commercialize our lead CNS product candidate, AV-101, initially as a new generation adjunctive treatment for MDD patients with an inadequate response to standard, FDA-approved antidepressants. </w:t>
      </w:r>
      <w:r>
        <w:rPr>
          <w:rFonts w:ascii="Times New Roman" w:cs="Times New Roman" w:eastAsia="Times New Roman" w:hAnsi="Times New Roman"/>
          <w:sz w:val="18"/>
          <w:szCs w:val="18"/>
          <w:color w:val="auto"/>
        </w:rPr>
        <w:t>We are currently pursuing adjunctive treatment of MDD as our lead CNS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indication for AV-101. We are preparing to launch our 180-patient Phase 2 study of AV-101 for the adjunctive treatment of MDD in patients with an inadequate response to standard antidepressants. We intend to develop AV-101 internally, through a pivotal Phase 3 clinical program focused on adjunctive treatment of MDD, accompanied by submission of our New Drug Application (</w:t>
      </w:r>
      <w:r>
        <w:rPr>
          <w:rFonts w:ascii="Times New Roman" w:cs="Times New Roman" w:eastAsia="Times New Roman" w:hAnsi="Times New Roman"/>
          <w:sz w:val="18"/>
          <w:szCs w:val="18"/>
          <w:i w:val="1"/>
          <w:iCs w:val="1"/>
          <w:color w:val="auto"/>
        </w:rPr>
        <w:t>NDA</w:t>
      </w:r>
      <w:r>
        <w:rPr>
          <w:rFonts w:ascii="Times New Roman" w:cs="Times New Roman" w:eastAsia="Times New Roman" w:hAnsi="Times New Roman"/>
          <w:sz w:val="18"/>
          <w:szCs w:val="18"/>
          <w:color w:val="auto"/>
        </w:rPr>
        <w:t>) for AV-101 to the FDA. If our NDA is approved by the FDA, we plan to commercialize AV-101 for this indication in the U.S. either by (A) collaborating with a large pharmaceutical company with a strong commercial presence in global depression and other CNS markets and/or (B) contracting for and/or establishing a specialty sales force support focused primarily on psychiatrists and long-term care physicians who prescribe standard antidepressants and atypical antipsychotics for treatment of their MDD patients under the current and evolving MDD drug treatment paradigm.</w:t>
      </w:r>
    </w:p>
    <w:p>
      <w:pPr>
        <w:spacing w:after="0" w:line="197" w:lineRule="exact"/>
        <w:rPr>
          <w:rFonts w:ascii="Times New Roman" w:cs="Times New Roman" w:eastAsia="Times New Roman" w:hAnsi="Times New Roman"/>
          <w:sz w:val="18"/>
          <w:szCs w:val="18"/>
          <w:color w:val="auto"/>
        </w:rPr>
      </w:pPr>
    </w:p>
    <w:p>
      <w:pPr>
        <w:ind w:left="660" w:right="80" w:hanging="328"/>
        <w:spacing w:after="0" w:line="255"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Leverage the commercial potential of AV-101 by expanding Phase 2 development to include additional CNS-related disorders and diseases.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intend to pursue clinical development and commercialization of AV-101 across multiple CNS-related indications that are underserved by currently available medicines and represent significant unmet medical needs. Based on AV-101 preclinical studies, our successful NIH-funded AV-101 Phase 1a and 1b clinical safety studies, and regulatory submissions related to the AV-101 MDD Phase 2 Adjunctive Treatment Study, we believe AV-101 also has potential as a non-opioid treatment alternative for neuropathic pain, as well as several additional CNS indications </w:t>
      </w:r>
      <w:r>
        <w:rPr>
          <w:rFonts w:ascii="Times New Roman" w:cs="Times New Roman" w:eastAsia="Times New Roman" w:hAnsi="Times New Roman"/>
          <w:sz w:val="18"/>
          <w:szCs w:val="18"/>
          <w:color w:val="333333"/>
        </w:rPr>
        <w:t>where modulation of the NMDA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receptors, activation of AMPA pathways and/or key active metabolites of AV-101 may achieve therapeutic benefit</w:t>
      </w:r>
      <w:r>
        <w:rPr>
          <w:rFonts w:ascii="Times New Roman" w:cs="Times New Roman" w:eastAsia="Times New Roman" w:hAnsi="Times New Roman"/>
          <w:sz w:val="18"/>
          <w:szCs w:val="18"/>
          <w:color w:val="000000"/>
        </w:rPr>
        <w:t>, including PD LID, epilepsy and</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Huntington’s disease.</w:t>
      </w:r>
    </w:p>
    <w:p>
      <w:pPr>
        <w:spacing w:after="0" w:line="189" w:lineRule="exact"/>
        <w:rPr>
          <w:rFonts w:ascii="Times New Roman" w:cs="Times New Roman" w:eastAsia="Times New Roman" w:hAnsi="Times New Roman"/>
          <w:sz w:val="18"/>
          <w:szCs w:val="18"/>
          <w:color w:val="auto"/>
        </w:rPr>
      </w:pPr>
    </w:p>
    <w:p>
      <w:pPr>
        <w:ind w:left="660" w:right="160" w:hanging="328"/>
        <w:spacing w:after="0" w:line="259"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Pursue in-licensing and acquisition of additional CNS product candidates. </w:t>
      </w:r>
      <w:r>
        <w:rPr>
          <w:rFonts w:ascii="Times New Roman" w:cs="Times New Roman" w:eastAsia="Times New Roman" w:hAnsi="Times New Roman"/>
          <w:sz w:val="18"/>
          <w:szCs w:val="18"/>
          <w:color w:val="auto"/>
        </w:rPr>
        <w:t>While our resources are currently focused primarily on development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AV-101 for MDD and additional CNS indications, we anticipate pursuing acquisition of additional CNS-related product candidates in the future. We believe that a diversified CNS product candidate portfolio, combined with our internal and collaborative network of CNS drug development expertise and ecosystem, will mitigate risks inherent in drug development and increase the likelihood of our success.</w:t>
      </w:r>
    </w:p>
    <w:p>
      <w:pPr>
        <w:spacing w:after="0" w:line="186" w:lineRule="exact"/>
        <w:rPr>
          <w:rFonts w:ascii="Times New Roman" w:cs="Times New Roman" w:eastAsia="Times New Roman" w:hAnsi="Times New Roman"/>
          <w:sz w:val="18"/>
          <w:szCs w:val="18"/>
          <w:color w:val="auto"/>
        </w:rPr>
      </w:pPr>
    </w:p>
    <w:p>
      <w:pPr>
        <w:ind w:left="660" w:right="220" w:hanging="328"/>
        <w:spacing w:after="0" w:line="254"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Capitalize on our drug rescue and RM opportunities using our stem cell technology platform. </w:t>
      </w:r>
      <w:r>
        <w:rPr>
          <w:rFonts w:ascii="Times New Roman" w:cs="Times New Roman" w:eastAsia="Times New Roman" w:hAnsi="Times New Roman"/>
          <w:sz w:val="18"/>
          <w:szCs w:val="18"/>
          <w:color w:val="auto"/>
        </w:rPr>
        <w:t>We are focused on using our cardiac stem cell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to screen and develop proprietary NCEs through drug rescue programs intended to produce proprietary NCEs for our internal drug development pipeline, without incurring many of the substantial costs and risks typically inherent in new drug discovery and nonclinical drug development. In order to capitalize on our existing stem cell technology, we may establish additional strategic collaborations similar to the BlueRock Agreement, as well as investigating potential spin-off opportunities. As most of our resources are currently focused on the nonclinical and clinical development activities we believe are necessary to advance AV-101 through Phase 2, into pivotal Phase 3 development and ultimately to market approval, a strategic collaboration or spin-off involving our stem cell technology could allow us to capitalize on our existing stem cell technology and shift our focus exclusively to developing our CNS pipeline.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AV-101 (L-4-cholorkyurenine or 4-Cl-KYN)</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Overview and Mechanism of Action</w:t>
      </w:r>
    </w:p>
    <w:p>
      <w:pPr>
        <w:spacing w:after="0" w:line="22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 xml:space="preserve">AV-101 is an orally available, clinical-stage prodrug candidate that readily gains access to the CNS after systemic administration and is rapidly converted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into its active metabolite, 7-chlorokynurenic acid (</w:t>
      </w:r>
      <w:r>
        <w:rPr>
          <w:rFonts w:ascii="Times New Roman" w:cs="Times New Roman" w:eastAsia="Times New Roman" w:hAnsi="Times New Roman"/>
          <w:sz w:val="18"/>
          <w:szCs w:val="18"/>
          <w:i w:val="1"/>
          <w:iCs w:val="1"/>
          <w:color w:val="auto"/>
        </w:rPr>
        <w:t>7-Cl-KYNA</w:t>
      </w:r>
      <w:r>
        <w:rPr>
          <w:rFonts w:ascii="Times New Roman" w:cs="Times New Roman" w:eastAsia="Times New Roman" w:hAnsi="Times New Roman"/>
          <w:sz w:val="18"/>
          <w:szCs w:val="18"/>
          <w:color w:val="auto"/>
        </w:rPr>
        <w:t>), a well-characterized, potent and highly selective antagonist of the NMDA receptor at its GlyB co-agonist site.</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Current evidence suggests that AV-101’s antagonism of NMDA receptor signaling may provide faster-acting antidepressant effects in the treatment of MDD than standard antidepressants. In addition, as confirmed in our AV-101 Phase 1 clinical studies, targeting the GlyB site of the NMDA receptor does not have the negative side effects typically associated with standard antidepressants, atypical antipsychotics often used adjunctively in the current MDD drug treatment paradigm to augment them, or classic ion channel-blocking NMDA receptor antagonists, such as ketamine.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75" w:name="page76"/>
    <w:bookmarkEnd w:id="75"/>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Major Depressive Disorder</w:t>
      </w:r>
    </w:p>
    <w:p>
      <w:pPr>
        <w:spacing w:after="0" w:line="22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Depression is a serious medical illness and a global public health concern. The WHO estimates that depression is the leading cause of disability worldwide, and is a major contributor to the global burden of disease, affecting 300 million people globally. According to the CDC, approximately one in every 10 Americans aged 12 and over takes antidepressant medication.</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While most people will experience depressed mood at some point during their lifetime, MDD is different. MDD is the chronic, pervasive feeling of utter unhappiness and suffering, which impairs daily functioning. Symptoms of MDD include diminished pleasure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Suicide is estimated to be the cause of death in up to 15% individuals with MDD.</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Standard Antidepressants</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For many people, depression cannot be controlled for any length of time without treatment. Standard antidepressant medications available in the multi-billion dollar global depression market, including commonly-prescribed SSRIs and SNRIs, have limited effectiveness, and, because of their mechanism of action, must be taken for several weeks before patients experience any significant therapeutic benefit. About two out of every three depression sufferers, including over an estimated 6.0 million drug-treated MDD patients in the U.S., do not receive adequate therapeutic benefits from their initial treatment with a standard antidepressant, and the likelihood of achieving remission of depressive symptoms declines with each successive treatment attempt. Even after multiple treatment attempts, approximately one out of every three depression sufferers still fails to find an adequately effective standard antidepressant. In addition, this trial and error process and the systemic effects of the various antidepressants involved may increase the risk of patient tolerability issues and serious side effects, including suicidal thoughts and behaviors in certain groups.</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Ketamine and NIH Clinical Studies in Major Depressive Disorder</w:t>
      </w:r>
    </w:p>
    <w:p>
      <w:pPr>
        <w:spacing w:after="0" w:line="22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6"/>
          <w:szCs w:val="16"/>
          <w:color w:val="auto"/>
        </w:rPr>
        <w:t>Ketamine hydrochloride is an FDA-approved, rapid-acting general anesthetic currently administered only by intravenous or intramuscular injection. The use of ketamine (an NMDA receptor antagonist which acts as an NMDA ion channel blocker) to treat MDD has been studied in several clinical trials conducted by depression experts at Yale University and other academic institutions and at the NIMH, part of the NIH, including by Dr. Carlos Zarate, Jr., the NIMH’s Chief of Experimental Therapeutics &amp; Pathophysiology Branch and of the Section on Neurobiology and Treatment of Mood and Anxiety Disorders. In randomized, placebo-controlled, double blind clinical trials reported by Dr. Zarate and others at the NIMH, a single sub-anesthetic dose of ketamine (0.5 mg/kg over 40 minutes) produced robust and rapid (within twenty-four hours) antidepressant effects in MDD patients who had not responded to standard antidepressants. These results were in sharp contrast to the very slow onset of standard antidepressants (SSRIs and SNRIs) that usually require many weeks of chronic usage to achieve similar antidepressant effects. The potential for widespread therapeutic use of current FDA-approved ketamine, a Schedule III drug, for MDD is limited by its potential for abuse, dissociative and psychosis-like side effects and by current practical challenges associated with the necessity of I.V. administration in a medical center. Notwithstanding these limitations, however, the discovery of ketamine’s fast-acting antidepressant effects revolutionized thinking about the current MDD drug treatment paradigm and catalyzed development of a new generation of antidepressants with a faster-acting mechanisms of action (</w:t>
      </w:r>
      <w:r>
        <w:rPr>
          <w:rFonts w:ascii="Times New Roman" w:cs="Times New Roman" w:eastAsia="Times New Roman" w:hAnsi="Times New Roman"/>
          <w:sz w:val="16"/>
          <w:szCs w:val="16"/>
          <w:i w:val="1"/>
          <w:iCs w:val="1"/>
          <w:color w:val="auto"/>
        </w:rPr>
        <w:t>MOA</w:t>
      </w:r>
      <w:r>
        <w:rPr>
          <w:rFonts w:ascii="Times New Roman" w:cs="Times New Roman" w:eastAsia="Times New Roman" w:hAnsi="Times New Roman"/>
          <w:sz w:val="16"/>
          <w:szCs w:val="16"/>
          <w:color w:val="auto"/>
        </w:rPr>
        <w:t>) similar to ketamine’s. Our oral CNS drug candidate, AV-101 is among a new generation of antidepressants with potential to deliver faster-acting antidepressant effects than standard antidepressants, without the side effects typically associated with standard antidepressants, atypical antipsychotics and ketamine.</w:t>
      </w:r>
    </w:p>
    <w:p>
      <w:pPr>
        <w:spacing w:after="0" w:line="3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AV-101, Mechanism of Action, and Major Depressive Disorder</w:t>
      </w:r>
    </w:p>
    <w:p>
      <w:pPr>
        <w:spacing w:after="0" w:line="254"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auto"/>
        </w:rPr>
        <w:t>AV-101 (4-Cl-KYN) is an orally available prodrug candidate that produces, in the brain, 7-Cl-KYNA, one of the most potent and selective antagonists of the GlyB site of the NMDA receptor, resulting in the down-regulation of NMDA receptor signaling. Growing evidence suggests that glutamatergic activation involving AMPA receptors is central to the neurobiology and treatment of MDD and other mood disorders.</w:t>
      </w:r>
    </w:p>
    <w:p>
      <w:pPr>
        <w:spacing w:after="0" w:line="18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AV-101’s mechanism of action (</w:t>
      </w:r>
      <w:r>
        <w:rPr>
          <w:rFonts w:ascii="Times New Roman" w:cs="Times New Roman" w:eastAsia="Times New Roman" w:hAnsi="Times New Roman"/>
          <w:sz w:val="18"/>
          <w:szCs w:val="18"/>
          <w:i w:val="1"/>
          <w:iCs w:val="1"/>
          <w:color w:val="auto"/>
        </w:rPr>
        <w:t>MOA</w:t>
      </w:r>
      <w:r>
        <w:rPr>
          <w:rFonts w:ascii="Times New Roman" w:cs="Times New Roman" w:eastAsia="Times New Roman" w:hAnsi="Times New Roman"/>
          <w:sz w:val="18"/>
          <w:szCs w:val="18"/>
          <w:color w:val="auto"/>
        </w:rPr>
        <w:t>) is fundamentally differentiated from the MOA of all standard, FDA-approved antidepressants and all atypical antipsychotics often used adjunctively to augment inadequate response to standard antidepressants, placing AV-101 among a new generation of antidepressants with potential to treat millions of MDD sufferers worldwide who are poorly served by SSRIs, SNRIs and other current depression therapies. AV-101 is functionally similar to ketamine in that both induce final common pathway antidepressant activity via glutamatergic activation involving AMPA receptors. However, AV-101 inhibits NMDA receptor channel activity, whereas ketamine blocks the ion channel of the NMDA receptor. AV-101, as a prodrug, produces in the brain an antagonist that inhibits the NMDA receptor by selectively binding to its functionally required GlyB site. Experimental evidence confirms that inhibiting the NMDA receptor by targeting the GlyB site can produce potent antidepressive effects and bypass adverse effects that result when ketamine blocks the NMDA receptor ion channel. Experimental evidence also supports the conclusion that this NMDA receptor inhibition by AV-101 may then result in a glutamatergic activation that depends on the AMPA receptor pathway, resulting in an increase in neuronal connections that has been associated with the faster-acting antidepressant effects than those achieved by standard antidepressants, similar to those seen with ketamine.</w:t>
      </w:r>
    </w:p>
    <w:p>
      <w:pPr>
        <w:sectPr>
          <w:pgSz w:w="11900" w:h="16838" w:orient="portrait"/>
          <w:cols w:equalWidth="0" w:num="1">
            <w:col w:w="11420"/>
          </w:cols>
          <w:pgMar w:left="240" w:top="1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76" w:name="page77"/>
    <w:bookmarkEnd w:id="76"/>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peer-reviewed published preclinical studies, AV-101 caused fast-acting, ketamine-like antidepressant effects, including rapid onset and long duration of effect following a single treatment, without causing ketamine’s negative side effects. In two NIH-funded randomized, double blind, placebo-controlled Phase 1 safety studies, AV-101 was safe, well-tolerated and not associated with any severe adverse events. There were no signs of sedation, hallucinations or psychological side effects often associated with ketamine and other channel-blocking NMDA receptor antagonists.</w:t>
      </w:r>
    </w:p>
    <w:p>
      <w:pPr>
        <w:spacing w:after="0" w:line="19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Building on over $8.8 million of prior grant award funding from the NIH for preclinical and Phase 1 clinical development of AV-101, under our CRADA, we are collaborating with Dr. Carlos Zarate, Jr. and his team at the NIMH on the small NIMH AV-101 MDD Phase 2 Monotherapy Study. Pursuant to the CRADA, this ongoing study is being conducted at the NIMH by Dr. Zarate as Principal Investigator, and is being fully-funded by the NIMH. The primary objective of the NIMH AV-101 MDD Phase 2 Monotherapy Study will be to evaluate the ability of AV-101 to improve overall depressive symptomatology in subjects with MDD, specifically whether subjects with MDD have a greater and more rapid decrease in depressive symptoms when treated with AV-101 than with placebo. We currently anticipate that the NIMH will complete the NIMH AV-101 MDD Phase 2 Monotherapy Study during the first half of 2018.</w:t>
      </w:r>
    </w:p>
    <w:p>
      <w:pPr>
        <w:spacing w:after="0" w:line="19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 xml:space="preserve">We are preparing to begin the AV-101 MDD Phase 2 Adjunctive Treatment Study, which will test the safety, efficacy and tolerability of AV-101 as an adjunctive treatment of MDD in adult patients with an inadequate response to standard, FDA-approved antidepressants. Subject to receiving sufficient financing, we intend to launch the AV-101 MDD Phase 2 Adjunctive Treatment Study in the first quarter of 2018 and currently anticipate completing the study by the end of 2018, with top line results available in the first quarter of 2019. The Principal Investigator of our AV-101 MDD Phase 2 Adjunctive Treatment Study will be Dr. Maurizio Fava of Harvard Medical School. Dr. Fava was the co-Principal Investigator with Dr. A. John Rush of the largest clinical trial ever conducted in depression, STAR*D, whose findings were published in journals such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Journal of the American Medical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Association</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AV-101 and Parkinson’s Disease Levodopa-Induced Dyskinesia (PD LID)</w:t>
      </w:r>
    </w:p>
    <w:p>
      <w:pPr>
        <w:spacing w:after="0" w:line="227"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6"/>
          <w:szCs w:val="16"/>
          <w:color w:val="auto"/>
        </w:rPr>
        <w:t xml:space="preserve">Parkinson's disease is a chronic, progressive motor disorder that causes tremors, rigidity, slowed movements and postural instability. The Parkinson's Disease Foundation estimates that there were approximately one million people living with Parkinson's disease in the United States in 2011. The most commonly-prescribed treatments for Parkinson's disease are levodopa-based therapies. In the body, levodopa is converted to dopamine to replace the dopamine loss caused by the disease. The therapeutic efficacy of levodopa is gradually lost over time, and abnormal involuntary movements, dyskinesias, gradually emerge as a prominent side-effect in response to previously beneficial doses of the drug. </w:t>
      </w:r>
      <w:r>
        <w:rPr>
          <w:rFonts w:ascii="Times New Roman" w:cs="Times New Roman" w:eastAsia="Times New Roman" w:hAnsi="Times New Roman"/>
          <w:sz w:val="16"/>
          <w:szCs w:val="16"/>
          <w:i w:val="1"/>
          <w:iCs w:val="1"/>
          <w:color w:val="auto"/>
        </w:rPr>
        <w:t>Parkinson’s disease</w:t>
      </w:r>
      <w:r>
        <w:rPr>
          <w:rFonts w:ascii="Times New Roman" w:cs="Times New Roman" w:eastAsia="Times New Roman" w:hAnsi="Times New Roman"/>
          <w:sz w:val="16"/>
          <w:szCs w:val="16"/>
          <w:color w:val="auto"/>
        </w:rPr>
        <w:t xml:space="preserve"> levodopa-induced dyskinesia can be severely disabling, rendering patients unable to perform routine daily tasks. Studies published in the </w:t>
      </w:r>
      <w:r>
        <w:rPr>
          <w:rFonts w:ascii="Times New Roman" w:cs="Times New Roman" w:eastAsia="Times New Roman" w:hAnsi="Times New Roman"/>
          <w:sz w:val="16"/>
          <w:szCs w:val="16"/>
          <w:i w:val="1"/>
          <w:iCs w:val="1"/>
          <w:color w:val="auto"/>
        </w:rPr>
        <w:t>New England Journal of Medicine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Movement Disorders</w:t>
      </w:r>
      <w:r>
        <w:rPr>
          <w:rFonts w:ascii="Times New Roman" w:cs="Times New Roman" w:eastAsia="Times New Roman" w:hAnsi="Times New Roman"/>
          <w:sz w:val="16"/>
          <w:szCs w:val="16"/>
          <w:color w:val="auto"/>
        </w:rPr>
        <w:t xml:space="preserve"> have shown PD LID develops in approximately 45% of levodopa-treated Parkinson’s disease patients after five years and 80% after 10 years of levodopa treatment.</w:t>
      </w:r>
    </w:p>
    <w:p>
      <w:pPr>
        <w:spacing w:after="0" w:line="1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 monkey model of Parkinson’s disease, AV-101 (250 mg/kg and 450 mg/kg) reduced by 30% the mean dyskinesia score associated with PD LID. Maximum dyskinesia scores were also reduced by 17%. Importantly, AV-101 did not reduce the anti-parkinsonian therapeutic benefit of levodopa. Moreover, the duration of levodopa response and delay to levodopa effect were not affected by treatment with AV-101. We believe these monkey data warrant exploratory Phase 2 clinical testing of AV-101 in Parkinson’s disease patients diagnosed with PD LID.</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AV-101 and Neuropathic Pain</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Neuropathic pain is a complex, chronic pain state that results from problems with signals from nerves. There are various causes of neuropathic pain, including tissue injury, nerve damage or disease, diabetes, infection, toxins, certain types of drugs, such as antivirals and chemotherapeutic agents, certain cancers, and even chronic alcohol intake. With neuropathic pain, damaged, dysfunctional or injured nerve fibers send incorrect signals to other pain centers and impact nerve function both at the site of injury and areas around the injury. Many neuropathic pain treatments on the market today, including gabapentin, have side effects such as anxiety, depression, mild cognitive impairment and/or sedation.</w:t>
      </w:r>
    </w:p>
    <w:p>
      <w:pPr>
        <w:spacing w:after="0" w:line="193" w:lineRule="exact"/>
        <w:rPr>
          <w:sz w:val="20"/>
          <w:szCs w:val="20"/>
          <w:color w:val="auto"/>
        </w:rPr>
      </w:pPr>
    </w:p>
    <w:p>
      <w:pPr>
        <w:jc w:val="both"/>
        <w:ind w:left="660" w:hanging="328"/>
        <w:spacing w:after="0" w:line="25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AV-101 were assessed in published peer-reviewed studies involving four well-established non-clinical models of pain, both hyperalgesia and allodynia, to examine its analgesic and behavioral profile. The publication, titled: “</w:t>
      </w:r>
      <w:r>
        <w:rPr>
          <w:rFonts w:ascii="Times New Roman" w:cs="Times New Roman" w:eastAsia="Times New Roman" w:hAnsi="Times New Roman"/>
          <w:sz w:val="18"/>
          <w:szCs w:val="18"/>
          <w:i w:val="1"/>
          <w:iCs w:val="1"/>
          <w:color w:val="auto"/>
        </w:rPr>
        <w:t>Characterization of the effects of L-4-chlorokynurenine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nociception in rodents</w:t>
      </w:r>
      <w:r>
        <w:rPr>
          <w:rFonts w:ascii="Times New Roman" w:cs="Times New Roman" w:eastAsia="Times New Roman" w:hAnsi="Times New Roman"/>
          <w:sz w:val="18"/>
          <w:szCs w:val="18"/>
          <w:color w:val="auto"/>
        </w:rPr>
        <w:t>,” by lead author, Tony L. Yaksh, Ph.D., Professor in Anesthesiology at the University of California, San Diego, was published in</w:t>
      </w:r>
      <w:r>
        <w:rPr>
          <w:rFonts w:ascii="Times New Roman" w:cs="Times New Roman" w:eastAsia="Times New Roman" w:hAnsi="Times New Roman"/>
          <w:sz w:val="18"/>
          <w:szCs w:val="18"/>
          <w:i w:val="1"/>
          <w:iCs w:val="1"/>
          <w:color w:val="auto"/>
        </w:rPr>
        <w:t xml:space="preserve"> The Journal of Pain </w:t>
      </w:r>
      <w:r>
        <w:rPr>
          <w:rFonts w:ascii="Times New Roman" w:cs="Times New Roman" w:eastAsia="Times New Roman" w:hAnsi="Times New Roman"/>
          <w:sz w:val="18"/>
          <w:szCs w:val="18"/>
          <w:color w:val="auto"/>
        </w:rPr>
        <w:t>in April 2017 (J Pain. 18:1184-1196, 2017)). In these studies, systemic delivery of AV-101 yielded brain concentrations of AV-101's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metabolite, 7-Cl-KYNA. The high CNS levels of 7-Cl-KYNA that were calculated to exceed its IC50 at the NMDA receptor GlyB site and resulted in robust, dose-dependent anti-nociceptive effects, similar to gabapentin, but with no discernable negative side effects. Gabapentin, a commonly used drug for neuropathic pain, causes sedation and mild cognitive impairment. Other commonly prescribed medications for pain include drugs targeting opioid receptors in the brain. Unfortunately, misuse of such drugs can lead to a significantly increased risk of addiction despite their potential therapeutic benefits. Therefore, we believe a drug candidate that does not target opioid receptors and is equally effective on pain, but is better tolerated than gabapentin or potentially addictive drugs targeting opioid receptors, could be an important treatment alternative for the millions of patients battling chronic neuropathic pain. Taken together with our successful AV-101 Phase 1a and 1b clinical safety studies, we believe the published results of these nonclinical studies support further clinical development of AV-101 in an exploratory Phase 2 clinical study to assess its potential as a non-opioid treatment to reduce debilitating neuropathic pain effectively, without causing gabapentin-like side effects or risk of addiction associated with pain medications targeting opioid receptors.</w:t>
      </w:r>
    </w:p>
    <w:p>
      <w:pPr>
        <w:sectPr>
          <w:pgSz w:w="11900" w:h="16838" w:orient="portrait"/>
          <w:cols w:equalWidth="0" w:num="1">
            <w:col w:w="11420"/>
          </w:cols>
          <w:pgMar w:left="240" w:top="1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77" w:name="page78"/>
    <w:bookmarkEnd w:id="77"/>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AV-101 and Epilepsy</w:t>
      </w:r>
    </w:p>
    <w:p>
      <w:pPr>
        <w:spacing w:after="0" w:line="227" w:lineRule="exact"/>
        <w:rPr>
          <w:sz w:val="20"/>
          <w:szCs w:val="20"/>
          <w:color w:val="auto"/>
        </w:rPr>
      </w:pPr>
    </w:p>
    <w:p>
      <w:pPr>
        <w:ind w:right="240"/>
        <w:spacing w:after="0" w:line="301" w:lineRule="auto"/>
        <w:rPr>
          <w:sz w:val="20"/>
          <w:szCs w:val="20"/>
          <w:color w:val="auto"/>
        </w:rPr>
      </w:pPr>
      <w:r>
        <w:rPr>
          <w:rFonts w:ascii="Times New Roman" w:cs="Times New Roman" w:eastAsia="Times New Roman" w:hAnsi="Times New Roman"/>
          <w:sz w:val="16"/>
          <w:szCs w:val="16"/>
          <w:color w:val="auto"/>
        </w:rPr>
        <w:t>AV-101 has been shown to protect against seizures and neuronal damage in animal models of epilepsy, providing preclinical support for its potential as a novel treatment alternative for epilepsy. Epilepsy is one of the most prevalent neurological disorders, affecting almost 1% of the worldwide population. According to the Epilepsy Foundation, as many as three million Americans have epilepsy, and one-third of those suffering from epilepsy are not effectively treated with currently available medications. In addition, standard anticonvulsants can cause significant side effects, which frequently interfere with compliance.</w:t>
      </w:r>
    </w:p>
    <w:p>
      <w:pPr>
        <w:spacing w:after="0" w:line="157"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6"/>
          <w:szCs w:val="16"/>
          <w:color w:val="auto"/>
        </w:rPr>
        <w:t>Glutamate is a neurotransmitter that is critically involved in the pathophysiology of epilepsy. Through its stimulation of the NMDA receptor subtype, glutamate has been implicated in the neuropathology and clinical symptoms of the disease. In support of this, NMDA receptor antagonists are potent anticonvulsants. However, classic NMDA receptor antagonists are limited by adverse effects, such as neurotoxicity, declining mental status, and the onset of psychotic symptoms following administration of the drug. The endogenous amino acid glycine modulates glutamatergic neurotransmission by stimulating the GlyB co-agonist site of the NMDA receptor. GlyB site antagonists inhibit NMDA receptor function and are therefore anticonvulsant and neuroprotective. Importantly, GlyB site antagonists have fewer and less severe side effects than classic channel-blocking NMDA receptor antagonists and other antiepileptic agents, making them a safer potential alternative to, and one expected to be associated with greater patient compliance than, available anticonvulsant medications.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AV-101 has two additional therapeutically important properties as a drug candidate for treatment of epilepsy:</w:t>
      </w:r>
    </w:p>
    <w:p>
      <w:pPr>
        <w:spacing w:after="0" w:line="225" w:lineRule="exact"/>
        <w:rPr>
          <w:sz w:val="20"/>
          <w:szCs w:val="20"/>
          <w:color w:val="auto"/>
        </w:rPr>
      </w:pPr>
    </w:p>
    <w:p>
      <w:pPr>
        <w:ind w:left="360" w:right="120" w:hanging="286"/>
        <w:spacing w:after="0" w:line="258" w:lineRule="auto"/>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AV-101 is preferentially converted to 7-Cl-KYNA in brain areas related to neuronal injury. This is because astrocytes, which are responsible for the enzymatic transamination of 4-Cl-KYN prodrug to active 7-Cl-KYNA, are focally activated at sites of neuronal injury. Due to AV-101’s highly focused site of conversion, local concentrations of newly formed 7-Cl-KYNA are greatest at the site of therapeutic need. In addition to delivering the drug where it is needed, this reduces the chance of systemic and dangerous side effects with long-term use of the drug; and</w:t>
      </w:r>
    </w:p>
    <w:p>
      <w:pPr>
        <w:spacing w:after="0" w:line="190" w:lineRule="exact"/>
        <w:rPr>
          <w:rFonts w:ascii="Times New Roman" w:cs="Times New Roman" w:eastAsia="Times New Roman" w:hAnsi="Times New Roman"/>
          <w:sz w:val="18"/>
          <w:szCs w:val="18"/>
          <w:color w:val="auto"/>
        </w:rPr>
      </w:pPr>
    </w:p>
    <w:p>
      <w:pPr>
        <w:ind w:left="360" w:right="500" w:hanging="286"/>
        <w:spacing w:after="0" w:line="275" w:lineRule="auto"/>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metabolite of AV-101, 4-Cl-3-hydroxyanthranilic acid, inhibits the synthesis of quinolinic acid, an endogenous NMDAR agonist that causes convulsions and excitotoxic neuronal damage.</w:t>
      </w:r>
    </w:p>
    <w:p>
      <w:pPr>
        <w:spacing w:after="0" w:line="174"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AV-101’s ability to activate astrocytes for focal delivery of an anti-epileptic principle, and its dual action as a NMDAR GlyB antagonist and quinolinic acid synthesis inhibitor, make AV-101 a potential Phase 2 development candidate for treatment of epilepsy.</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AV-101 and Huntington’s Disease</w:t>
      </w:r>
    </w:p>
    <w:p>
      <w:pPr>
        <w:spacing w:after="0" w:line="22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Working together with metabotropic glutamate receptors, the NMDA receptor ensures the establishment of long-term potentiation (</w:t>
      </w:r>
      <w:r>
        <w:rPr>
          <w:rFonts w:ascii="Times New Roman" w:cs="Times New Roman" w:eastAsia="Times New Roman" w:hAnsi="Times New Roman"/>
          <w:sz w:val="18"/>
          <w:szCs w:val="18"/>
          <w:i w:val="1"/>
          <w:iCs w:val="1"/>
          <w:color w:val="auto"/>
        </w:rPr>
        <w:t>LTP</w:t>
      </w:r>
      <w:r>
        <w:rPr>
          <w:rFonts w:ascii="Times New Roman" w:cs="Times New Roman" w:eastAsia="Times New Roman" w:hAnsi="Times New Roman"/>
          <w:sz w:val="18"/>
          <w:szCs w:val="18"/>
          <w:color w:val="auto"/>
        </w:rPr>
        <w:t>), a process believed to be responsible for the acquisition of information. These functions are mediated by calcium entry through the NMDA receptor-associated channel, which in turn influences a wide variety of cellular components, like cytoskeletal proteins or second-messenger synthases. However, over activation at the NMDA receptor triggers an excessive entry of calcium ions, initiating a series of cytoplasmic and nuclear processes that promote neuronal cell death through necrosis as well as apoptosis, and these mechanisms have been implicated in several neurodegenerative diseases.</w:t>
      </w:r>
    </w:p>
    <w:p>
      <w:pPr>
        <w:spacing w:after="0" w:line="188"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6"/>
          <w:szCs w:val="16"/>
          <w:color w:val="auto"/>
        </w:rPr>
        <w:t>Huntington's disease (</w:t>
      </w:r>
      <w:r>
        <w:rPr>
          <w:rFonts w:ascii="Times New Roman" w:cs="Times New Roman" w:eastAsia="Times New Roman" w:hAnsi="Times New Roman"/>
          <w:sz w:val="16"/>
          <w:szCs w:val="16"/>
          <w:i w:val="1"/>
          <w:iCs w:val="1"/>
          <w:color w:val="auto"/>
        </w:rPr>
        <w:t>HD</w:t>
      </w:r>
      <w:r>
        <w:rPr>
          <w:rFonts w:ascii="Times New Roman" w:cs="Times New Roman" w:eastAsia="Times New Roman" w:hAnsi="Times New Roman"/>
          <w:sz w:val="16"/>
          <w:szCs w:val="16"/>
          <w:color w:val="auto"/>
        </w:rPr>
        <w:t>) is an inherited disorder that causes degeneration of brain cells, called neurons, in motor control regions of the brain, as well as other areas. Symptoms of the disease, which gets progressively worse, include uncontrolled movements (called chorea), abnormal body postures, and changes in behavior, emotion, judgment, and cognition. HD is caused by an expansion in the number of glutamine repeats beyond 35 at the amino terminal end of a protein termed “huntingtin.” Such a mutation in huntingtin leads to a sequence of progressive cellular changes in the brain that result in neuronal loss and other characteristic neuropathological features of HD. These are most prominent in the neostriatum and in the cerebral cortex, but also observed in other brain areas.</w:t>
      </w:r>
    </w:p>
    <w:p>
      <w:pPr>
        <w:spacing w:after="0" w:line="15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tissue levels of two neurotoxic metabolites of the kynurenine pathway of tryptophan degradation, quinolinic acid (</w:t>
      </w:r>
      <w:r>
        <w:rPr>
          <w:rFonts w:ascii="Times New Roman" w:cs="Times New Roman" w:eastAsia="Times New Roman" w:hAnsi="Times New Roman"/>
          <w:sz w:val="18"/>
          <w:szCs w:val="18"/>
          <w:i w:val="1"/>
          <w:iCs w:val="1"/>
          <w:color w:val="auto"/>
        </w:rPr>
        <w:t>QUIN</w:t>
      </w:r>
      <w:r>
        <w:rPr>
          <w:rFonts w:ascii="Times New Roman" w:cs="Times New Roman" w:eastAsia="Times New Roman" w:hAnsi="Times New Roman"/>
          <w:sz w:val="18"/>
          <w:szCs w:val="18"/>
          <w:color w:val="auto"/>
        </w:rPr>
        <w:t>) and 3-hydroxykynurenine (</w:t>
      </w:r>
      <w:r>
        <w:rPr>
          <w:rFonts w:ascii="Times New Roman" w:cs="Times New Roman" w:eastAsia="Times New Roman" w:hAnsi="Times New Roman"/>
          <w:sz w:val="18"/>
          <w:szCs w:val="18"/>
          <w:i w:val="1"/>
          <w:iCs w:val="1"/>
          <w:color w:val="auto"/>
        </w:rPr>
        <w:t>3-HK</w:t>
      </w:r>
      <w:r>
        <w:rPr>
          <w:rFonts w:ascii="Times New Roman" w:cs="Times New Roman" w:eastAsia="Times New Roman" w:hAnsi="Times New Roman"/>
          <w:sz w:val="18"/>
          <w:szCs w:val="18"/>
          <w:color w:val="auto"/>
        </w:rPr>
        <w:t>) are increased in the striatum and neocortex, but not in the cerebellum, in early stage HD. QUIN and 3-HK and especially the joint action of these two metabolites, have long been associated with the neurodegenerative and other features of the pathophysiology of HD. The neuronal death caused by QUIN and 3-HK is due to both free radical formation and NMDA receptor overstimulation (excitotoxicity).</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Based on the hypothesis that 3-HK and QUIN are involved in the progression of HD, early intervention aimed at affecting the kynurenine pathway in the brain may present a promising treatment strategy. We believe the ability of AV-101 to reduce the brain levels of neurotoxic QUIN and to potentially produce significant local concentrations of 7-Cl-KYNA on chronic administration, presents an exciting opportunity for exploratory Phase 2 clinical investigation of AV-101 as a potential chronic treatment alternative for certain symptoms of HD.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78" w:name="page79"/>
    <w:bookmarkEnd w:id="78"/>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AV-101 Phase 1 Clinical Safety Studies</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safety data from two NIH-funded AV-101 Phase 1 clinical safety studies indicate that AV-101 was safe and well tolerated in healthy subjects at all doses tested. There were no Adverse Effects (</w:t>
      </w:r>
      <w:r>
        <w:rPr>
          <w:rFonts w:ascii="Times New Roman" w:cs="Times New Roman" w:eastAsia="Times New Roman" w:hAnsi="Times New Roman"/>
          <w:sz w:val="18"/>
          <w:szCs w:val="18"/>
          <w:i w:val="1"/>
          <w:iCs w:val="1"/>
          <w:color w:val="auto"/>
        </w:rPr>
        <w:t>AEs</w:t>
      </w:r>
      <w:r>
        <w:rPr>
          <w:rFonts w:ascii="Times New Roman" w:cs="Times New Roman" w:eastAsia="Times New Roman" w:hAnsi="Times New Roman"/>
          <w:sz w:val="18"/>
          <w:szCs w:val="18"/>
          <w:color w:val="auto"/>
        </w:rPr>
        <w:t>) reported by subjects that received AV-101 that were graded as probably related to study drug. The type and distribution of AEs reported by subjects in the studies were considered to be typical for studies in healthy volunteers. All AEs were completely resolved. Further, no Serious Adverse Events (</w:t>
      </w:r>
      <w:r>
        <w:rPr>
          <w:rFonts w:ascii="Times New Roman" w:cs="Times New Roman" w:eastAsia="Times New Roman" w:hAnsi="Times New Roman"/>
          <w:sz w:val="18"/>
          <w:szCs w:val="18"/>
          <w:i w:val="1"/>
          <w:iCs w:val="1"/>
          <w:color w:val="auto"/>
        </w:rPr>
        <w:t>SAEs</w:t>
      </w:r>
      <w:r>
        <w:rPr>
          <w:rFonts w:ascii="Times New Roman" w:cs="Times New Roman" w:eastAsia="Times New Roman" w:hAnsi="Times New Roman"/>
          <w:sz w:val="18"/>
          <w:szCs w:val="18"/>
          <w:color w:val="auto"/>
        </w:rPr>
        <w:t>) were reported.</w:t>
      </w:r>
    </w:p>
    <w:p>
      <w:pPr>
        <w:spacing w:after="0" w:line="18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The Pharmacokinetics (</w:t>
      </w:r>
      <w:r>
        <w:rPr>
          <w:rFonts w:ascii="Times New Roman" w:cs="Times New Roman" w:eastAsia="Times New Roman" w:hAnsi="Times New Roman"/>
          <w:sz w:val="18"/>
          <w:szCs w:val="18"/>
          <w:i w:val="1"/>
          <w:iCs w:val="1"/>
          <w:color w:val="auto"/>
        </w:rPr>
        <w:t>PK</w:t>
      </w:r>
      <w:r>
        <w:rPr>
          <w:rFonts w:ascii="Times New Roman" w:cs="Times New Roman" w:eastAsia="Times New Roman" w:hAnsi="Times New Roman"/>
          <w:sz w:val="18"/>
          <w:szCs w:val="18"/>
          <w:color w:val="auto"/>
        </w:rPr>
        <w:t>) of AV-101 were fully characterized across the range of doses in these Phase 1a and 1b studies. Plasma concentration-time profiles obtained for 4-Cl-KYN (AV-101) and 7-Cl-KYNA after administration of a single escalating dose (Phase 1a) and multiple, once daily oral doses of 360, 1,080, or 1,440 mg for 14 days (Phase 1b) were consistent with rapid absorption of the oral dose and first-order elimination of both analytes, with evidence of multi-compartment kinetics, particularly for the AV-101’s active metabolite, 7-Cl-KYNA.</w:t>
      </w:r>
    </w:p>
    <w:p>
      <w:pPr>
        <w:spacing w:after="0" w:line="189"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Although the Phase 1 safety and PK studies were not designed to measure or evaluate the potential antidepressant effects of AV-101, approximately 9% (5/54) of the subjects receiving AV-101 and 0% of the 30 subjects receiving placebo reported “feelings of well-being” (coded as euphoric mood), similar to the fast-acting antidepressant effects reported in the literature with ketamine.</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Phase 1a Study</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phase 1a, randomized, double blind, placebo-controlled study to evaluate the safety and PK of single doses of AV-101 in healthy volunteers was conducted. Seven cohorts (30, 120, 360, 720, 1,080, 1,440, and 1,800 mg) with six subjects per cohort (1:1, AV-101: placebo) were to be enrolled in the study. Nine subjects experienced 10 AEs, with four of the AEs occurring in subjects in the placebo group and two of the AEs occurring for one subject receiving 30 mg AV-101. For the AEs occurring in the AV-101–treated subjects, there were no meaningful differences in the number of AEs observed at the 30-mg dose (two AEs) when compared with that at the 120-mg dose (one AE), 360-mg dose (one AE), 720-mg dose (zero AEs), 1,080-mg dose (zero AEs), or 1,440-mg dose (two AEs). Eight of 10 AEs (80%) were considered mild, and two (20%, headache and gastroenteritis) were considered moderate. Four subjects on AV-101, one each in Cohorts 1 through 4 and two subjects on placebo in Cohort 5 reported AEs of headaches. Five headaches were mild with no concomitant treatment, and one was moderate with concomitant drug therapy administered. Most completely resolved the same day as onset and were considered not serious. One headache started the day after dosing and resolved approximately one week later on the same day as the concomitant drug therapy was administered. One case of contact dermatitis bilateral lower extremities was reported in Cohort 2 on placebo that was ongoing. One of the subjects with the headache also reported an AE of gastroenteritis that was unrelated to AV-101. This AE was considered moderate but did not require any drug therapy and was completely resolved within two days of onset. This AE was also considered not serious.</w:t>
      </w:r>
    </w:p>
    <w:p>
      <w:pPr>
        <w:spacing w:after="0" w:line="201" w:lineRule="exact"/>
        <w:rPr>
          <w:sz w:val="20"/>
          <w:szCs w:val="20"/>
          <w:color w:val="auto"/>
        </w:rPr>
      </w:pPr>
    </w:p>
    <w:p>
      <w:pPr>
        <w:jc w:val="both"/>
        <w:ind w:right="360"/>
        <w:spacing w:after="0" w:line="262" w:lineRule="auto"/>
        <w:rPr>
          <w:sz w:val="20"/>
          <w:szCs w:val="20"/>
          <w:color w:val="auto"/>
        </w:rPr>
      </w:pPr>
      <w:r>
        <w:rPr>
          <w:rFonts w:ascii="Times New Roman" w:cs="Times New Roman" w:eastAsia="Times New Roman" w:hAnsi="Times New Roman"/>
          <w:sz w:val="18"/>
          <w:szCs w:val="18"/>
          <w:color w:val="auto"/>
        </w:rPr>
        <w:t>The PK of AV-101 was fully characterized across the range of doses in this Phase 1a study following a single oral administration. Plasma concentration-time profiles obtained for 4-Cl-KYN (AV-101) and 7-Cl-KYNA were consistent with rapid absorption of the oral dose and first-order elimination of both analytes, with evidence of multi-compartment kinetics, particularly for the metabolite 7-Cl-KYNA.</w:t>
      </w:r>
    </w:p>
    <w:p>
      <w:pPr>
        <w:spacing w:after="0" w:line="18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Even though this Phase 1a safety study was not designed to quantitatively assess effects on mood, during the interviews, two out of three subjects who received the highest dose (1440 mg) of AV-101 voluntarily acknowledged positive effects on their mood. Similar comments were not made by any of the 18 placebo group subjects.</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Phase 1b Study</w:t>
      </w:r>
    </w:p>
    <w:p>
      <w:pPr>
        <w:spacing w:after="0" w:line="22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 Phase 1b clinical study was conducted as a single-site, dose-escalating study to evaluate the safety, tolerability, and PK of multiple doses of AV-101 administered daily in healthy volunteers. The antihyperalgesic effect of AV-101 on capsaicin-induced hyperalgesia was also assessed. Subjects were sequentially enrolled into one of three cohorts (360 mg, 1,080 mg, and 1,440 mg) and were randomized to AV-101 or placebo at a 12:4 (AV-101 to placebo) ratio. Subjects were dosed for 14 consecutive days. Each subject was given a paper diary and instructed to record daily dose administration, concomitant medications, and AEs during the 14-day treatment period.</w:t>
      </w:r>
    </w:p>
    <w:p>
      <w:pPr>
        <w:spacing w:after="0" w:line="19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For this study, the minimum toxic dose was to be (i) the dose at which a drug-related SAE occurred in an AV-101–treated subject, or (ii) the dose at which a severe AE that warranted stopping the study, as determined by the investigator and medical monitor, occurred in an AV-101–treated subject within a cohort. The minimum toxic dose was not reached in this study.</w:t>
      </w:r>
    </w:p>
    <w:p>
      <w:pPr>
        <w:spacing w:after="0" w:line="18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 total of 40 AEs were reported by 24 of 37 (64.9%) subjects receiving AV-101, and 17 AEs were reported by 10 of 13 (76.9%) subject receiving placebo. The frequency of AEs was similar among the treatment groups. Thirty-four subjects experienced a total of 57 AEs, with 16 (28.1% of the total AEs) in the 360-mg group, 14 (24.6% of the total AEs) in the 1,040-mg group, 10 (17.5% of the total AEs) in the 1,440-mg group, and 17 (29.8% of the total AEs) in the placebo group. All of the AEs were completely resolved, and no SAEs were reported.</w:t>
      </w:r>
    </w:p>
    <w:p>
      <w:pPr>
        <w:sectPr>
          <w:pgSz w:w="11900" w:h="16838" w:orient="portrait"/>
          <w:cols w:equalWidth="0" w:num="1">
            <w:col w:w="11420"/>
          </w:cols>
          <w:pgMar w:left="240" w:top="1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79" w:name="page80"/>
    <w:bookmarkEnd w:id="79"/>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majority of the reported AEs were nervous system disorders (23 subjects, 46% of subjects) and gastrointestinal disorders (seven subjects, 14.0%). The remaining AEs were classified as eye disorders (three subjects, 6.0%); psychiatric disorders (three subjects, 6.0%); respiratory, thoracic, and mediastinal disorders (three subjects, 6.0%); skin and subcutaneous tissue disorders (three subjects, 6.0%); general disorders and administration site conditions (two subjects, 4.0%); cardiac disorders one subject, 2.0%); infections and infestations (one subject, 2.0%); musculoskeletal and connective tissue disorders (one subject, 2.0%); and renal disorders (one subject, 2.0%).</w:t>
      </w:r>
    </w:p>
    <w:p>
      <w:pPr>
        <w:spacing w:after="0" w:line="19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distribution of AEs by System Organ Class was similar among the cohorts with the exception of headaches and gastrointestinal disorders. Eight of the 18 (44.4%) reported headaches were in the placebo group, 6 (33.3%) were in the 1,080-mg group, three (16.7%) were in the 1,440-mg group, and one (5.6%) was in the 360-mg group. Three (42.9%) of the seven reported gastrointestinal disorders were in the 360-mg group, two (28.6%) were in the placebo group, one (14.3%) was in the 1,080-mg group, and one (14.3%) was in the 1,440-mg group.</w:t>
      </w:r>
    </w:p>
    <w:p>
      <w:pPr>
        <w:spacing w:after="0" w:line="19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determination of the relationship of the AE to the study drug was made when the data were unblinded. Ten of the 15 AEs (66.7%) that occurred in the 360-mg AV-101 group, 10 of the 14 AEs (71.4%) that occurred in the 1,040-mg AV-101 group, seven of the 10 AEs (70.0%) that occurred in the 1,440-mg AV-101 group, and 13 of the 17 AEs (76.5%) that occurred in the placebo group were determined to be possibly related to study drug. One (5.9%) AE in the placebo group was probably related to study drug (rash around neck). Of the 57 reported AEs, 49 (85.9%) were of mild intensity and eight (14.0%) were of moderate intensity. There were two moderate intensity AEs in the 360-mg AV-101 group; one was unrelated pain in the right foot, and one was a possibly related headache. All other moderate AEs occurred in the placebo group and included nausea or vomiting (two AEs), headache (two AEs), and rash around the neck (one AE). No SAEs were reported.</w:t>
      </w:r>
    </w:p>
    <w:p>
      <w:pPr>
        <w:spacing w:after="0" w:line="19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Even though this Phase 1b safety study was not designed to quantitatively assess effects on mood, during the interviews certain subjects who received 360, 1080, and 1440 mg of AV-101, voluntarily acknowledged positive effects on mood. Similar comments were not made by any of the placebo-group subjects.</w:t>
      </w:r>
    </w:p>
    <w:p>
      <w:pPr>
        <w:spacing w:after="0" w:line="17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The PK of AV-101 was fully characterized across the range of doses in this Phase 1b study. Plasma concentration-time profiles obtained for 4-Cl-KYN (AV-101) and 7-Cl-KYNA following 14 daily oral administrations of 360, 1,080, or 1,440 mg were consistent with rapid absorption of the oral dose and first-order elimination of both analytes, with evidence of multi-compartment kinetics, particularly for the metabolite 7-Cl-KYNA.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VistaStem Therapeutics</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VistaStem Therapeutics (</w:t>
      </w:r>
      <w:r>
        <w:rPr>
          <w:rFonts w:ascii="Times New Roman" w:cs="Times New Roman" w:eastAsia="Times New Roman" w:hAnsi="Times New Roman"/>
          <w:sz w:val="18"/>
          <w:szCs w:val="18"/>
          <w:i w:val="1"/>
          <w:iCs w:val="1"/>
          <w:color w:val="auto"/>
        </w:rPr>
        <w:t>VistaStem</w:t>
      </w:r>
      <w:r>
        <w:rPr>
          <w:rFonts w:ascii="Times New Roman" w:cs="Times New Roman" w:eastAsia="Times New Roman" w:hAnsi="Times New Roman"/>
          <w:sz w:val="18"/>
          <w:szCs w:val="18"/>
          <w:color w:val="auto"/>
        </w:rPr>
        <w:t>) is our wholly owned subsidiary focused on applying human pluripotent stem cell (</w:t>
      </w:r>
      <w:r>
        <w:rPr>
          <w:rFonts w:ascii="Times New Roman" w:cs="Times New Roman" w:eastAsia="Times New Roman" w:hAnsi="Times New Roman"/>
          <w:sz w:val="18"/>
          <w:szCs w:val="18"/>
          <w:i w:val="1"/>
          <w:iCs w:val="1"/>
          <w:color w:val="auto"/>
        </w:rPr>
        <w:t>hPSC</w:t>
      </w:r>
      <w:r>
        <w:rPr>
          <w:rFonts w:ascii="Times New Roman" w:cs="Times New Roman" w:eastAsia="Times New Roman" w:hAnsi="Times New Roman"/>
          <w:sz w:val="18"/>
          <w:szCs w:val="18"/>
          <w:color w:val="auto"/>
        </w:rPr>
        <w:t>) technology, internally and with collaborators, to discover, rescue, develop and commercialize (i) proprietary new chemical entities (</w:t>
      </w:r>
      <w:r>
        <w:rPr>
          <w:rFonts w:ascii="Times New Roman" w:cs="Times New Roman" w:eastAsia="Times New Roman" w:hAnsi="Times New Roman"/>
          <w:sz w:val="18"/>
          <w:szCs w:val="18"/>
          <w:i w:val="1"/>
          <w:iCs w:val="1"/>
          <w:color w:val="auto"/>
        </w:rPr>
        <w:t>NCEs</w:t>
      </w:r>
      <w:r>
        <w:rPr>
          <w:rFonts w:ascii="Times New Roman" w:cs="Times New Roman" w:eastAsia="Times New Roman" w:hAnsi="Times New Roman"/>
          <w:sz w:val="18"/>
          <w:szCs w:val="18"/>
          <w:color w:val="auto"/>
        </w:rPr>
        <w:t>) for CNS and other diseases and (ii) regenerative medicine (</w:t>
      </w:r>
      <w:r>
        <w:rPr>
          <w:rFonts w:ascii="Times New Roman" w:cs="Times New Roman" w:eastAsia="Times New Roman" w:hAnsi="Times New Roman"/>
          <w:sz w:val="18"/>
          <w:szCs w:val="18"/>
          <w:i w:val="1"/>
          <w:iCs w:val="1"/>
          <w:color w:val="auto"/>
        </w:rPr>
        <w:t>RM</w:t>
      </w:r>
      <w:r>
        <w:rPr>
          <w:rFonts w:ascii="Times New Roman" w:cs="Times New Roman" w:eastAsia="Times New Roman" w:hAnsi="Times New Roman"/>
          <w:sz w:val="18"/>
          <w:szCs w:val="18"/>
          <w:color w:val="auto"/>
        </w:rPr>
        <w:t xml:space="preserve">) involving hPSC-derived blood, cartilage, heart and liver cells. We used our hPSC-derived cardiomyocytes (human heart cells) to develop </w:t>
      </w:r>
      <w:r>
        <w:rPr>
          <w:rFonts w:ascii="Times New Roman" w:cs="Times New Roman" w:eastAsia="Times New Roman" w:hAnsi="Times New Roman"/>
          <w:sz w:val="18"/>
          <w:szCs w:val="18"/>
          <w:i w:val="1"/>
          <w:iCs w:val="1"/>
          <w:color w:val="auto"/>
        </w:rPr>
        <w:t xml:space="preserve">CardioSafe </w:t>
      </w:r>
      <w:r>
        <w:rPr>
          <w:rFonts w:ascii="Times New Roman" w:cs="Times New Roman" w:eastAsia="Times New Roman" w:hAnsi="Times New Roman"/>
          <w:sz w:val="18"/>
          <w:szCs w:val="18"/>
          <w:color w:val="auto"/>
        </w:rPr>
        <w:t>3D™, our customized</w:t>
      </w:r>
      <w:r>
        <w:rPr>
          <w:rFonts w:ascii="Times New Roman" w:cs="Times New Roman" w:eastAsia="Times New Roman" w:hAnsi="Times New Roman"/>
          <w:sz w:val="18"/>
          <w:szCs w:val="18"/>
          <w:i w:val="1"/>
          <w:iCs w:val="1"/>
          <w:color w:val="auto"/>
        </w:rPr>
        <w:t xml:space="preserve"> in vitro </w:t>
      </w:r>
      <w:r>
        <w:rPr>
          <w:rFonts w:ascii="Times New Roman" w:cs="Times New Roman" w:eastAsia="Times New Roman" w:hAnsi="Times New Roman"/>
          <w:sz w:val="18"/>
          <w:szCs w:val="18"/>
          <w:color w:val="auto"/>
        </w:rPr>
        <w:t>bioassay system for predicting heart toxicity of drug rescue NCEs. We believe</w:t>
      </w:r>
      <w:r>
        <w:rPr>
          <w:rFonts w:ascii="Times New Roman" w:cs="Times New Roman" w:eastAsia="Times New Roman" w:hAnsi="Times New Roman"/>
          <w:sz w:val="18"/>
          <w:szCs w:val="18"/>
          <w:i w:val="1"/>
          <w:iCs w:val="1"/>
          <w:color w:val="auto"/>
        </w:rPr>
        <w:t xml:space="preserve"> CardioSafe </w:t>
      </w:r>
      <w:r>
        <w:rPr>
          <w:rFonts w:ascii="Times New Roman" w:cs="Times New Roman" w:eastAsia="Times New Roman" w:hAnsi="Times New Roman"/>
          <w:sz w:val="18"/>
          <w:szCs w:val="18"/>
          <w:color w:val="auto"/>
        </w:rPr>
        <w:t>3D is more comprehensive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clinically predictive than the hERG assay, which currently is the only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cardiac safety assay required by FDA guidelines, and provides us with new generation human cell-based technology to identify and evaluate drug rescue candidates and develop drug rescue NCEs.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Scientific Background</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Stem cells are the building blocks of all cells of the human body. They have the potential to develop into many different mature cell types. Stem cells are defined by a minimum of two key characteristics: (i) their capacity to self-renew, or divide in a way that results in more stem cells; and (ii) their capacity to differentiate, or turn into mature, specialized cells that make up tissues and organs. There are many different types of stem cells that come from different places in the body or are formed at different times throughout our lives, including pluripotent stem cells and adult or tissue-specific stem cells, which are limited to differentiating into the specific cell types of the tissues in which they reside. We focus exclusively on human pluripotent stem cells.</w:t>
      </w:r>
    </w:p>
    <w:p>
      <w:pPr>
        <w:spacing w:after="0" w:line="193"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Human pluripotent stem cells can be differentiated into all of the more than 200 types of cells in the human body, can be expanded readily, and have diverse medical research, drug discovery, drug rescue, drug development and therapeutic applications. We believe hPSCs can be used to develop numerous cell types, tissues and customized assays that can mimic complex human biology, including heart and liver biology for drug rescue.</w:t>
      </w:r>
    </w:p>
    <w:p>
      <w:pPr>
        <w:spacing w:after="0" w:line="18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Human pluripotent stem cells are either embryonic stem cells (</w:t>
      </w:r>
      <w:r>
        <w:rPr>
          <w:rFonts w:ascii="Times New Roman" w:cs="Times New Roman" w:eastAsia="Times New Roman" w:hAnsi="Times New Roman"/>
          <w:sz w:val="18"/>
          <w:szCs w:val="18"/>
          <w:i w:val="1"/>
          <w:iCs w:val="1"/>
          <w:color w:val="auto"/>
        </w:rPr>
        <w:t>hESCs</w:t>
      </w:r>
      <w:r>
        <w:rPr>
          <w:rFonts w:ascii="Times New Roman" w:cs="Times New Roman" w:eastAsia="Times New Roman" w:hAnsi="Times New Roman"/>
          <w:sz w:val="18"/>
          <w:szCs w:val="18"/>
          <w:color w:val="auto"/>
        </w:rPr>
        <w:t>) or induced pluripotent stem cells (</w:t>
      </w:r>
      <w:r>
        <w:rPr>
          <w:rFonts w:ascii="Times New Roman" w:cs="Times New Roman" w:eastAsia="Times New Roman" w:hAnsi="Times New Roman"/>
          <w:sz w:val="18"/>
          <w:szCs w:val="18"/>
          <w:i w:val="1"/>
          <w:iCs w:val="1"/>
          <w:color w:val="auto"/>
        </w:rPr>
        <w:t>iPSCs</w:t>
      </w:r>
      <w:r>
        <w:rPr>
          <w:rFonts w:ascii="Times New Roman" w:cs="Times New Roman" w:eastAsia="Times New Roman" w:hAnsi="Times New Roman"/>
          <w:sz w:val="18"/>
          <w:szCs w:val="18"/>
          <w:color w:val="auto"/>
        </w:rPr>
        <w:t xml:space="preserve">). Both hESCs and iPSCs have the capacity to be maintained and expanded in an undifferentiated state indefinitely. We believe these features make them highly useful research and development tools and as a source of normal, functionally mature cell populations. We use multiple types of these mature cells as the foundation to design and develop novel, customized bioassay systems to test the safety and efficacy of NCEs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These cells also have potential for diverse regenerative medicine applications.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80" w:name="page81"/>
    <w:bookmarkEnd w:id="80"/>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Human Embryonic Stem Cells</w:t>
      </w:r>
    </w:p>
    <w:p>
      <w:pPr>
        <w:spacing w:after="0" w:line="225"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 xml:space="preserve">According to the NIH, hESCs are derived from excess embryos that develop from eggs that have been fertilized in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fertilization (</w:t>
      </w:r>
      <w:r>
        <w:rPr>
          <w:rFonts w:ascii="Times New Roman" w:cs="Times New Roman" w:eastAsia="Times New Roman" w:hAnsi="Times New Roman"/>
          <w:sz w:val="18"/>
          <w:szCs w:val="18"/>
          <w:i w:val="1"/>
          <w:iCs w:val="1"/>
          <w:color w:val="auto"/>
        </w:rPr>
        <w:t>IVF</w:t>
      </w:r>
      <w:r>
        <w:rPr>
          <w:rFonts w:ascii="Times New Roman" w:cs="Times New Roman" w:eastAsia="Times New Roman" w:hAnsi="Times New Roman"/>
          <w:sz w:val="18"/>
          <w:szCs w:val="18"/>
          <w:color w:val="auto"/>
        </w:rPr>
        <w:t>) clinic and then donated for research purposes with the informed consent of the parental donors after a successful IVF procedure. Human embryonic stem cells are not derived from eggs fertilized in a woman’s body. Human ESCs are isolated when the embryo is approximately 100 cells, well before organs, tissues or nerves have developed.</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Human ESCs have the potential to both self-renew and differentiate. They undergo increasingly tissue-restrictive developmental decisions during their differentiation. These “fate decisions” commit the hESCs to becoming only a certain type of mature, functional cells and ultimately tissues. At one of the first fate decision points, hESCs differentiate into epiblasts. Although epiblasts cannot self-renew, they can differentiate into the major tissues of the body. This epiblast stage can be used, for example, as the starting population of cells that develop into millions of blood, heart, muscle, liver and insulin-producing pancreatic beta-islet cells, as well as neurons. In the next step, the presence or absence of certain growth factors, together with the differentiation signals resulting from the physical attributes of the cell culture techniques, induce the epiblasts to differentiate into neuroectoderm or mesendoderm cells. Neuroectoderm cells are committed to developing into cells of the skin and nervous systems. Mesendoderm cells are precursor cells that differentiate into mesoderm and endoderm. Mesoderm cells develop into muscle, bone and blood, among other cell types. Endoderm cells develop into the internal organs such as the heart, liver, pancreas and intestines, among other cell types.</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Induced Pluripotent Stem Cells</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It is also possible to obtain hPSC lines from individuals without the use of embryos. Induced PSCs are adult cells, typically human skin or fat cells that have been genetically reprogrammed to behave like hESCs by being forced to express genes necessary for maintaining the pluripotential properties of hESCs. Although researchers are exploring non-viral methods, most early iPSCs were produced by using various viruses to express three or four genes required for the immature pluripotential property similar to hESCs. It is not yet precisely known, however, how each gene actually functions to induce cellular pluripotency, nor whether each of the three or four genes is essential for this reprogramming. Although hESCs and iPSCs are believed to be similar in many respects, including their pluripotential ability to form all cells in the body and to self-renew, scientists do not yet know whether they differ in clinically significant ways or have the same ability to self-renew.</w:t>
      </w:r>
    </w:p>
    <w:p>
      <w:pPr>
        <w:spacing w:after="0" w:line="19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We believe the biology and differentiation capabilities of hESCs and iPSCs are likely to be comparable for most if not all purposes. There are, however, specific situations in which we may prefer to use one or the other type of hPSC. For example, we may prefer to use iPSCs for potential drug discovery applications based on the relative ease of generating iPSCs from:</w:t>
      </w:r>
    </w:p>
    <w:p>
      <w:pPr>
        <w:spacing w:after="0" w:line="186"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with specific inheritable diseases and conditions that predispose the individual to respond differently to drugs; or</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with specific variations in genes that directly affect drug levels in the body or alter the manner or efficiency of their metabolism, breakdown and/or elimination of drugs.</w:t>
      </w:r>
    </w:p>
    <w:p>
      <w:pPr>
        <w:spacing w:after="0" w:line="17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Because they can significantly affect the therapeutic and/or toxic effects of drugs, these genetic variations have an impact on drug discovery and development. We believe iPSC technologies may allow the rapid and efficient generation of hPSCs from individuals with specific genetic variations. These hPSCs might then be used to produce cells to model specific diseases and genetic conditions for drug discovery and drug rescue purposes.</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CardioSafe </w:t>
      </w:r>
      <w:r>
        <w:rPr>
          <w:rFonts w:ascii="Times New Roman" w:cs="Times New Roman" w:eastAsia="Times New Roman" w:hAnsi="Times New Roman"/>
          <w:sz w:val="18"/>
          <w:szCs w:val="18"/>
          <w:color w:val="auto"/>
        </w:rPr>
        <w:t>3D</w:t>
      </w:r>
    </w:p>
    <w:p>
      <w:pPr>
        <w:spacing w:after="0" w:line="227"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color w:val="auto"/>
        </w:rPr>
        <w:t xml:space="preserve">The limitations of current preclinical drug testing systems used by pharmaceutical companies and others contribute to the high failure rate of NCEs. Incorporating novel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using hPSC-derived cardiomyocytes (</w:t>
      </w:r>
      <w:r>
        <w:rPr>
          <w:rFonts w:ascii="Times New Roman" w:cs="Times New Roman" w:eastAsia="Times New Roman" w:hAnsi="Times New Roman"/>
          <w:sz w:val="18"/>
          <w:szCs w:val="18"/>
          <w:i w:val="1"/>
          <w:iCs w:val="1"/>
          <w:color w:val="auto"/>
        </w:rPr>
        <w:t>hPSC-CMs</w:t>
      </w:r>
      <w:r>
        <w:rPr>
          <w:rFonts w:ascii="Times New Roman" w:cs="Times New Roman" w:eastAsia="Times New Roman" w:hAnsi="Times New Roman"/>
          <w:sz w:val="18"/>
          <w:szCs w:val="18"/>
          <w:color w:val="auto"/>
        </w:rPr>
        <w:t>) early in preclinical development offers the potential to improve clinical predictability, decrease development costs, and avoid adverse patient effects, late-stage clinical termination, and product recall from the market.</w:t>
      </w:r>
    </w:p>
    <w:p>
      <w:pPr>
        <w:spacing w:after="0" w:line="186"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6"/>
          <w:szCs w:val="16"/>
          <w:color w:val="auto"/>
        </w:rPr>
        <w:t xml:space="preserve">We produce fully functional, non-transformed hPSC-CMs at a high level of purity and with normal ratios of all important cardiac cell types. Importantly, our hPSC-CM differentiation protocols do not involve either genetic modification or antibiotic selection. This is important because genetic modification and antibiotic selection can distort the ratio of cardiac cell types and have a direct impact on the ultimate results and clinical predictivity of assays that incorporate hPSC-CMs produced in such a manner. In addition to normal expression all of the key ion channels of the human heart (calcium, potassium and sodium) and various cardiomyocytic markers of the human heart, our </w:t>
      </w:r>
      <w:r>
        <w:rPr>
          <w:rFonts w:ascii="Times New Roman" w:cs="Times New Roman" w:eastAsia="Times New Roman" w:hAnsi="Times New Roman"/>
          <w:sz w:val="16"/>
          <w:szCs w:val="16"/>
          <w:i w:val="1"/>
          <w:iCs w:val="1"/>
          <w:color w:val="auto"/>
        </w:rPr>
        <w:t>CardioSafe</w:t>
      </w:r>
      <w:r>
        <w:rPr>
          <w:rFonts w:ascii="Times New Roman" w:cs="Times New Roman" w:eastAsia="Times New Roman" w:hAnsi="Times New Roman"/>
          <w:sz w:val="16"/>
          <w:szCs w:val="16"/>
          <w:color w:val="auto"/>
        </w:rPr>
        <w:t xml:space="preserve"> 3D cardiac toxicity assays screening for both direct cardiomyocyte cytotoxicity and arrhythmogenesis (or development of irregular beating patterns). We believe </w:t>
      </w:r>
      <w:r>
        <w:rPr>
          <w:rFonts w:ascii="Times New Roman" w:cs="Times New Roman" w:eastAsia="Times New Roman" w:hAnsi="Times New Roman"/>
          <w:sz w:val="16"/>
          <w:szCs w:val="16"/>
          <w:i w:val="1"/>
          <w:iCs w:val="1"/>
          <w:color w:val="auto"/>
        </w:rPr>
        <w:t>CardioSafe</w:t>
      </w:r>
      <w:r>
        <w:rPr>
          <w:rFonts w:ascii="Times New Roman" w:cs="Times New Roman" w:eastAsia="Times New Roman" w:hAnsi="Times New Roman"/>
          <w:sz w:val="16"/>
          <w:szCs w:val="16"/>
          <w:color w:val="auto"/>
        </w:rPr>
        <w:t xml:space="preserve"> 3D is sensitive, stable, reproducible and capable of generating data enabling a more accurate prediction of the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cardiac effects of NCEs than is possible with existing preclinical testing systems, particularly the hERG assay.</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1" w:name="page82"/>
    <w:bookmarkEnd w:id="81"/>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Limited Clinical Predictivity of the FDA-Required hERG Assay vs. Broad Clinical Predictivity of CardioSafe 3D</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hERG assay, which uses either transformed hamster ovary cells or human kidney cells, is currently the only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cardiac safety assay required by FDA Guidelines (</w:t>
      </w:r>
      <w:r>
        <w:rPr>
          <w:rFonts w:ascii="Times New Roman" w:cs="Times New Roman" w:eastAsia="Times New Roman" w:hAnsi="Times New Roman"/>
          <w:sz w:val="18"/>
          <w:szCs w:val="18"/>
          <w:i w:val="1"/>
          <w:iCs w:val="1"/>
          <w:color w:val="auto"/>
        </w:rPr>
        <w:t>ICH57B</w:t>
      </w:r>
      <w:r>
        <w:rPr>
          <w:rFonts w:ascii="Times New Roman" w:cs="Times New Roman" w:eastAsia="Times New Roman" w:hAnsi="Times New Roman"/>
          <w:sz w:val="18"/>
          <w:szCs w:val="18"/>
          <w:color w:val="auto"/>
        </w:rPr>
        <w:t>). We believe the clinical predictivity of the hERG assay is limited because it assesses only a single cardiac ion channel - the hERG potassium ion channel. It does not assess any other clinically relevant cardiac ion channels, including calcium, non-hERG potassium and sodium ion channels. Also, importantly, the hERG assay does not assess the normal interaction between these ion channels and their regulators. In addition, the hERG assay does not assess clinically relevant cardiac biological effects associated with cardiomyocyte viability, including apoptosis and other forms of cytotoxicity, as well as energy, mitochondria and oxidative stress. As a result of its limitations, results of the hERG assay can lead to false negative and false positive predictions regarding the cardiac safety of new drug candidates.</w:t>
      </w:r>
    </w:p>
    <w:p>
      <w:pPr>
        <w:spacing w:after="0" w:line="189"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8"/>
          <w:szCs w:val="18"/>
          <w:color w:val="auto"/>
        </w:rPr>
        <w:t xml:space="preserve">We have developed and validated two clinically relevant functional components of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screening system to assess multiple categories of cardiac toxicities, including both direct cardiomyocyte cytotoxicity and arrhythmogenesis (or development of irregular beating patterns). The first functional component of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consists of a suite of five fluorescence or luminescence based high-throughput hPSC-CM assays. These five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assays measure the following important drug-induced cardiac biological effects:</w:t>
      </w:r>
    </w:p>
    <w:p>
      <w:pPr>
        <w:spacing w:after="0" w:line="189" w:lineRule="exact"/>
        <w:rPr>
          <w:sz w:val="20"/>
          <w:szCs w:val="20"/>
          <w:color w:val="auto"/>
        </w:rPr>
      </w:pPr>
    </w:p>
    <w:p>
      <w:pPr>
        <w:ind w:left="340" w:hanging="210"/>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 viability;</w:t>
      </w:r>
    </w:p>
    <w:p>
      <w:pPr>
        <w:spacing w:after="0" w:line="21" w:lineRule="exact"/>
        <w:rPr>
          <w:rFonts w:ascii="Times New Roman" w:cs="Times New Roman" w:eastAsia="Times New Roman" w:hAnsi="Times New Roman"/>
          <w:sz w:val="18"/>
          <w:szCs w:val="18"/>
          <w:color w:val="auto"/>
        </w:rPr>
      </w:pPr>
    </w:p>
    <w:p>
      <w:pPr>
        <w:ind w:left="340" w:hanging="210"/>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apoptosis;</w:t>
      </w:r>
    </w:p>
    <w:p>
      <w:pPr>
        <w:spacing w:after="0" w:line="9" w:lineRule="exact"/>
        <w:rPr>
          <w:rFonts w:ascii="Times New Roman" w:cs="Times New Roman" w:eastAsia="Times New Roman" w:hAnsi="Times New Roman"/>
          <w:sz w:val="18"/>
          <w:szCs w:val="18"/>
          <w:color w:val="auto"/>
        </w:rPr>
      </w:pPr>
    </w:p>
    <w:p>
      <w:pPr>
        <w:ind w:left="340" w:hanging="210"/>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mitochondrial membrane depolarization;</w:t>
      </w:r>
    </w:p>
    <w:p>
      <w:pPr>
        <w:spacing w:after="0" w:line="9" w:lineRule="exact"/>
        <w:rPr>
          <w:rFonts w:ascii="Times New Roman" w:cs="Times New Roman" w:eastAsia="Times New Roman" w:hAnsi="Times New Roman"/>
          <w:sz w:val="18"/>
          <w:szCs w:val="18"/>
          <w:color w:val="auto"/>
        </w:rPr>
      </w:pPr>
    </w:p>
    <w:p>
      <w:pPr>
        <w:ind w:left="340" w:hanging="210"/>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oxidative stress; and</w:t>
      </w:r>
    </w:p>
    <w:p>
      <w:pPr>
        <w:spacing w:after="0" w:line="9" w:lineRule="exact"/>
        <w:rPr>
          <w:rFonts w:ascii="Times New Roman" w:cs="Times New Roman" w:eastAsia="Times New Roman" w:hAnsi="Times New Roman"/>
          <w:sz w:val="18"/>
          <w:szCs w:val="18"/>
          <w:color w:val="auto"/>
        </w:rPr>
      </w:pPr>
    </w:p>
    <w:p>
      <w:pPr>
        <w:ind w:left="340" w:hanging="210"/>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metabolism disruption.</w:t>
      </w:r>
    </w:p>
    <w:p>
      <w:pPr>
        <w:spacing w:after="0" w:line="211"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18"/>
          <w:szCs w:val="18"/>
          <w:color w:val="auto"/>
        </w:rPr>
        <w:t xml:space="preserve">These five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biological assays were correlated to reported clinical results using reference compounds known to be cardiotoxic in humans versus compounds known to be safe in humans. These reference compounds were representative of eight different drug classes, including:</w:t>
      </w:r>
    </w:p>
    <w:p>
      <w:pPr>
        <w:spacing w:after="0" w:line="172" w:lineRule="exact"/>
        <w:rPr>
          <w:sz w:val="20"/>
          <w:szCs w:val="20"/>
          <w:color w:val="auto"/>
        </w:rPr>
      </w:pPr>
    </w:p>
    <w:p>
      <w:pPr>
        <w:ind w:left="340" w:hanging="210"/>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ion channel blockers: amiodarone, nifedipine;</w:t>
      </w:r>
    </w:p>
    <w:p>
      <w:pPr>
        <w:spacing w:after="0" w:line="21" w:lineRule="exact"/>
        <w:rPr>
          <w:rFonts w:ascii="Times New Roman" w:cs="Times New Roman" w:eastAsia="Times New Roman" w:hAnsi="Times New Roman"/>
          <w:sz w:val="18"/>
          <w:szCs w:val="18"/>
          <w:color w:val="auto"/>
        </w:rPr>
      </w:pPr>
    </w:p>
    <w:p>
      <w:pPr>
        <w:ind w:left="340" w:hanging="210"/>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hERG trafficking blockers: pentamidine, amoxapine;</w:t>
      </w:r>
    </w:p>
    <w:p>
      <w:pPr>
        <w:spacing w:after="0" w:line="9" w:lineRule="exact"/>
        <w:rPr>
          <w:rFonts w:ascii="Times New Roman" w:cs="Times New Roman" w:eastAsia="Times New Roman" w:hAnsi="Times New Roman"/>
          <w:sz w:val="18"/>
          <w:szCs w:val="18"/>
          <w:color w:val="auto"/>
        </w:rPr>
      </w:pPr>
    </w:p>
    <w:p>
      <w:pPr>
        <w:ind w:left="340" w:hanging="210"/>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a-1 adrenoreceptors: doxazosin;</w:t>
      </w:r>
    </w:p>
    <w:p>
      <w:pPr>
        <w:spacing w:after="0" w:line="9" w:lineRule="exact"/>
        <w:rPr>
          <w:rFonts w:ascii="Times New Roman" w:cs="Times New Roman" w:eastAsia="Times New Roman" w:hAnsi="Times New Roman"/>
          <w:sz w:val="18"/>
          <w:szCs w:val="18"/>
          <w:color w:val="auto"/>
        </w:rPr>
      </w:pPr>
    </w:p>
    <w:p>
      <w:pPr>
        <w:ind w:left="340" w:hanging="210"/>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protein and DNA synthesis inhibitors: emetine;</w:t>
      </w:r>
    </w:p>
    <w:p>
      <w:pPr>
        <w:spacing w:after="0" w:line="9" w:lineRule="exact"/>
        <w:rPr>
          <w:rFonts w:ascii="Times New Roman" w:cs="Times New Roman" w:eastAsia="Times New Roman" w:hAnsi="Times New Roman"/>
          <w:sz w:val="18"/>
          <w:szCs w:val="18"/>
          <w:color w:val="auto"/>
        </w:rPr>
      </w:pPr>
    </w:p>
    <w:p>
      <w:pPr>
        <w:ind w:left="340" w:hanging="210"/>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DNA intercalating agents: doxorubicin;</w:t>
      </w:r>
    </w:p>
    <w:p>
      <w:pPr>
        <w:spacing w:after="0" w:line="9" w:lineRule="exact"/>
        <w:rPr>
          <w:rFonts w:ascii="Times New Roman" w:cs="Times New Roman" w:eastAsia="Times New Roman" w:hAnsi="Times New Roman"/>
          <w:sz w:val="18"/>
          <w:szCs w:val="18"/>
          <w:color w:val="auto"/>
        </w:rPr>
      </w:pPr>
    </w:p>
    <w:p>
      <w:pPr>
        <w:ind w:left="340" w:hanging="210"/>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antibiotics: ampicillin, cefazolin;</w:t>
      </w:r>
    </w:p>
    <w:p>
      <w:pPr>
        <w:spacing w:after="0" w:line="9" w:lineRule="exact"/>
        <w:rPr>
          <w:rFonts w:ascii="Times New Roman" w:cs="Times New Roman" w:eastAsia="Times New Roman" w:hAnsi="Times New Roman"/>
          <w:sz w:val="18"/>
          <w:szCs w:val="18"/>
          <w:color w:val="auto"/>
        </w:rPr>
      </w:pPr>
    </w:p>
    <w:p>
      <w:pPr>
        <w:ind w:left="340" w:hanging="210"/>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NSAID: aspirin; and</w:t>
      </w:r>
    </w:p>
    <w:p>
      <w:pPr>
        <w:spacing w:after="0" w:line="9" w:lineRule="exact"/>
        <w:rPr>
          <w:rFonts w:ascii="Times New Roman" w:cs="Times New Roman" w:eastAsia="Times New Roman" w:hAnsi="Times New Roman"/>
          <w:sz w:val="18"/>
          <w:szCs w:val="18"/>
          <w:color w:val="auto"/>
        </w:rPr>
      </w:pPr>
    </w:p>
    <w:p>
      <w:pPr>
        <w:ind w:left="340" w:hanging="210"/>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kinase inhibitors: staurosporine.</w:t>
      </w:r>
    </w:p>
    <w:p>
      <w:pPr>
        <w:spacing w:after="0" w:line="211"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auto"/>
        </w:rPr>
        <w:t xml:space="preserve">This suite of five </w:t>
      </w:r>
      <w:r>
        <w:rPr>
          <w:rFonts w:ascii="Times New Roman" w:cs="Times New Roman" w:eastAsia="Times New Roman" w:hAnsi="Times New Roman"/>
          <w:sz w:val="16"/>
          <w:szCs w:val="16"/>
          <w:i w:val="1"/>
          <w:iCs w:val="1"/>
          <w:color w:val="auto"/>
        </w:rPr>
        <w:t>CardioSafe</w:t>
      </w:r>
      <w:r>
        <w:rPr>
          <w:rFonts w:ascii="Times New Roman" w:cs="Times New Roman" w:eastAsia="Times New Roman" w:hAnsi="Times New Roman"/>
          <w:sz w:val="16"/>
          <w:szCs w:val="16"/>
          <w:color w:val="auto"/>
        </w:rPr>
        <w:t xml:space="preserve"> 3D cytotoxicity assays provided measurement of cardiac drug effects with high sensitivity that are consistent with the expected cardiac responses to each of these compounds. Based on our results, we believe </w:t>
      </w:r>
      <w:r>
        <w:rPr>
          <w:rFonts w:ascii="Times New Roman" w:cs="Times New Roman" w:eastAsia="Times New Roman" w:hAnsi="Times New Roman"/>
          <w:sz w:val="16"/>
          <w:szCs w:val="16"/>
          <w:i w:val="1"/>
          <w:iCs w:val="1"/>
          <w:color w:val="auto"/>
        </w:rPr>
        <w:t>CardioSafe</w:t>
      </w:r>
      <w:r>
        <w:rPr>
          <w:rFonts w:ascii="Times New Roman" w:cs="Times New Roman" w:eastAsia="Times New Roman" w:hAnsi="Times New Roman"/>
          <w:sz w:val="16"/>
          <w:szCs w:val="16"/>
          <w:color w:val="auto"/>
        </w:rPr>
        <w:t xml:space="preserve"> 3D provides valuable and more comprehensive bioanalytical tools for both assessing the effects of pharmaceutical compounds on cardiac cytotoxicity than the hERG assay and can elucidate for us and our strategic partners specific mechanisms of cardiac toxicity, thereby laying what we believe is a novel and advantageous foundation for our </w:t>
      </w:r>
      <w:r>
        <w:rPr>
          <w:rFonts w:ascii="Times New Roman" w:cs="Times New Roman" w:eastAsia="Times New Roman" w:hAnsi="Times New Roman"/>
          <w:sz w:val="16"/>
          <w:szCs w:val="16"/>
          <w:i w:val="1"/>
          <w:iCs w:val="1"/>
          <w:color w:val="auto"/>
        </w:rPr>
        <w:t>CardioSafe</w:t>
      </w:r>
      <w:r>
        <w:rPr>
          <w:rFonts w:ascii="Times New Roman" w:cs="Times New Roman" w:eastAsia="Times New Roman" w:hAnsi="Times New Roman"/>
          <w:sz w:val="16"/>
          <w:szCs w:val="16"/>
          <w:color w:val="auto"/>
        </w:rPr>
        <w:t xml:space="preserve"> 3D drug rescue NCE programs.</w:t>
      </w:r>
    </w:p>
    <w:p>
      <w:pPr>
        <w:spacing w:after="0" w:line="15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The other component of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assay system is a sensitive and reliable medium throughput multi-electrode array (</w:t>
      </w:r>
      <w:r>
        <w:rPr>
          <w:rFonts w:ascii="Times New Roman" w:cs="Times New Roman" w:eastAsia="Times New Roman" w:hAnsi="Times New Roman"/>
          <w:sz w:val="18"/>
          <w:szCs w:val="18"/>
          <w:i w:val="1"/>
          <w:iCs w:val="1"/>
          <w:color w:val="auto"/>
        </w:rPr>
        <w:t>MEA</w:t>
      </w:r>
      <w:r>
        <w:rPr>
          <w:rFonts w:ascii="Times New Roman" w:cs="Times New Roman" w:eastAsia="Times New Roman" w:hAnsi="Times New Roman"/>
          <w:sz w:val="18"/>
          <w:szCs w:val="18"/>
          <w:color w:val="auto"/>
        </w:rPr>
        <w:t xml:space="preserve">) assay developed to predict drug-induced alterations of electrophysiological function of the human heart, representing an integrated assessment of not only hERG potassium ion channel activity analogous to the FDA-mandated hERG assay but, in addition, non-hERG potassium channels, and calcium channels and sodium channels, which are well beyond the scope of the hERG assay. Functional electrophysiological assessment is a key component of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 has been validated with reported clinical results involving drugs with known toxic or non-toxic cardiac effects in humans.</w:t>
      </w:r>
    </w:p>
    <w:p>
      <w:pPr>
        <w:spacing w:after="0" w:line="188"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 xml:space="preserve">We have validated that </w:t>
      </w:r>
      <w:r>
        <w:rPr>
          <w:rFonts w:ascii="Times New Roman" w:cs="Times New Roman" w:eastAsia="Times New Roman" w:hAnsi="Times New Roman"/>
          <w:sz w:val="16"/>
          <w:szCs w:val="16"/>
          <w:i w:val="1"/>
          <w:iCs w:val="1"/>
          <w:color w:val="auto"/>
        </w:rPr>
        <w:t>CardioSafe</w:t>
      </w:r>
      <w:r>
        <w:rPr>
          <w:rFonts w:ascii="Times New Roman" w:cs="Times New Roman" w:eastAsia="Times New Roman" w:hAnsi="Times New Roman"/>
          <w:sz w:val="16"/>
          <w:szCs w:val="16"/>
          <w:color w:val="auto"/>
        </w:rPr>
        <w:t xml:space="preserve"> 3D is capable of assessing important electrophysiological activity of drug rescue NCEs, including spike amplitude, beat period and field potential duration. Our </w:t>
      </w:r>
      <w:r>
        <w:rPr>
          <w:rFonts w:ascii="Times New Roman" w:cs="Times New Roman" w:eastAsia="Times New Roman" w:hAnsi="Times New Roman"/>
          <w:sz w:val="16"/>
          <w:szCs w:val="16"/>
          <w:i w:val="1"/>
          <w:iCs w:val="1"/>
          <w:color w:val="auto"/>
        </w:rPr>
        <w:t>CardioSafe</w:t>
      </w:r>
      <w:r>
        <w:rPr>
          <w:rFonts w:ascii="Times New Roman" w:cs="Times New Roman" w:eastAsia="Times New Roman" w:hAnsi="Times New Roman"/>
          <w:sz w:val="16"/>
          <w:szCs w:val="16"/>
          <w:color w:val="auto"/>
        </w:rPr>
        <w:t xml:space="preserve"> 3D MEA assay, which we refer to as </w:t>
      </w:r>
      <w:r>
        <w:rPr>
          <w:rFonts w:ascii="Times New Roman" w:cs="Times New Roman" w:eastAsia="Times New Roman" w:hAnsi="Times New Roman"/>
          <w:sz w:val="16"/>
          <w:szCs w:val="16"/>
          <w:i w:val="1"/>
          <w:iCs w:val="1"/>
          <w:color w:val="auto"/>
        </w:rPr>
        <w:t>ECG in a test tube</w:t>
      </w:r>
      <w:r>
        <w:rPr>
          <w:rFonts w:ascii="Times New Roman" w:cs="Times New Roman" w:eastAsia="Times New Roman" w:hAnsi="Times New Roman"/>
          <w:sz w:val="16"/>
          <w:szCs w:val="16"/>
          <w:color w:val="auto"/>
        </w:rPr>
        <w:t xml:space="preserve">™, was reproducible and consistent with the known human cardiac effects of all compounds studied, based on the mechanisms of action and dosage of the compounds. For instance, by using </w:t>
      </w:r>
      <w:r>
        <w:rPr>
          <w:rFonts w:ascii="Times New Roman" w:cs="Times New Roman" w:eastAsia="Times New Roman" w:hAnsi="Times New Roman"/>
          <w:sz w:val="16"/>
          <w:szCs w:val="16"/>
          <w:i w:val="1"/>
          <w:iCs w:val="1"/>
          <w:color w:val="auto"/>
        </w:rPr>
        <w:t>CardioSafe</w:t>
      </w:r>
      <w:r>
        <w:rPr>
          <w:rFonts w:ascii="Times New Roman" w:cs="Times New Roman" w:eastAsia="Times New Roman" w:hAnsi="Times New Roman"/>
          <w:sz w:val="16"/>
          <w:szCs w:val="16"/>
          <w:color w:val="auto"/>
        </w:rPr>
        <w:t xml:space="preserve"> 3D, we were able to distinguish between the arrhythmogenic cardiac effects of terfenadine (Seldane™), withdrawn by the FDA due to cardiotoxicity, and the cardiac effects of the closely structurally-related compound, fexofenadine (Allegra™), a safe variant of terfenadine, which remains on the market. We believe our correlation data demonstrate that </w:t>
      </w:r>
      <w:r>
        <w:rPr>
          <w:rFonts w:ascii="Times New Roman" w:cs="Times New Roman" w:eastAsia="Times New Roman" w:hAnsi="Times New Roman"/>
          <w:sz w:val="16"/>
          <w:szCs w:val="16"/>
          <w:i w:val="1"/>
          <w:iCs w:val="1"/>
          <w:color w:val="auto"/>
        </w:rPr>
        <w:t>CardioSafe</w:t>
      </w:r>
      <w:r>
        <w:rPr>
          <w:rFonts w:ascii="Times New Roman" w:cs="Times New Roman" w:eastAsia="Times New Roman" w:hAnsi="Times New Roman"/>
          <w:sz w:val="16"/>
          <w:szCs w:val="16"/>
          <w:color w:val="auto"/>
        </w:rPr>
        <w:t xml:space="preserve"> 3D provides valuable and more comprehensive bioanalytical tools for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cardiac safety screening than the hERG assay. We believe </w:t>
      </w:r>
      <w:r>
        <w:rPr>
          <w:rFonts w:ascii="Times New Roman" w:cs="Times New Roman" w:eastAsia="Times New Roman" w:hAnsi="Times New Roman"/>
          <w:sz w:val="16"/>
          <w:szCs w:val="16"/>
          <w:i w:val="1"/>
          <w:iCs w:val="1"/>
          <w:color w:val="auto"/>
        </w:rPr>
        <w:t>CardioSafe</w:t>
      </w:r>
      <w:r>
        <w:rPr>
          <w:rFonts w:ascii="Times New Roman" w:cs="Times New Roman" w:eastAsia="Times New Roman" w:hAnsi="Times New Roman"/>
          <w:sz w:val="16"/>
          <w:szCs w:val="16"/>
          <w:color w:val="auto"/>
        </w:rPr>
        <w:t xml:space="preserve"> 3D will contribute to our efficient and rapid identification of novel, potentially safer proprietary NCEs in our drug rescue programs.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2" w:name="page83"/>
    <w:bookmarkEnd w:id="82"/>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Using CardioSafe 3D to Develop Drug Rescue NCEs</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Our drug rescue activities are focused on producing for our internal pipeline proprietary, safer variants of still-promising NCEs previously discovered, optimized and tested for efficacy by pharmaceutical companies and others but terminated before FDA approval due to unexpected heart toxicity or liver toxicity. Our current drug rescue strategy involves using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to assess the toxicity that caused certain NCEs available in the public to be terminated, and use that biological insight to produce and develop a new, potentially safer, and proprietary NCEs for our pipeline. We believe the pre-existing public domain knowledge base supporting the therapeutic and commercial potential of NCEs we target for our drug rescue programs will provide us with a valuable head start as we launch each of our drug rescue programs. Leveraging the substantial prior investments by global pharmaceutical companies and others in discovery, optimization and efficacy validation of the NCEs we identify in the public domain is an essential component of our drug rescue strategy.</w:t>
      </w:r>
    </w:p>
    <w:p>
      <w:pPr>
        <w:spacing w:after="0" w:line="193"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color w:val="auto"/>
        </w:rPr>
        <w:t xml:space="preserve">By using </w:t>
      </w:r>
      <w:r>
        <w:rPr>
          <w:rFonts w:ascii="Times New Roman" w:cs="Times New Roman" w:eastAsia="Times New Roman" w:hAnsi="Times New Roman"/>
          <w:sz w:val="16"/>
          <w:szCs w:val="16"/>
          <w:i w:val="1"/>
          <w:iCs w:val="1"/>
          <w:color w:val="auto"/>
        </w:rPr>
        <w:t>CardioSafe</w:t>
      </w:r>
      <w:r>
        <w:rPr>
          <w:rFonts w:ascii="Times New Roman" w:cs="Times New Roman" w:eastAsia="Times New Roman" w:hAnsi="Times New Roman"/>
          <w:sz w:val="16"/>
          <w:szCs w:val="16"/>
          <w:color w:val="auto"/>
        </w:rPr>
        <w:t xml:space="preserve"> 3D to enhance our understanding of the cardiac liability profile of NCEs, biological insight not previously available when the NCEs were originally discovered, optimized for efficacy and developed, we believe we can demonstrate preclinical proof-of-concept (</w:t>
      </w:r>
      <w:r>
        <w:rPr>
          <w:rFonts w:ascii="Times New Roman" w:cs="Times New Roman" w:eastAsia="Times New Roman" w:hAnsi="Times New Roman"/>
          <w:sz w:val="16"/>
          <w:szCs w:val="16"/>
          <w:i w:val="1"/>
          <w:iCs w:val="1"/>
          <w:color w:val="auto"/>
        </w:rPr>
        <w:t>POC</w:t>
      </w:r>
      <w:r>
        <w:rPr>
          <w:rFonts w:ascii="Times New Roman" w:cs="Times New Roman" w:eastAsia="Times New Roman" w:hAnsi="Times New Roman"/>
          <w:sz w:val="16"/>
          <w:szCs w:val="16"/>
          <w:color w:val="auto"/>
        </w:rPr>
        <w:t xml:space="preserve">) as to the efficacy and safety of new, safer drug rescue NCEs in standard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models, as well as in </w:t>
      </w:r>
      <w:r>
        <w:rPr>
          <w:rFonts w:ascii="Times New Roman" w:cs="Times New Roman" w:eastAsia="Times New Roman" w:hAnsi="Times New Roman"/>
          <w:sz w:val="16"/>
          <w:szCs w:val="16"/>
          <w:i w:val="1"/>
          <w:iCs w:val="1"/>
          <w:color w:val="auto"/>
        </w:rPr>
        <w:t>CardioSafe</w:t>
      </w:r>
      <w:r>
        <w:rPr>
          <w:rFonts w:ascii="Times New Roman" w:cs="Times New Roman" w:eastAsia="Times New Roman" w:hAnsi="Times New Roman"/>
          <w:sz w:val="16"/>
          <w:szCs w:val="16"/>
          <w:color w:val="auto"/>
        </w:rPr>
        <w:t xml:space="preserve"> 3D, earlier in development and with substantially less investment in discovery and preclinical development than was required of pharmaceutical companies and others prior to their decision to terminate the original NCE.</w:t>
      </w:r>
    </w:p>
    <w:p>
      <w:pPr>
        <w:spacing w:after="0" w:line="15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Our goal in each drug rescue program will be to produce a proprietary drug rescue NCE and establish its preclinical POC, using standard preclinical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efficacy and safety models, as well as</w:t>
      </w:r>
      <w:r>
        <w:rPr>
          <w:rFonts w:ascii="Times New Roman" w:cs="Times New Roman" w:eastAsia="Times New Roman" w:hAnsi="Times New Roman"/>
          <w:sz w:val="18"/>
          <w:szCs w:val="18"/>
          <w:i w:val="1"/>
          <w:iCs w:val="1"/>
          <w:color w:val="auto"/>
        </w:rPr>
        <w:t xml:space="preserve"> CardioSafe </w:t>
      </w:r>
      <w:r>
        <w:rPr>
          <w:rFonts w:ascii="Times New Roman" w:cs="Times New Roman" w:eastAsia="Times New Roman" w:hAnsi="Times New Roman"/>
          <w:sz w:val="18"/>
          <w:szCs w:val="18"/>
          <w:color w:val="auto"/>
        </w:rPr>
        <w:t>3D. In this context, POC means that the lead drug rescue NCE, as compared to the original, previously-terminated 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demonstrates both (i) equal or superior efficacy in the same, or a similar,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preclinical efficacy models used by the initial developer of the previously-terminated NCE before it was terminated for safety reasons, and (ii) significant reduction of concentration dependent cardiotoxicity in </w:t>
      </w:r>
      <w:r>
        <w:rPr>
          <w:rFonts w:ascii="Times New Roman" w:cs="Times New Roman" w:eastAsia="Times New Roman" w:hAnsi="Times New Roman"/>
          <w:sz w:val="18"/>
          <w:szCs w:val="18"/>
          <w:i w:val="1"/>
          <w:iCs w:val="1"/>
          <w:color w:val="auto"/>
        </w:rPr>
        <w:t xml:space="preserve">CardioSafe </w:t>
      </w:r>
      <w:r>
        <w:rPr>
          <w:rFonts w:ascii="Times New Roman" w:cs="Times New Roman" w:eastAsia="Times New Roman" w:hAnsi="Times New Roman"/>
          <w:sz w:val="18"/>
          <w:szCs w:val="18"/>
          <w:color w:val="auto"/>
        </w:rPr>
        <w:t>3D.</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Regenerative Medicine (RM)</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Although we believe the best and most valuable near term commercial application of our stem cell technology platform is for small molecule drug rescue, we also believe stem cell technology-based RM has the potential to transform healthcare in the U.S. over the next decade by providing new approaches for treating the fundamental mechanisms of disease. We currently intend to establish strategic collaborations to leverage our stem cell technology platform, our expertise in human biology, differentiation of human pluripotent stem cells to develop functional adult human cells and tissues involved in human disease, including blood, bone, cartilage, heart and liver cells, and our expertise in designing and developing novel, customized biological assay systems with the cells we produce, for RM purposes. In December 2016, we exclusively sublicensed to BlueRock Therapeutics LP, a next generation RM company established by Bayer AG and Versant Ventures, rights to certain proprietary technologies relating to the production of cardiac stem cells for the treatment of heart disease. In a manner similar to our exclusive sublicense agreement with BlueRock Therapeutics, we may pursue additional RM collaborations or licensing transactions involving blood, cartilage, and/or liver cells derived from hPSCs for (A) cell-based therapy, (B) cell repair therapy, and/or (C) tissue engineering.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Transactions and Relationships</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Strategic collaborations are an important cornerstone of our corporate development strategy. We believe that our highly selective outsourcing of certain research and development activities gives us flexible access to chemistry broad range of research and development capabilities, manufacturing, clinical development and regulatory expertise at a lower overall cost than developing and maintaining such expertise internally on a full-time basis. In particular, we contract with third parties for certain manufacturing, non-clinical development, clinical development and regulatory affairs support. The following are among our current third-party collaborators:</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Cato Research Ltd.</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Cato Research Ltd. is a CRO with international resources dedicated to helping biotechnology and pharmaceutical companies navigate the regulatory approval process in order to bring new biologics, drugs and medical devices to markets throughout the world. Cato Research is one of our CROs for development of AV-101, currently focused on all chemistry, manufacturing and controls (</w:t>
      </w:r>
      <w:r>
        <w:rPr>
          <w:rFonts w:ascii="Times New Roman" w:cs="Times New Roman" w:eastAsia="Times New Roman" w:hAnsi="Times New Roman"/>
          <w:sz w:val="18"/>
          <w:szCs w:val="18"/>
          <w:i w:val="1"/>
          <w:iCs w:val="1"/>
          <w:color w:val="auto"/>
        </w:rPr>
        <w:t>CMC</w:t>
      </w:r>
      <w:r>
        <w:rPr>
          <w:rFonts w:ascii="Times New Roman" w:cs="Times New Roman" w:eastAsia="Times New Roman" w:hAnsi="Times New Roman"/>
          <w:sz w:val="18"/>
          <w:szCs w:val="18"/>
          <w:color w:val="auto"/>
        </w:rPr>
        <w:t>) aspects of our Phase 2 development program in MDD. Cato Research’s senior management team, including co-founders Allen Cato, M.D., Ph.D. and Lynda Sutton, have over 30 years of experience interacting with the FDA and international regulatory agencies and a successful track record of product approvals.</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Cardiac Safety Research Consortium</w:t>
      </w:r>
    </w:p>
    <w:p>
      <w:pPr>
        <w:spacing w:after="0" w:line="22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We have joined the Cardiac Safety Research Consortium (</w:t>
      </w:r>
      <w:r>
        <w:rPr>
          <w:rFonts w:ascii="Times New Roman" w:cs="Times New Roman" w:eastAsia="Times New Roman" w:hAnsi="Times New Roman"/>
          <w:sz w:val="18"/>
          <w:szCs w:val="18"/>
          <w:i w:val="1"/>
          <w:iCs w:val="1"/>
          <w:color w:val="auto"/>
        </w:rPr>
        <w:t>CSRC</w:t>
      </w:r>
      <w:r>
        <w:rPr>
          <w:rFonts w:ascii="Times New Roman" w:cs="Times New Roman" w:eastAsia="Times New Roman" w:hAnsi="Times New Roman"/>
          <w:sz w:val="18"/>
          <w:szCs w:val="18"/>
          <w:color w:val="auto"/>
        </w:rPr>
        <w:t>) as an Associate Member. The CSRC, which is sponsored in part by the FDA, was launched in 2006 through an FDA Critical Path Initiative Memorandum of Understanding with Duke University to support research into the evaluation of cardiac safety of medical products. CSRC supports research by engaging stakeholders from industry, academia, and government to share data and expertise regarding several areas of cardiac safety evaluation, including novel stem cell-based approaches, from preclinical through post-market periods.</w:t>
      </w:r>
    </w:p>
    <w:p>
      <w:pPr>
        <w:sectPr>
          <w:pgSz w:w="11900" w:h="16838" w:orient="portrait"/>
          <w:cols w:equalWidth="0" w:num="1">
            <w:col w:w="11420"/>
          </w:cols>
          <w:pgMar w:left="240" w:top="1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83" w:name="page84"/>
    <w:bookmarkEnd w:id="83"/>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Cardiac Safety Technical Committee of the Health and Environmental Sciences Institute – FDA’s CIPA Initiative</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also joined the Cardiac Safety Technical Committee, Cardiac Stem Cell Working Group, and Proarrhythmia Working Group of the Health and Environmental Sciences Institute (</w:t>
      </w:r>
      <w:r>
        <w:rPr>
          <w:rFonts w:ascii="Times New Roman" w:cs="Times New Roman" w:eastAsia="Times New Roman" w:hAnsi="Times New Roman"/>
          <w:sz w:val="18"/>
          <w:szCs w:val="18"/>
          <w:i w:val="1"/>
          <w:iCs w:val="1"/>
          <w:color w:val="auto"/>
        </w:rPr>
        <w:t>HESI</w:t>
      </w:r>
      <w:r>
        <w:rPr>
          <w:rFonts w:ascii="Times New Roman" w:cs="Times New Roman" w:eastAsia="Times New Roman" w:hAnsi="Times New Roman"/>
          <w:sz w:val="18"/>
          <w:szCs w:val="18"/>
          <w:color w:val="auto"/>
        </w:rPr>
        <w:t>) to help advance, among other goals, the FDA’s Comprehensive In Vitro Proarrhythmia Assay (</w:t>
      </w:r>
      <w:r>
        <w:rPr>
          <w:rFonts w:ascii="Times New Roman" w:cs="Times New Roman" w:eastAsia="Times New Roman" w:hAnsi="Times New Roman"/>
          <w:sz w:val="18"/>
          <w:szCs w:val="18"/>
          <w:i w:val="1"/>
          <w:iCs w:val="1"/>
          <w:color w:val="auto"/>
        </w:rPr>
        <w:t>CIPA</w:t>
      </w:r>
      <w:r>
        <w:rPr>
          <w:rFonts w:ascii="Times New Roman" w:cs="Times New Roman" w:eastAsia="Times New Roman" w:hAnsi="Times New Roman"/>
          <w:sz w:val="18"/>
          <w:szCs w:val="18"/>
          <w:color w:val="auto"/>
        </w:rPr>
        <w:t>) initiative, which is focused on developing innovative preclinical systems for cardiac safety assessment during drug development. HESI is a global branch of the International Life Sciences Institute (</w:t>
      </w:r>
      <w:r>
        <w:rPr>
          <w:rFonts w:ascii="Times New Roman" w:cs="Times New Roman" w:eastAsia="Times New Roman" w:hAnsi="Times New Roman"/>
          <w:sz w:val="18"/>
          <w:szCs w:val="18"/>
          <w:i w:val="1"/>
          <w:iCs w:val="1"/>
          <w:color w:val="auto"/>
        </w:rPr>
        <w:t>ILSI</w:t>
      </w:r>
      <w:r>
        <w:rPr>
          <w:rFonts w:ascii="Times New Roman" w:cs="Times New Roman" w:eastAsia="Times New Roman" w:hAnsi="Times New Roman"/>
          <w:sz w:val="18"/>
          <w:szCs w:val="18"/>
          <w:color w:val="auto"/>
        </w:rPr>
        <w:t>), whose members include most of the world’s largest pharmaceutical and biotechnology companies.</w:t>
      </w:r>
    </w:p>
    <w:p>
      <w:pPr>
        <w:spacing w:after="0" w:line="19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goal of the FDA’s CIPA initiative is to develop a new paradigm for cardiac safety evaluation of new drugs that provides a more comprehensive assessment of proarrhythmic potential by (i) evaluating effects of multiple cardiac ionic currents beyond hERG and ICH S7B Guidelines (inward and outward currents), (ii) providing more complete, accurate assessment of proarrhythmic effects on human cardiac electrophysiology, and (iii) focusing on Torsades de Pointes proarrhythmia rather than surrogate QT prolongation alone.</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Centre for Commercialization of Regenerative Medicine</w:t>
      </w:r>
    </w:p>
    <w:p>
      <w:pPr>
        <w:spacing w:after="0" w:line="225" w:lineRule="exact"/>
        <w:rPr>
          <w:sz w:val="20"/>
          <w:szCs w:val="20"/>
          <w:color w:val="auto"/>
        </w:rPr>
      </w:pPr>
    </w:p>
    <w:p>
      <w:pPr>
        <w:jc w:val="both"/>
        <w:ind w:right="60"/>
        <w:spacing w:after="0" w:line="312" w:lineRule="auto"/>
        <w:rPr>
          <w:sz w:val="20"/>
          <w:szCs w:val="20"/>
          <w:color w:val="auto"/>
        </w:rPr>
      </w:pPr>
      <w:r>
        <w:rPr>
          <w:rFonts w:ascii="Times New Roman" w:cs="Times New Roman" w:eastAsia="Times New Roman" w:hAnsi="Times New Roman"/>
          <w:sz w:val="16"/>
          <w:szCs w:val="16"/>
          <w:color w:val="auto"/>
        </w:rPr>
        <w:t>The Toronto-based Centre for Commercialization of Regenerative Medicine (</w:t>
      </w:r>
      <w:r>
        <w:rPr>
          <w:rFonts w:ascii="Times New Roman" w:cs="Times New Roman" w:eastAsia="Times New Roman" w:hAnsi="Times New Roman"/>
          <w:sz w:val="16"/>
          <w:szCs w:val="16"/>
          <w:i w:val="1"/>
          <w:iCs w:val="1"/>
          <w:color w:val="auto"/>
        </w:rPr>
        <w:t>CCRM</w:t>
      </w:r>
      <w:r>
        <w:rPr>
          <w:rFonts w:ascii="Times New Roman" w:cs="Times New Roman" w:eastAsia="Times New Roman" w:hAnsi="Times New Roman"/>
          <w:sz w:val="16"/>
          <w:szCs w:val="16"/>
          <w:color w:val="auto"/>
        </w:rPr>
        <w:t>) is a not-for-profit, public-private consortium funded by the Government of Canada, six Ontario-based institutional partners and more than 20 companies representing the key sectors of the regenerative medicine industry. CCRM supports the development of foundational technologies that accelerate the commercialization of stem cell- and biomaterials-based products and therapies.</w:t>
      </w:r>
    </w:p>
    <w:p>
      <w:pPr>
        <w:spacing w:after="0" w:line="149"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6"/>
          <w:szCs w:val="16"/>
          <w:color w:val="auto"/>
        </w:rPr>
        <w:t>We are a member of the CCRM’s Industry Consortium. Other members of CCRM’s Industry Consortium include Pfizer and GE Healthcare. The industry leaders that comprise the CCRM consortium benefit from proprietary access to certain licensing opportunities, academic rates on fee-for-service contracts at CCRM and opportunities to participate in large collaborative projects, among other advantages. Our CCRM membership reflects our strong association with CCRM and its core programs and objectives, both directly and through our strategic relationships with Dr. Gordon Keller and UHN. We believe our long-term sponsored research agreement with Dr. Keller, UHN and UHN’s McEwen Centre offers unique opportunities for expanding the commercial applications of our stem cell technology platform by building multi-party collaborations with CCRM and members of its Industry Consortium. We believe these collaborations have the potential to transform medicine and accelerate significant advances in human health and wellness that stem cell technologies and regenerative medicine promise.</w:t>
      </w:r>
    </w:p>
    <w:p>
      <w:pPr>
        <w:spacing w:after="0" w:line="1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Massachusetts General Hospital Clinical Trials Network and Institute</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Massachusetts General Hospital Clinical Trials Network and Institute (</w:t>
      </w:r>
      <w:r>
        <w:rPr>
          <w:rFonts w:ascii="Times New Roman" w:cs="Times New Roman" w:eastAsia="Times New Roman" w:hAnsi="Times New Roman"/>
          <w:sz w:val="18"/>
          <w:szCs w:val="18"/>
          <w:i w:val="1"/>
          <w:iCs w:val="1"/>
          <w:color w:val="auto"/>
        </w:rPr>
        <w:t>CTNI</w:t>
      </w:r>
      <w:r>
        <w:rPr>
          <w:rFonts w:ascii="Times New Roman" w:cs="Times New Roman" w:eastAsia="Times New Roman" w:hAnsi="Times New Roman"/>
          <w:sz w:val="18"/>
          <w:szCs w:val="18"/>
          <w:color w:val="auto"/>
        </w:rPr>
        <w:t>) is an academic CRO, part of the Department of Psychiatry of the Massachusetts General Hospital (</w:t>
      </w:r>
      <w:r>
        <w:rPr>
          <w:rFonts w:ascii="Times New Roman" w:cs="Times New Roman" w:eastAsia="Times New Roman" w:hAnsi="Times New Roman"/>
          <w:sz w:val="18"/>
          <w:szCs w:val="18"/>
          <w:i w:val="1"/>
          <w:iCs w:val="1"/>
          <w:color w:val="auto"/>
        </w:rPr>
        <w:t>MGH</w:t>
      </w:r>
      <w:r>
        <w:rPr>
          <w:rFonts w:ascii="Times New Roman" w:cs="Times New Roman" w:eastAsia="Times New Roman" w:hAnsi="Times New Roman"/>
          <w:sz w:val="18"/>
          <w:szCs w:val="18"/>
          <w:color w:val="auto"/>
        </w:rPr>
        <w:t>), a leader in academic scientific and clinical research in psychiatry. By exploring the brain science, genetics, and neurobiology of psychiatric disorders, the MGH CTNI has been instrumental in the development of novel treatments and surrogate markers of illness and therapeutic response. Its scientific and clinical research has been instrumental in defining the standards for the state-of-the-art practice of psychiatry. We are working with MGH CTNI, including its principals, Dr. Maurizio Fava and Dr. Thomas Laughren, in connection with the planning and execution of our AV-101 MDD Adjunctive Treatment Study. Dr. Fava is acknowledged as a world-renowned expert in depressive disorders and psychopharmacology. He is Director of the Division of Clinical Research of the MGH Research Institute, Executive Vice Chair, Department of Psychiatry, at MGH, and Executive Director of MGH CTNI. He will serve as Principal Investigator of the AV-101 MDD Phase 2 Adjunctive Treatment Study. Dr. Laughren is the former FDA Division Director, Division of Psychiatry Products, Center for Drug Evaluation and Research (</w:t>
      </w:r>
      <w:r>
        <w:rPr>
          <w:rFonts w:ascii="Times New Roman" w:cs="Times New Roman" w:eastAsia="Times New Roman" w:hAnsi="Times New Roman"/>
          <w:sz w:val="18"/>
          <w:szCs w:val="18"/>
          <w:i w:val="1"/>
          <w:iCs w:val="1"/>
          <w:color w:val="auto"/>
        </w:rPr>
        <w:t>CDER</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United States National Institutes of Health</w:t>
      </w:r>
    </w:p>
    <w:p>
      <w:pPr>
        <w:spacing w:after="0" w:line="227"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Since our inception in 1998, the NIH has awarded us $11.3 million in non-dilutive research and development grants, including $2.3 million to support research and development of our stem cell technology and $8.8 million for non-clinical and Phase 1a and 1b clinical development of AV-101.</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United States National Institute of Mental Health</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NIMH, part of the NIH, is the largest scientific organization in the world dedicated to mental health research. NIMH is one of 27 Institutes and Centers of the NIH, the world’s leading biomedical research organization. The mission of NIMH is to transform the understanding and treatment of mental illnesses through basic and clinical research, paving the way for prevention, recovery and cure. Our CRADA with the NIH provides for NIMH sponsorship of the ongoing NIMH AV-101 MDD Phase 2 Monotherapy Study, a study being fully funded by the NIH and is being conducted at the NIMH by Dr. Carlos Zarate, the NIMH’s Chief of Experimental Therapeutics &amp; Pathophysiology Branch and Section on Neurobiology and Treatment of Mood and Anxiety Disorders.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4" w:name="page85"/>
    <w:bookmarkEnd w:id="84"/>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rely upon patents as a major component of our intellectual property portfolio, as is typical for development-stage, biopharmaceutical companies. In addition, from time to time, we enter into patent license agreements to acquire rights to intellectual property. We also rely, in part, on trade secrets for protection of some of our discoveries. We seek to protect our trade secrets by entering into confidentiality agreements with employees, consultants, collaborators and third parties. We also own several registered and common-law trademarks.</w:t>
      </w:r>
    </w:p>
    <w:p>
      <w:pPr>
        <w:spacing w:after="0" w:line="190"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To help protect our intellectual property rights, our employees, contractors and consultants also sign agreements in which they assign to us, for example, their interests in patents, trade secrets and copyrights arising from their work for us.</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From time to time, we sponsor research with key scientists in academic institutions to advance or supplement our internal research and development activities and objectives. These sponsored research agreements generally provide us with an opportunity to negotiate a new license, or acquire a substantially prescribed license, to acquire intellectual property rights in the results of the sponsored research.</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AV-101</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AV-101 (</w:t>
      </w:r>
      <w:r>
        <w:rPr>
          <w:rFonts w:ascii="Times New Roman" w:cs="Times New Roman" w:eastAsia="Times New Roman" w:hAnsi="Times New Roman"/>
          <w:sz w:val="18"/>
          <w:szCs w:val="18"/>
          <w:i w:val="1"/>
          <w:iCs w:val="1"/>
          <w:color w:val="auto"/>
        </w:rPr>
        <w:t>4-Cl-KYN</w:t>
      </w:r>
      <w:r>
        <w:rPr>
          <w:rFonts w:ascii="Times New Roman" w:cs="Times New Roman" w:eastAsia="Times New Roman" w:hAnsi="Times New Roman"/>
          <w:sz w:val="18"/>
          <w:szCs w:val="18"/>
          <w:color w:val="auto"/>
        </w:rPr>
        <w:t>) is our oral CNS product candidate presently being investigated in the NIMH AV-101 MDD Phase 2 Monotherapy Study. Further, we are preparing to launch our AV-101 MDD Phase 2 Adjunctive Treatment Study to assess the safety and efficacy of AV-101 as a new generation adjunctive treatment of MDD in adult patients with an inadequate response to standard, FDA-approved antidepressants. We have developed a portfolio of intellectual property assets around AV-101, which involves patents, patent applications and trade secrets, primarily focused on depression. In addition, we plan to seek regulatory exclusivity to the use of AV-101, with emphasis on depression, as a central approach to protect the marketing of our product. This approach will complement certain of our AV-101 intellectual property rights.</w:t>
      </w:r>
    </w:p>
    <w:p>
      <w:pPr>
        <w:spacing w:after="0" w:line="19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the compound 4-Cl-KYN, per se, is no longer patented, and certain of its formulations are in the public domain and thus are no longer protectable, as part of our strategy to seek and secure broad commercial exclusivity for AV-101, we have filed and are pursuing several patent applications in Europe, the U.S. and selected major markets. Several of these patent applications have already been granted or allowed, on both (i) certain novel therapeutic methods of use of AV-101, including depression, and (ii) certain novel methods of producing AV-101. In Europe, the European Patent Office (</w:t>
      </w:r>
      <w:r>
        <w:rPr>
          <w:rFonts w:ascii="Times New Roman" w:cs="Times New Roman" w:eastAsia="Times New Roman" w:hAnsi="Times New Roman"/>
          <w:sz w:val="18"/>
          <w:szCs w:val="18"/>
          <w:i w:val="1"/>
          <w:iCs w:val="1"/>
          <w:color w:val="auto"/>
        </w:rPr>
        <w:t>EPO</w:t>
      </w:r>
      <w:r>
        <w:rPr>
          <w:rFonts w:ascii="Times New Roman" w:cs="Times New Roman" w:eastAsia="Times New Roman" w:hAnsi="Times New Roman"/>
          <w:sz w:val="18"/>
          <w:szCs w:val="18"/>
          <w:color w:val="auto"/>
        </w:rPr>
        <w:t>) has granted our patent related to methods of treating depression with AV-101 and certain other neurological indications. In the U.S. and selected major markets, we are currently pursuing a counterpart AV-101 patent application similar to the patent granted by the EPO. The U.S. Patent and Trademark Office (</w:t>
      </w:r>
      <w:r>
        <w:rPr>
          <w:rFonts w:ascii="Times New Roman" w:cs="Times New Roman" w:eastAsia="Times New Roman" w:hAnsi="Times New Roman"/>
          <w:sz w:val="18"/>
          <w:szCs w:val="18"/>
          <w:i w:val="1"/>
          <w:iCs w:val="1"/>
          <w:color w:val="auto"/>
        </w:rPr>
        <w:t>USPTO</w:t>
      </w:r>
      <w:r>
        <w:rPr>
          <w:rFonts w:ascii="Times New Roman" w:cs="Times New Roman" w:eastAsia="Times New Roman" w:hAnsi="Times New Roman"/>
          <w:sz w:val="18"/>
          <w:szCs w:val="18"/>
          <w:color w:val="auto"/>
        </w:rPr>
        <w:t>) has not yet allowed the counterpart application filed in the U.S. However, we believe that our counterpart patent applications in the USPTO and other countries ultimately will be granted.</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Europe, the U.S. and selected major markets, we are also prosecuting patent applications related to novel methods of producing AV-101. Both the USPTO and Chinese patent office, have granted patents regarding our manufacturing process for AV-101. The EPO has not yet allowed the counterpart application filed in Europe. However, just as our application at the USPTO was sufficient to obtain an allowed patent in the U.S., we believe our counterpart patent application at the EPO ultimately will be granted.</w:t>
      </w:r>
    </w:p>
    <w:p>
      <w:pPr>
        <w:spacing w:after="0" w:line="190"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As noted elsewhere in this prospectus, we are currently involved with the NIMH AV-101 MDD Phase 2 Monotherapy Study being conducted by the NIMH. As part of our analysis of the study results, we will be evaluating the possibility of seeking additional patent protection in Europe, the U.S. and selected major markets based on the clinical data and on clinical observations.</w:t>
      </w:r>
    </w:p>
    <w:p>
      <w:pPr>
        <w:spacing w:after="0" w:line="186"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6"/>
          <w:szCs w:val="16"/>
          <w:color w:val="auto"/>
        </w:rPr>
        <w:t>As mentioned above, a major component of our plans to obtain market exclusivity for approved therapeutic indications for AV-101 includes the use of New Drug Product Exclusivity provided by the FDA under section 505(c)(3)(E) and 505(j)(5)(F) of the Federal Food, Drug, and Cosmetic Act (</w:t>
      </w:r>
      <w:r>
        <w:rPr>
          <w:rFonts w:ascii="Times New Roman" w:cs="Times New Roman" w:eastAsia="Times New Roman" w:hAnsi="Times New Roman"/>
          <w:sz w:val="16"/>
          <w:szCs w:val="16"/>
          <w:i w:val="1"/>
          <w:iCs w:val="1"/>
          <w:color w:val="auto"/>
        </w:rPr>
        <w:t>FDCA</w:t>
      </w:r>
      <w:r>
        <w:rPr>
          <w:rFonts w:ascii="Times New Roman" w:cs="Times New Roman" w:eastAsia="Times New Roman" w:hAnsi="Times New Roman"/>
          <w:sz w:val="16"/>
          <w:szCs w:val="16"/>
          <w:color w:val="auto"/>
        </w:rPr>
        <w:t>). The FDA’s New Drug Product Exclusivity is available for NCEs such as AV-101, which are innovative and have not been previously approved by the FDA, either alone or in combination with other drugs. The FDA’s New Drug Product Exclusivity protection provides the holder of an FDA-approved NDA with up to five years of protection from competition in the U.S. marketplace for the innovation represented by its approved new drug product. This protection precludes FDA approval of certain generic drug applications under section 505(b)(2) of the FDCA, as well as certain abbreviated new drug applications (</w:t>
      </w:r>
      <w:r>
        <w:rPr>
          <w:rFonts w:ascii="Times New Roman" w:cs="Times New Roman" w:eastAsia="Times New Roman" w:hAnsi="Times New Roman"/>
          <w:sz w:val="16"/>
          <w:szCs w:val="16"/>
          <w:i w:val="1"/>
          <w:iCs w:val="1"/>
          <w:color w:val="auto"/>
        </w:rPr>
        <w:t>ANDAs</w:t>
      </w:r>
      <w:r>
        <w:rPr>
          <w:rFonts w:ascii="Times New Roman" w:cs="Times New Roman" w:eastAsia="Times New Roman" w:hAnsi="Times New Roman"/>
          <w:sz w:val="16"/>
          <w:szCs w:val="16"/>
          <w:color w:val="auto"/>
        </w:rPr>
        <w:t>), during the up to five-year exclusivity period, except that such applications may be submitted after four years if they contain a certification of patent invalidity or non-infringement. As and if applicable, we will pursue similar types of regulatory exclusivity in other regions, such as Europe, and in certain other countries.</w:t>
      </w:r>
    </w:p>
    <w:p>
      <w:pPr>
        <w:spacing w:after="0" w:line="16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There is no guarantee that we will be successful in obtaining any additional patents related to AV-101 in Europe, the U.S., or any other country, or that if we are successful in obtaining any such patents that we would also be successful in protecting those patents against challengers or in enforcing them to stop infringement. Outside the U.S. and Europe, we are pursuing patent rights in a limited number of countries that we believe are the major markets for pharmaceuticals where having patent rights will substantially facilitate commercialization of AV-101.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5" w:name="page86"/>
    <w:bookmarkEnd w:id="85"/>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Stem Cell Technology</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obtained and are pursuing intellectual property rights to several stem cell technologies through a combination of our own patent properties, exclusive and non-exclusive patent and technology licenses, and participation in sponsored research relationships. Generally, our stem cell intellectual property portfolio relates to drug development and drug discovery. It also relates to novel production systems of enriched populations of certain cell types, such as cardiomyocytes and the use of various cell types that have been differentiated from pluripotent stem cells for those and other purposes including cell-based therapy. Additionally, we maintain certain trade secrets regarding stem cell technology, several of which are discussed below.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Overall, our stem cell patent portfolio includes several issued U.S. patents as well as several foreign counterpart patents in countries of commercial interest to us.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portfolio also includes several patent applications pending in the U.S. and in various foreign countries.</w:t>
      </w:r>
    </w:p>
    <w:p>
      <w:pPr>
        <w:spacing w:after="0" w:line="213" w:lineRule="exact"/>
        <w:rPr>
          <w:sz w:val="20"/>
          <w:szCs w:val="20"/>
          <w:color w:val="auto"/>
        </w:rPr>
      </w:pPr>
    </w:p>
    <w:p>
      <w:pPr>
        <w:ind w:right="160"/>
        <w:spacing w:after="0" w:line="339" w:lineRule="auto"/>
        <w:rPr>
          <w:sz w:val="20"/>
          <w:szCs w:val="20"/>
          <w:color w:val="auto"/>
        </w:rPr>
      </w:pPr>
      <w:r>
        <w:rPr>
          <w:rFonts w:ascii="Times New Roman" w:cs="Times New Roman" w:eastAsia="Times New Roman" w:hAnsi="Times New Roman"/>
          <w:sz w:val="16"/>
          <w:szCs w:val="16"/>
          <w:color w:val="auto"/>
        </w:rPr>
        <w:t>The patent properties in these families are based on discoveries from our internal research and development activities, research that has sponsored at various academic institutions, as well as from patent license agreements signed with the University Health Network (Toronto) and the Mount Sinai School of Medicine.</w:t>
      </w:r>
    </w:p>
    <w:p>
      <w:pPr>
        <w:spacing w:after="0" w:line="12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These license agreements generally require us to pay nominal annual license fees, and, in certain cases, patent prosecution and maintenance fees, and royalty payments that vary based on product sales and services that are covered by the licensed patent rights, as well fees for sublicensing. As noted above in the context of AV-101 intellectual property, there is no guarantee that we will successfully obtain patents in the countries in which we are pursuing patent rights or that we would be successful in enforcing granted patent rights against infringers.</w:t>
      </w:r>
    </w:p>
    <w:p>
      <w:pPr>
        <w:spacing w:after="0" w:line="19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In December 2016, we exclusively sublicensed to BlueRock Therapeutics, a stem cell research company recently established by Bayer AG and Versant Ventures, rights to certain proprietary technologies relating to the production of cardiac stem cells for the treatment of heart disease.</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227"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We have a federal trademark registration for the trademark “VISTAGEN”. Corresponding trademarks have been registered in the European Union and in Switzerland. We also use certain other trademarks in connection with our customized in vitro bioassay systems, such as CardioSafe 3D™.</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U.S. Government Rights</w:t>
      </w:r>
    </w:p>
    <w:p>
      <w:pPr>
        <w:spacing w:after="0" w:line="227" w:lineRule="exact"/>
        <w:rPr>
          <w:sz w:val="20"/>
          <w:szCs w:val="20"/>
          <w:color w:val="auto"/>
        </w:rPr>
      </w:pPr>
    </w:p>
    <w:p>
      <w:pPr>
        <w:ind w:right="220"/>
        <w:spacing w:after="0" w:line="301" w:lineRule="auto"/>
        <w:rPr>
          <w:sz w:val="20"/>
          <w:szCs w:val="20"/>
          <w:color w:val="auto"/>
        </w:rPr>
      </w:pPr>
      <w:r>
        <w:rPr>
          <w:rFonts w:ascii="Times New Roman" w:cs="Times New Roman" w:eastAsia="Times New Roman" w:hAnsi="Times New Roman"/>
          <w:sz w:val="16"/>
          <w:szCs w:val="16"/>
          <w:color w:val="auto"/>
        </w:rPr>
        <w:t>We have received federal funding from both the NIH and the NIMH to support research and development of inventions disclosed in our patent applications relating to AV-101 and certain of our stem cell technology. Under the Bayh-Dole Act of 1980, if we do not take adequate steps to commercialize certain intellectual property rights, or certain other exigent circumstances relating to public health and safety prescribed under federal law become applicable, the U.S. government may acquire certain rights with respect to inventions made during programs funded by NIH or other federal grants.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The biopharmaceutical industry is highly competitive. There are many public and private biopharmaceutical companies, universities, governmental agencies, including the NIH and NIMH,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Currently, there are no FDA-approved therapies for MDD with the mechanism of action of AV-101. However, products approved for other indications, for example, the anesthetic ketamine, are being or may be used off-label for treatment of MDD, as well as other CNS indications for which AV-101 may have therapeutic potential. Additionally, other treatment options, such psychotherapy and electroconvulsive therapy, are sometimes used instead of and before standard antidepressant medications to treat patients with MDD.</w:t>
      </w:r>
    </w:p>
    <w:p>
      <w:pPr>
        <w:spacing w:after="0" w:line="19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In the field of new generation, orally available, adjunctive treatments of adult MDD patients with an inadequate response to standard antidepressants, we believe our principal competitor is Alkermes’ orally available drug candidate in Phase 3 development, ALKS-5461, an opioid modulator.</w:t>
      </w:r>
    </w:p>
    <w:p>
      <w:pPr>
        <w:spacing w:after="0" w:line="17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epilepsy, neuropathic pain, Parkinson’s disease and other neurological conditions and diseases, including, but not limited to, Abbott Laboratories, Acadia, Alkermes, Allergan, AstraZeneca, Eli Lilly, GlaxoSmithKline, Johnson &amp; Johnson, Lundbeck, Merck, Novartis, Minerva, Otsuka, Pfizer, Roche, Sage, Sanofi, Shire, Sumitomo Dainippon, and Takeda.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We expect that AV-101 will have to compete with a variety of therapeutic products and procedures.</w:t>
      </w:r>
    </w:p>
    <w:p>
      <w:pPr>
        <w:sectPr>
          <w:pgSz w:w="11900" w:h="16838" w:orient="portrait"/>
          <w:cols w:equalWidth="0" w:num="1">
            <w:col w:w="11380"/>
          </w:cols>
          <w:pgMar w:left="240" w:top="123"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3" w:right="279" w:bottom="1440" w:gutter="0" w:footer="0" w:header="0"/>
          <w:type w:val="continuous"/>
        </w:sectPr>
      </w:pPr>
    </w:p>
    <w:bookmarkStart w:id="86" w:name="page87"/>
    <w:bookmarkEnd w:id="86"/>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6"/>
          <w:szCs w:val="16"/>
          <w:color w:val="auto"/>
        </w:rPr>
        <w:t>We believe that VistaStem’s human pluripotent stem cell (</w:t>
      </w:r>
      <w:r>
        <w:rPr>
          <w:rFonts w:ascii="Times New Roman" w:cs="Times New Roman" w:eastAsia="Times New Roman" w:hAnsi="Times New Roman"/>
          <w:sz w:val="16"/>
          <w:szCs w:val="16"/>
          <w:i w:val="1"/>
          <w:iCs w:val="1"/>
          <w:color w:val="auto"/>
        </w:rPr>
        <w:t>hPSC</w:t>
      </w:r>
      <w:r>
        <w:rPr>
          <w:rFonts w:ascii="Times New Roman" w:cs="Times New Roman" w:eastAsia="Times New Roman" w:hAnsi="Times New Roman"/>
          <w:sz w:val="16"/>
          <w:szCs w:val="16"/>
          <w:color w:val="auto"/>
        </w:rPr>
        <w:t xml:space="preserve">) technology platform, the hPSC-derived human cells we produce, and the customized human cell-based assay systems we have formulated and developed are capable of being competitive in the diverse and growing global stem cell and regenerative medicine markets, including markets involving the sale of hPSC-derived cells to third-parties for their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drug discovery and safety testing, contract predictive toxicology drug screening services for third parties, internal drug discovery, drug development and drug rescue of new NCEs, and regenerative medicine, including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cell therapy research and development. A representative list of such biopharmaceutical companies pursuing one or more of these potential applications of adult and/or hPSC technology includes the following: Acea Biosciences, Astellas, Athersys, BioCardia, BioTime, Caladrius Biosciences, Cellectis Bioresearch, Cellerant Therapeutics, Cytori Therapeutics, Fujifilm Holdings, HemoGenix, International Stem Cell, Neuralstem, Organovo Holdings, PluriStem Therapeutics, and Stemina BioMarker Discovery. Pharmaceutical companies and other established corporations such as Bristol-Myers Squibb, Charles River, GE Healthcare Life Sciences, GlaxoSmithKline, Novartis, Pfizer, Roche Holdings, Thermo Fisher Scientific and others have been and are expected to continue pursuing internally various stem cell-related research and development programs. Many of the foregoing companies have greater resources and capital availability and as a result, may be more successful in their research and development programs than us. We anticipate that acceptance and use of hPSC technology for drug development and regenerative medicine will continue to occur and increase at pharmaceutical and biotechnology companies in the future.</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Our business activities, including the manufacturing, research, development and marketing of our product candidates, are subject to extensive regulation by numerous governmental authorities in the United States and other countries. Before marketing in the United States, any new drug developed by us or our collaborators must undergo rigorous preclinical testing, clinical trials and an extensive regulatory clearance process implemented by the United States Food and Drug Administration (</w:t>
      </w:r>
      <w:r>
        <w:rPr>
          <w:rFonts w:ascii="Times New Roman" w:cs="Times New Roman" w:eastAsia="Times New Roman" w:hAnsi="Times New Roman"/>
          <w:sz w:val="18"/>
          <w:szCs w:val="18"/>
          <w:i w:val="1"/>
          <w:iCs w:val="1"/>
          <w:color w:val="auto"/>
        </w:rPr>
        <w:t>FDA</w:t>
      </w:r>
      <w:r>
        <w:rPr>
          <w:rFonts w:ascii="Times New Roman" w:cs="Times New Roman" w:eastAsia="Times New Roman" w:hAnsi="Times New Roman"/>
          <w:sz w:val="18"/>
          <w:szCs w:val="18"/>
          <w:color w:val="auto"/>
        </w:rPr>
        <w:t>) under the Federal Food, Drug, and Cosmetic Act, as amended. The FDA regulates, among other things, the development, testing, manufacture, safety, efficacy, record keeping, labeling, storage, approval, advertising, promotion, import, export, sale and distribution of biopharmaceutical products. The regulatory review and approval process, which includes preclinical testing and clinical trials of each product candidate, is lengthy, expensive and uncertain. Moreover, government coverage and reimbursement policies will both directly and indirectly impact our ability to successfully commercialize any future approved products, and such coverage and reimbursement policies will be impacted by enacted and any applicable future healthcare reform and drug pricing measures. In addition, we are subject to state and federal laws, including, among others, anti-kickback laws, false claims laws, data privacy and security laws, and transparency laws that restrict certain business practices in the pharmaceutical industry.</w:t>
      </w:r>
    </w:p>
    <w:p>
      <w:pPr>
        <w:spacing w:after="0" w:line="19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United States, drug product candidates intended for human use undergo laboratory and animal testing until adequate proof of safety is established. Clinical trials for new product candidates are then typically conducted in humans in three sequential phases that may overlap. Phase 1 trials involve the initial introduction of the product candidate into healthy human volunteers. The emphasis of Phase 1 trials is on testing for safety or adverse effects, dosage, tolerance, metabolism, distribution, excretion and clinical pharmacology. Phase 2 involves studies in a limited patient population to determine the initial efficacy of the compound for specific targeted indications, to determine dosage tolerance and optimal dosage, and to identify possible adverse side effects and safety risks. Once a compound shows evidence of effectiveness and is found to have an acceptable safety profile in Phase 2 evaluations, Phase 3 trials are undertaken to more fully evaluate clinical outcomes. Before commencing clinical investigations in humans, we or our collaborators must submit an Investigational New Drug Application (</w:t>
      </w:r>
      <w:r>
        <w:rPr>
          <w:rFonts w:ascii="Times New Roman" w:cs="Times New Roman" w:eastAsia="Times New Roman" w:hAnsi="Times New Roman"/>
          <w:sz w:val="18"/>
          <w:szCs w:val="18"/>
          <w:i w:val="1"/>
          <w:iCs w:val="1"/>
          <w:color w:val="auto"/>
        </w:rPr>
        <w:t>IND</w:t>
      </w:r>
      <w:r>
        <w:rPr>
          <w:rFonts w:ascii="Times New Roman" w:cs="Times New Roman" w:eastAsia="Times New Roman" w:hAnsi="Times New Roman"/>
          <w:sz w:val="18"/>
          <w:szCs w:val="18"/>
          <w:color w:val="auto"/>
        </w:rPr>
        <w:t>) to the FDA.</w:t>
      </w:r>
    </w:p>
    <w:p>
      <w:pPr>
        <w:spacing w:after="0" w:line="19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Regulatory authorities, Institutional Review Boards and Data Monitoring Committees may require additional data before allowing clinical studies to commence, continue or proceed from one phase to another, and could demand that studies be discontinued or suspended at any time if there are significant safety issues. We have in the past and may in the future rely on assistance from our third-party collaborators and contract service providers to file our INDs and generally support our development and regulatory activities approval process for our potential products. Clinical testing must also meet requirements for clinical trial registration, institutional review board oversight, informed consent, health information privacy, and good clinical practices, or GCPs. Additionally, the manufacture of our drug product, must be done in accordance with current good manufacturing practices (</w:t>
      </w:r>
      <w:r>
        <w:rPr>
          <w:rFonts w:ascii="Times New Roman" w:cs="Times New Roman" w:eastAsia="Times New Roman" w:hAnsi="Times New Roman"/>
          <w:sz w:val="18"/>
          <w:szCs w:val="18"/>
          <w:i w:val="1"/>
          <w:iCs w:val="1"/>
          <w:color w:val="auto"/>
        </w:rPr>
        <w:t>GMPs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To establish a new product candidate’s safety and efficacy, the FDA requires companies seeking approval to market a drug product to submit extensive preclinical and clinical data, along with other information, for each indication for which the product will be labeled. The data and information are submitted to the FDA in the form of a New Drug Application (</w:t>
      </w:r>
      <w:r>
        <w:rPr>
          <w:rFonts w:ascii="Times New Roman" w:cs="Times New Roman" w:eastAsia="Times New Roman" w:hAnsi="Times New Roman"/>
          <w:sz w:val="18"/>
          <w:szCs w:val="18"/>
          <w:i w:val="1"/>
          <w:iCs w:val="1"/>
          <w:color w:val="auto"/>
        </w:rPr>
        <w:t>NDA</w:t>
      </w:r>
      <w:r>
        <w:rPr>
          <w:rFonts w:ascii="Times New Roman" w:cs="Times New Roman" w:eastAsia="Times New Roman" w:hAnsi="Times New Roman"/>
          <w:sz w:val="18"/>
          <w:szCs w:val="18"/>
          <w:color w:val="auto"/>
        </w:rPr>
        <w:t>), which must be accompanied by payment of a significant user fee unless a waiver or exemption applies. Generating the required data and information for an NDA takes many years and requires the expenditure of substantial resources. Information generated in this process is susceptible to varying interpretations that could delay, limit or prevent regulatory approval at any stage of the process. The failure to demonstrate adequately the quality, safety and efficacy of a product candidate under development would delay or prevent regulatory approval of the product candidate. Under applicable laws and FDA regulations, each NDA submitted for FDA approval is given an internal administrative review within 60 days following submission of the NDA. If deemed sufficiently complete to permit a substantive review, the FDA will “file” the NDA. The FDA can refuse to file any NDA that it deems incomplete or not properly reviewable. The FDA has established internal goals of eight months from submission for priority review of NDAs that cover product candidates that offer major advances in treatment or provide a treatment where no adequate therapy exists, and 12 months from submission for the standard review of NDAs. However, the FDA is not legally required to complete its review within these periods, these performance goals may change over time and the review is often extended by FDA requests for additional information or clarification. Moreover, the outcome of the review, even if generally favorable, may not be an actual approval but a “complete response letter” that describes additional work that must be done before the NDA can be approved. Before approving an NDA, the FDA can choose to inspect the facilities at which the product is manufactured and will not approve the product unless the manufacturing facility complies with GMPs. The FDA may also audit sites at which clinical trials have been conducted to determine compliance with GCPs and data integrity. The FDA’s review of an NDA may also involve review and recommendations by an independent FDA advisory committee, particularly for novel indications. The FDA is not bound by the recommendation of an advisory committee.</w:t>
      </w:r>
    </w:p>
    <w:p>
      <w:pPr>
        <w:sectPr>
          <w:pgSz w:w="11900" w:h="16838" w:orient="portrait"/>
          <w:cols w:equalWidth="0" w:num="1">
            <w:col w:w="11420"/>
          </w:cols>
          <w:pgMar w:left="240" w:top="1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87" w:name="page88"/>
    <w:bookmarkEnd w:id="87"/>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In addition, delays or rejections may be encountered based upon changes in regulatory policy, regulations or statutes governing product approval during the period of product development and regulatory agency review.</w:t>
      </w:r>
    </w:p>
    <w:p>
      <w:pPr>
        <w:spacing w:after="0" w:line="17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Before receiving FDA approval to market a potential product, we or our collaborators must demonstrate through adequate and well-controlled clinical studies that the potential product is safe and effective in the patient population that will be treated. 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unless a waiver applies. If regulatory approval of a potential product is granted, this approval will be limited to those disease states and conditions for which the product is approved. Marketing or promoting a drug for an unapproved indication is generally prohibited. Furthermore, FDA approval may entail ongoing requirements for risk management, including post-marketing, or Phase 4, studies. Even if approval is obtained, a marketed product, its manufacturer and its manufacturing facilities are subject to payment of significant annual fees and continuing review and periodic inspections by the FDA. Discovery of previously unknown problems with a product, manufacturer or facility may result in restrictions on the product or manufacturer, including labeling changes, warning letters, costly recalls or withdrawal of the product from the market.</w:t>
      </w:r>
    </w:p>
    <w:p>
      <w:pPr>
        <w:spacing w:after="0" w:line="19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Any drug is likely to produce some toxicities or undesirable side effects in animals and in humans when administered at sufficiently high doses and/or for sufficiently long periods of time. Unacceptable toxicities or side effects may occur at any dose level at any time in the course of studies in animals designed to identify unacceptable effects of a product candidate, known as toxicological studies, or during clinical trials of our potential products. The appearance of any unacceptable toxicity or side effect could cause us or regulatory authorities to interrupt, limit, delay or abort the development of any of our product candidates. Further, such unacceptable toxicity or side effects could ultimately prevent a potential product’s approval by the FDA or foreign regulatory authorities for any or all targeted indications or limit any labeling claims and market acceptance, even if the product is approved.</w:t>
      </w:r>
    </w:p>
    <w:p>
      <w:pPr>
        <w:spacing w:after="0" w:line="19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addition, as a condition of approval, the FDA may require an applicant to develop a Risk Evaluation and Mitigation Strategy, or </w:t>
      </w:r>
      <w:r>
        <w:rPr>
          <w:rFonts w:ascii="Times New Roman" w:cs="Times New Roman" w:eastAsia="Times New Roman" w:hAnsi="Times New Roman"/>
          <w:sz w:val="18"/>
          <w:szCs w:val="18"/>
          <w:i w:val="1"/>
          <w:iCs w:val="1"/>
          <w:color w:val="auto"/>
        </w:rPr>
        <w:t>REMS</w:t>
      </w:r>
      <w:r>
        <w:rPr>
          <w:rFonts w:ascii="Times New Roman" w:cs="Times New Roman" w:eastAsia="Times New Roman" w:hAnsi="Times New Roman"/>
          <w:sz w:val="18"/>
          <w:szCs w:val="18"/>
          <w:color w:val="auto"/>
        </w:rPr>
        <w:t>. A REMS uses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REMS can include medication guides, physician communication plans for healthcare professionals, and elements to assure safe use (</w:t>
      </w:r>
      <w:r>
        <w:rPr>
          <w:rFonts w:ascii="Times New Roman" w:cs="Times New Roman" w:eastAsia="Times New Roman" w:hAnsi="Times New Roman"/>
          <w:sz w:val="18"/>
          <w:szCs w:val="18"/>
          <w:i w:val="1"/>
          <w:iCs w:val="1"/>
          <w:color w:val="auto"/>
        </w:rPr>
        <w:t>ETASU</w:t>
      </w:r>
      <w:r>
        <w:rPr>
          <w:rFonts w:ascii="Times New Roman" w:cs="Times New Roman" w:eastAsia="Times New Roman" w:hAnsi="Times New Roman"/>
          <w:sz w:val="18"/>
          <w:szCs w:val="18"/>
          <w:color w:val="auto"/>
        </w:rPr>
        <w:t>). ETASU may include, but are not limited to, special training or certification for prescribing or dispensing, dispensing only under certain circumstances, special monitoring, and the use of patient registries. The FDA may require a REMS before approval or post-approval if it becomes aware of a serious risk associated with use of the product. The requirement for a REMS can materially affect the potential market and profitability of a product.</w:t>
      </w:r>
    </w:p>
    <w:p>
      <w:pPr>
        <w:spacing w:after="0" w:line="1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Any trade name that we intend to use for a potential product must be approved by the FDA irrespective of whether we have secured a formal trademark registration from the U.S. Patent and Trademark Office. The FDA conducts a rigorous review of proposed product names, and may reject a product name if it believes that the name inappropriately implies medical claims or if it poses the potential for confusion with other product names. The FDA will not approve a trade name until the NDA for a product is approved. If the FDA determines that the trade names of other products that are approved prior to the approval of our potential products may present a risk of confusion with our proposed trade name, the FDA may elect to not approve our proposed trade name. If our trade name is rejected, we will lose the benefit of any brand equity that may already have been developed for this trade name, as well as the benefit of our existing trademark applications for this trade name.</w:t>
      </w:r>
    </w:p>
    <w:p>
      <w:pPr>
        <w:spacing w:after="0" w:line="19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and our collaborators and contract manufacturers also are required to comply with the applicable FDA GMP regulations. GMP regulations include requirements relating to quality control and quality assurance as well as the corresponding maintenance of records and documentation. Manufacturing facilities are subject to inspection by the FDA. These facilities must be approved before we can use them in commercial manufacturing of our potential products and must maintain ongoing compliance for commercial product manufacture. The FDA may conclude that we or our collaborators or contract manufacturers are not in compliance with applicable GMP requirements and other FDA regulatory requirements, which may result in delay or failure to approve applications, warning letters, product recalls and/or imposition of fines or penalties.</w:t>
      </w:r>
    </w:p>
    <w:p>
      <w:pPr>
        <w:spacing w:after="0" w:line="19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a product is approved, we must also comply with post-marketing requirements, including, but not limited to, compliance with advertising and promotion laws enforced by various government agencies, including the FDA’s Office of Prescription Drug Promotion, through such laws as the Prescription Drug Marketing Act, federal and state anti-fraud and abuse laws, including anti-kickback and false claims laws, healthcare information privacy and security laws, post-marketing safety surveillance, and disclosure of payments or other transfers of value to healthcare professionals and entities. In addition, we are subject to other federal and state regulation including, for example, the implementation of corporate compliance programs.</w:t>
      </w:r>
    </w:p>
    <w:p>
      <w:pPr>
        <w:spacing w:after="0" w:line="19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we elect to distribute our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w:t>
      </w:r>
    </w:p>
    <w:p>
      <w:pPr>
        <w:sectPr>
          <w:pgSz w:w="11900" w:h="16838" w:orient="portrait"/>
          <w:cols w:equalWidth="0" w:num="1">
            <w:col w:w="11420"/>
          </w:cols>
          <w:pgMar w:left="240" w:top="1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88" w:name="page89"/>
    <w:bookmarkEnd w:id="88"/>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Outside of the United States, our ability to market a product is contingent upon receiving a marketing authorization from the appropriate regulatory authorities. The requirements governing the conduct of clinical trials, marketing authorization, pricing and reimbursement vary widely from country to country. At present, foreign marketing authorizations are applied for at a national level, although within the European Community (</w:t>
      </w:r>
      <w:r>
        <w:rPr>
          <w:rFonts w:ascii="Times New Roman" w:cs="Times New Roman" w:eastAsia="Times New Roman" w:hAnsi="Times New Roman"/>
          <w:sz w:val="18"/>
          <w:szCs w:val="18"/>
          <w:i w:val="1"/>
          <w:iCs w:val="1"/>
          <w:color w:val="auto"/>
        </w:rPr>
        <w:t>EC</w:t>
      </w:r>
      <w:r>
        <w:rPr>
          <w:rFonts w:ascii="Times New Roman" w:cs="Times New Roman" w:eastAsia="Times New Roman" w:hAnsi="Times New Roman"/>
          <w:sz w:val="18"/>
          <w:szCs w:val="18"/>
          <w:color w:val="auto"/>
        </w:rPr>
        <w:t>), centralized registration procedures are available to companies wishing to market a product in more than one EC member state. If the regulatory authority is satisfied that adequate evidence of safety, quality and efficacy has been presented, marketing authorization will be granted. This foreign regulatory development and approval process involves all of the risks associated with achieving FDA marketing approval in the U.S. as discussed above. In addition, foreign regulations may include applicable post-marketing requirements, including safety surveillance, anti-fraud and abuse laws, and implementation of corporate compliance programs and reporting of payments or other transfers of value to healthcare professionals and entities.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w:t>
      </w:r>
    </w:p>
    <w:p>
      <w:pPr>
        <w:spacing w:after="0" w:line="2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Potential sales of AV-101 or any other future product candidate, if approved, will depend, at least in part, on the extent to which such products will be covered by third-party payors, such as government health care programs, commercial insurance and managed healthcare organizations. These third-party payors are increasingly limiting coverage and/or reducing reimbursements for medical products and services. A third-party payor’s decision to provide coverage for a drug product does not imply that an adequate reimbursement rate will be approved. Further, one payor’s determination to provide coverage for a drug product does not assure that other payors will also provide coverage for the drug product. In addition, the U.S. government, state legislatures and foreign governments have continued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future revenues and results of operations. Decreases in third-party reimbursement or a decision by a third-party payor to not cover AV-101, if approved, or any future approved products could reduce physician usage of our products, and have a material adverse effect on our sales, results of operations and financial condition.</w:t>
      </w:r>
    </w:p>
    <w:p>
      <w:pPr>
        <w:spacing w:after="0" w:line="19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United States, the Medicare Part D program provides a voluntary outpatient drug benefit to Medicare beneficiaries for certain products. We do not know whether AV-101, if approved, or any other future product candidate will be eligible for coverage under Medicare Part D, but individual Medicare Part D plans offer coverage subject to various factors such as those described above. In addition, while Medicare Part D plans have historically included “all or substantially all” drugs in the following designated classes of “clinical concern” on their formularies: anticonvulsants, antidepressants, antineoplastics, antipsychotics, antiretrovirals, and immunosuppressants, the Centers for Medicare and Medicaid Services (</w:t>
      </w:r>
      <w:r>
        <w:rPr>
          <w:rFonts w:ascii="Times New Roman" w:cs="Times New Roman" w:eastAsia="Times New Roman" w:hAnsi="Times New Roman"/>
          <w:sz w:val="18"/>
          <w:szCs w:val="18"/>
          <w:i w:val="1"/>
          <w:iCs w:val="1"/>
          <w:color w:val="auto"/>
        </w:rPr>
        <w:t>CMS</w:t>
      </w:r>
      <w:r>
        <w:rPr>
          <w:rFonts w:ascii="Times New Roman" w:cs="Times New Roman" w:eastAsia="Times New Roman" w:hAnsi="Times New Roman"/>
          <w:sz w:val="18"/>
          <w:szCs w:val="18"/>
          <w:color w:val="auto"/>
        </w:rPr>
        <w:t>) has in the past proposed, but not adopted, changes to this policy. If this policy is changed in the future and if CMS no longer considers the antidepressant class to be of “clinical concern”, Medicare Part D plans would have significantly more discretion to reduce the number of products covered in that class. Furthermore, private payors often follow Medicare coverage policies and payment limitations in setting their own coverage policies.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Laws and Regulations</w:t>
      </w:r>
    </w:p>
    <w:p>
      <w:pPr>
        <w:spacing w:after="0" w:line="227"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Sales of AV-101,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186" w:lineRule="exact"/>
        <w:rPr>
          <w:sz w:val="20"/>
          <w:szCs w:val="20"/>
          <w:color w:val="auto"/>
        </w:rPr>
      </w:pPr>
    </w:p>
    <w:p>
      <w:pPr>
        <w:jc w:val="both"/>
        <w:ind w:left="660" w:right="20" w:hanging="328"/>
        <w:spacing w:after="0" w:line="258"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19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w:t>
      </w:r>
      <w:r>
        <w:rPr>
          <w:rFonts w:ascii="Times New Roman" w:cs="Times New Roman" w:eastAsia="Times New Roman" w:hAnsi="Times New Roman"/>
          <w:sz w:val="18"/>
          <w:szCs w:val="18"/>
          <w:i w:val="1"/>
          <w:iCs w:val="1"/>
          <w:color w:val="auto"/>
        </w:rPr>
        <w:t>HIPAA</w:t>
      </w:r>
      <w:r>
        <w:rPr>
          <w:rFonts w:ascii="Times New Roman" w:cs="Times New Roman" w:eastAsia="Times New Roman" w:hAnsi="Times New Roman"/>
          <w:sz w:val="18"/>
          <w:szCs w:val="18"/>
          <w:color w:val="auto"/>
        </w:rPr>
        <w:t>)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186" w:lineRule="exact"/>
        <w:rPr>
          <w:rFonts w:ascii="Times New Roman" w:cs="Times New Roman" w:eastAsia="Times New Roman" w:hAnsi="Times New Roman"/>
          <w:sz w:val="18"/>
          <w:szCs w:val="18"/>
          <w:color w:val="auto"/>
        </w:rPr>
      </w:pPr>
    </w:p>
    <w:p>
      <w:pPr>
        <w:jc w:val="both"/>
        <w:ind w:left="660" w:hanging="328"/>
        <w:spacing w:after="0" w:line="264"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w:t>
      </w:r>
      <w:r>
        <w:rPr>
          <w:rFonts w:ascii="Times New Roman" w:cs="Times New Roman" w:eastAsia="Times New Roman" w:hAnsi="Times New Roman"/>
          <w:sz w:val="18"/>
          <w:szCs w:val="18"/>
          <w:i w:val="1"/>
          <w:iCs w:val="1"/>
          <w:color w:val="auto"/>
        </w:rPr>
        <w:t>HITECH</w:t>
      </w:r>
      <w:r>
        <w:rPr>
          <w:rFonts w:ascii="Times New Roman" w:cs="Times New Roman" w:eastAsia="Times New Roman" w:hAnsi="Times New Roman"/>
          <w:sz w:val="18"/>
          <w:szCs w:val="18"/>
          <w:color w:val="auto"/>
        </w:rPr>
        <w:t>) and their implementing regulations, impose obligations on certain types of individuals and entities regarding the electronic exchange of information in common healthcare transactions, as well as standards relating to the privacy and security of individually identifiable health information.</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and teaching hospitals, as well as ownership and investment interests held by physicians and their immediate family members.</w:t>
      </w:r>
    </w:p>
    <w:p>
      <w:pPr>
        <w:sectPr>
          <w:pgSz w:w="11900" w:h="16838" w:orient="portrait"/>
          <w:cols w:equalWidth="0" w:num="1">
            <w:col w:w="11420"/>
          </w:cols>
          <w:pgMar w:left="240" w:top="1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89" w:name="page90"/>
    <w:bookmarkEnd w:id="89"/>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Also, 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state laws that require drug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to the extent that our product is sold in a foreign country, we may be subject to similar foreign laws.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Stem Cell Technology - United States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With respect to our stem cell research and development in the U.S., the U.S. government has established requirements and procedures relating to the isolation and derivation of certain stem cell lines and the availability of federal funds for research and development programs involving those lines. All of the stem cell lines that we are using were either isolated under procedures that meet U.S. government requirements and are approved for funding from the U.S. government, or were isolated under procedures that meet U.S. government requirements.</w:t>
      </w:r>
    </w:p>
    <w:p>
      <w:pPr>
        <w:spacing w:after="0" w:line="19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All procedures we use to obtain clinical samples, and the procedures we use to isolate hESCs, are consistent with the informed consent and ethical guidelines promulgated by the U.S. National Academy of Science, the International Society of Stem Cell Research (</w:t>
      </w:r>
      <w:r>
        <w:rPr>
          <w:rFonts w:ascii="Times New Roman" w:cs="Times New Roman" w:eastAsia="Times New Roman" w:hAnsi="Times New Roman"/>
          <w:sz w:val="18"/>
          <w:szCs w:val="18"/>
          <w:i w:val="1"/>
          <w:iCs w:val="1"/>
          <w:color w:val="auto"/>
        </w:rPr>
        <w:t>ISSCR</w:t>
      </w:r>
      <w:r>
        <w:rPr>
          <w:rFonts w:ascii="Times New Roman" w:cs="Times New Roman" w:eastAsia="Times New Roman" w:hAnsi="Times New Roman"/>
          <w:sz w:val="18"/>
          <w:szCs w:val="18"/>
          <w:color w:val="auto"/>
        </w:rPr>
        <w:t>), or the NIH. These procedures and documentation have been reviewed by an external Stem Cell Research Oversight Committee, and all cell lines we use have been approved under one or more of these guidelines.</w:t>
      </w:r>
    </w:p>
    <w:p>
      <w:pPr>
        <w:spacing w:after="0" w:line="19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The U.S. government and its agencies on July 7, 2009 published guidelines for the ethical derivation of hESCs required for receiving federal funding for hESC research. Should we seek further NIH funding for our stem cell research and development, our request would involve the use of hESC lines that meet the NIH guidelines for NIH funding. In the U.S., the President’s Council on Bioethics monitors stem cell research, and may make recommendations from time to time that could place restrictions on the scope of research using human embryonic or fetal tissue. Although numerous states in the U.S. are considering, or have in place, legislation relating to stem cell research, including California whose voters approved Proposition 71 to provide up to $3 billion of state funding for stem cell research in California, it is not yet clear what affect, if any, state actions may have on our ability to commercialize stem cell technologies.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 and Inter-Corporate Relationships</w:t>
      </w:r>
    </w:p>
    <w:p>
      <w:pPr>
        <w:spacing w:after="0" w:line="225"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VistaGen Therapeutics. Inc., a California corporation, dba VistaStem (</w:t>
      </w:r>
      <w:r>
        <w:rPr>
          <w:rFonts w:ascii="Times New Roman" w:cs="Times New Roman" w:eastAsia="Times New Roman" w:hAnsi="Times New Roman"/>
          <w:sz w:val="18"/>
          <w:szCs w:val="18"/>
          <w:i w:val="1"/>
          <w:iCs w:val="1"/>
          <w:color w:val="auto"/>
        </w:rPr>
        <w:t>VistaStem</w:t>
      </w:r>
      <w:r>
        <w:rPr>
          <w:rFonts w:ascii="Times New Roman" w:cs="Times New Roman" w:eastAsia="Times New Roman" w:hAnsi="Times New Roman"/>
          <w:sz w:val="18"/>
          <w:szCs w:val="18"/>
          <w:color w:val="auto"/>
        </w:rPr>
        <w:t>), is our wholly-owned subsidiary and has two wholly-owned subsidiaries: VistaStem Canada Inc., a corporation incorporated pursuant to the laws of the Province of Ontario, and Artemis Neuroscience, Inc., a corporation incorporated pursuant to the laws of the State of Maryland. The operations of VistaStem, and each of its wholly owned subsidiaries are managed by our senior management team based in South San Francisco, California.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December 7, 2017, we employed nine full-time employees, four of whom have doctorate degrees. Five full-time employees work in research and development and laboratory support services and four full-time employees work in general and administrative roles. Staffing for all other functional areas is achieved through our network of strategic relationships with service providers and consultants, each of whom provides services on a real-time, as-needed basis, including human resources and payroll, information technology, facilities, legal, investor relations and website maintenance, regulatory affairs, and FDA program management.</w:t>
      </w:r>
    </w:p>
    <w:p>
      <w:pPr>
        <w:spacing w:after="0" w:line="19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We have never had a work stoppage, and none of our employees is represented by a labor organization or under any collective bargaining agreement. We consider our employee relations to be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7"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We lease our office and laboratory space, which consists of approximately 10,900 square feet located in South San Francisco, California, under a lease expiring on July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does not require us to comply with any extraordinary environmental regulations.</w:t>
      </w:r>
    </w:p>
    <w:p>
      <w:pPr>
        <w:sectPr>
          <w:pgSz w:w="11900" w:h="16838" w:orient="portrait"/>
          <w:cols w:equalWidth="0" w:num="1">
            <w:col w:w="11380"/>
          </w:cols>
          <w:pgMar w:left="240" w:top="123" w:right="27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3" w:right="279" w:bottom="1440" w:gutter="0" w:footer="0" w:header="0"/>
          <w:type w:val="continuous"/>
        </w:sectPr>
      </w:pPr>
    </w:p>
    <w:bookmarkStart w:id="90" w:name="page91"/>
    <w:bookmarkEnd w:id="90"/>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DIRECTORS AND EXECUTIVE OFFICERS</w:t>
      </w:r>
    </w:p>
    <w:p>
      <w:pPr>
        <w:spacing w:after="0" w:line="223"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Our senior management is composed of individuals with significant management experience. Our directors and executive officers as of December 6, 2017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6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Age</w:t>
            </w:r>
          </w:p>
        </w:tc>
        <w:tc>
          <w:tcPr>
            <w:tcW w:w="59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K. Singh</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5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H. Ralph Snodgrass, Ph.D.</w:t>
            </w:r>
          </w:p>
        </w:tc>
        <w:tc>
          <w:tcPr>
            <w:tcW w:w="1720" w:type="dxa"/>
            <w:vAlign w:val="bottom"/>
            <w:gridSpan w:val="2"/>
          </w:tcPr>
          <w:p>
            <w:pPr>
              <w:jc w:val="center"/>
              <w:ind w:left="372"/>
              <w:spacing w:after="0"/>
              <w:rPr>
                <w:sz w:val="20"/>
                <w:szCs w:val="20"/>
                <w:color w:val="auto"/>
              </w:rPr>
            </w:pPr>
            <w:r>
              <w:rPr>
                <w:rFonts w:ascii="Times New Roman" w:cs="Times New Roman" w:eastAsia="Times New Roman" w:hAnsi="Times New Roman"/>
                <w:sz w:val="18"/>
                <w:szCs w:val="18"/>
                <w:color w:val="auto"/>
                <w:w w:val="99"/>
              </w:rPr>
              <w:t>67</w:t>
            </w:r>
          </w:p>
        </w:tc>
        <w:tc>
          <w:tcPr>
            <w:tcW w:w="5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Founder, President, Chief Scientific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A. Smith, M.D., Ph.D.</w:t>
            </w:r>
          </w:p>
        </w:tc>
        <w:tc>
          <w:tcPr>
            <w:tcW w:w="1720" w:type="dxa"/>
            <w:vAlign w:val="bottom"/>
            <w:gridSpan w:val="2"/>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w w:val="99"/>
              </w:rPr>
              <w:t>62</w:t>
            </w:r>
          </w:p>
        </w:tc>
        <w:tc>
          <w:tcPr>
            <w:tcW w:w="5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Chief Medical Officer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Jerrold D. Dotson</w:t>
            </w:r>
          </w:p>
        </w:tc>
        <w:tc>
          <w:tcPr>
            <w:tcW w:w="1720" w:type="dxa"/>
            <w:vAlign w:val="bottom"/>
            <w:gridSpan w:val="2"/>
          </w:tcPr>
          <w:p>
            <w:pPr>
              <w:jc w:val="center"/>
              <w:ind w:left="372"/>
              <w:spacing w:after="0" w:line="201" w:lineRule="exact"/>
              <w:rPr>
                <w:sz w:val="20"/>
                <w:szCs w:val="20"/>
                <w:color w:val="auto"/>
              </w:rPr>
            </w:pPr>
            <w:r>
              <w:rPr>
                <w:rFonts w:ascii="Times New Roman" w:cs="Times New Roman" w:eastAsia="Times New Roman" w:hAnsi="Times New Roman"/>
                <w:sz w:val="18"/>
                <w:szCs w:val="18"/>
                <w:color w:val="auto"/>
                <w:w w:val="99"/>
              </w:rPr>
              <w:t>64</w:t>
            </w:r>
          </w:p>
        </w:tc>
        <w:tc>
          <w:tcPr>
            <w:tcW w:w="5920" w:type="dxa"/>
            <w:vAlign w:val="bottom"/>
            <w:gridSpan w:val="2"/>
          </w:tcPr>
          <w:p>
            <w:pPr>
              <w:ind w:left="440"/>
              <w:spacing w:after="0" w:line="201" w:lineRule="exact"/>
              <w:rPr>
                <w:sz w:val="20"/>
                <w:szCs w:val="20"/>
                <w:color w:val="auto"/>
              </w:rPr>
            </w:pPr>
            <w:r>
              <w:rPr>
                <w:rFonts w:ascii="Times New Roman" w:cs="Times New Roman" w:eastAsia="Times New Roman" w:hAnsi="Times New Roman"/>
                <w:sz w:val="18"/>
                <w:szCs w:val="18"/>
                <w:color w:val="auto"/>
              </w:rPr>
              <w:t>Vice President, Chief Financial Officer and Secretary</w:t>
            </w: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McPartland</w:t>
            </w:r>
          </w:p>
        </w:tc>
        <w:tc>
          <w:tcPr>
            <w:tcW w:w="1720" w:type="dxa"/>
            <w:vAlign w:val="bottom"/>
            <w:gridSpan w:val="2"/>
          </w:tcPr>
          <w:p>
            <w:pPr>
              <w:jc w:val="center"/>
              <w:ind w:left="372"/>
              <w:spacing w:after="0"/>
              <w:rPr>
                <w:sz w:val="20"/>
                <w:szCs w:val="20"/>
                <w:color w:val="auto"/>
              </w:rPr>
            </w:pPr>
            <w:r>
              <w:rPr>
                <w:rFonts w:ascii="Times New Roman" w:cs="Times New Roman" w:eastAsia="Times New Roman" w:hAnsi="Times New Roman"/>
                <w:sz w:val="18"/>
                <w:szCs w:val="18"/>
                <w:color w:val="auto"/>
                <w:w w:val="99"/>
              </w:rPr>
              <w:t>51</w:t>
            </w:r>
          </w:p>
        </w:tc>
        <w:tc>
          <w:tcPr>
            <w:tcW w:w="5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Vice-President, Corporate Development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shd w:val="clear" w:color="auto" w:fill="CCEEFF"/>
          </w:tcPr>
          <w:p>
            <w:pPr>
              <w:spacing w:after="0" w:line="218" w:lineRule="exact"/>
              <w:rPr>
                <w:sz w:val="20"/>
                <w:szCs w:val="20"/>
                <w:color w:val="auto"/>
              </w:rPr>
            </w:pPr>
            <w:r>
              <w:rPr>
                <w:rFonts w:ascii="Times New Roman" w:cs="Times New Roman" w:eastAsia="Times New Roman" w:hAnsi="Times New Roman"/>
                <w:sz w:val="18"/>
                <w:szCs w:val="18"/>
                <w:color w:val="auto"/>
              </w:rPr>
              <w:t xml:space="preserve">Jon S. Saxe </w:t>
            </w:r>
            <w:r>
              <w:rPr>
                <w:rFonts w:ascii="Times New Roman" w:cs="Times New Roman" w:eastAsia="Times New Roman" w:hAnsi="Times New Roman"/>
                <w:sz w:val="24"/>
                <w:szCs w:val="24"/>
                <w:color w:val="auto"/>
                <w:vertAlign w:val="superscript"/>
              </w:rPr>
              <w:t>(1)</w:t>
            </w:r>
          </w:p>
        </w:tc>
        <w:tc>
          <w:tcPr>
            <w:tcW w:w="1720" w:type="dxa"/>
            <w:vAlign w:val="bottom"/>
            <w:gridSpan w:val="2"/>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w w:val="99"/>
              </w:rPr>
              <w:t>81</w:t>
            </w:r>
          </w:p>
        </w:tc>
        <w:tc>
          <w:tcPr>
            <w:tcW w:w="5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Brian J. Underdown, Ph.D. </w:t>
            </w:r>
            <w:r>
              <w:rPr>
                <w:rFonts w:ascii="Times New Roman" w:cs="Times New Roman" w:eastAsia="Times New Roman" w:hAnsi="Times New Roman"/>
                <w:sz w:val="24"/>
                <w:szCs w:val="24"/>
                <w:color w:val="auto"/>
                <w:vertAlign w:val="superscript"/>
              </w:rPr>
              <w:t>(2)</w:t>
            </w:r>
          </w:p>
        </w:tc>
        <w:tc>
          <w:tcPr>
            <w:tcW w:w="1720" w:type="dxa"/>
            <w:vAlign w:val="bottom"/>
            <w:gridSpan w:val="2"/>
          </w:tcPr>
          <w:p>
            <w:pPr>
              <w:jc w:val="center"/>
              <w:ind w:left="372"/>
              <w:spacing w:after="0"/>
              <w:rPr>
                <w:sz w:val="20"/>
                <w:szCs w:val="20"/>
                <w:color w:val="auto"/>
              </w:rPr>
            </w:pPr>
            <w:r>
              <w:rPr>
                <w:rFonts w:ascii="Times New Roman" w:cs="Times New Roman" w:eastAsia="Times New Roman" w:hAnsi="Times New Roman"/>
                <w:sz w:val="18"/>
                <w:szCs w:val="18"/>
                <w:color w:val="auto"/>
                <w:w w:val="99"/>
              </w:rPr>
              <w:t>76</w:t>
            </w:r>
          </w:p>
        </w:tc>
        <w:tc>
          <w:tcPr>
            <w:tcW w:w="5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Jerry B. Gin, Ph.D., MBA </w:t>
            </w:r>
            <w:r>
              <w:rPr>
                <w:rFonts w:ascii="Times New Roman" w:cs="Times New Roman" w:eastAsia="Times New Roman" w:hAnsi="Times New Roman"/>
                <w:sz w:val="24"/>
                <w:szCs w:val="24"/>
                <w:color w:val="auto"/>
                <w:vertAlign w:val="superscript"/>
              </w:rPr>
              <w:t>(3)</w:t>
            </w:r>
          </w:p>
        </w:tc>
        <w:tc>
          <w:tcPr>
            <w:tcW w:w="1720" w:type="dxa"/>
            <w:vAlign w:val="bottom"/>
            <w:gridSpan w:val="2"/>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w w:val="99"/>
              </w:rPr>
              <w:t>74</w:t>
            </w:r>
          </w:p>
        </w:tc>
        <w:tc>
          <w:tcPr>
            <w:tcW w:w="5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300" w:hanging="292"/>
        <w:spacing w:after="0"/>
        <w:tabs>
          <w:tab w:leader="none" w:pos="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audit committee and member of the compensation committee and corporate governance and nominating committee.</w:t>
      </w:r>
    </w:p>
    <w:p>
      <w:pPr>
        <w:spacing w:after="0" w:line="2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compensation committee and member of the audit committee and corporate governance and nominating committee.</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corporate governance and nominating committee and member of the audit committee and compensation committee.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3"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 xml:space="preserve">Shawn K. Singh </w:t>
      </w:r>
      <w:r>
        <w:rPr>
          <w:rFonts w:ascii="Times New Roman" w:cs="Times New Roman" w:eastAsia="Times New Roman" w:hAnsi="Times New Roman"/>
          <w:sz w:val="16"/>
          <w:szCs w:val="16"/>
          <w:color w:val="auto"/>
        </w:rPr>
        <w:t>has served as our Chief Executive Officer since August 2009, first as the Chief Executive Officer of VistaGen Therapeutics, Inc., a California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corporation (</w:t>
      </w:r>
      <w:r>
        <w:rPr>
          <w:rFonts w:ascii="Times New Roman" w:cs="Times New Roman" w:eastAsia="Times New Roman" w:hAnsi="Times New Roman"/>
          <w:sz w:val="16"/>
          <w:szCs w:val="16"/>
          <w:i w:val="1"/>
          <w:iCs w:val="1"/>
          <w:color w:val="auto"/>
        </w:rPr>
        <w:t>VistaGen California</w:t>
      </w:r>
      <w:r>
        <w:rPr>
          <w:rFonts w:ascii="Times New Roman" w:cs="Times New Roman" w:eastAsia="Times New Roman" w:hAnsi="Times New Roman"/>
          <w:sz w:val="16"/>
          <w:szCs w:val="16"/>
          <w:color w:val="auto"/>
        </w:rPr>
        <w:t xml:space="preserve">), then as Chief Executive Officer of the Company after the merger by and between VistaGen California and the Company on May 11, 2011 (the </w:t>
      </w:r>
      <w:r>
        <w:rPr>
          <w:rFonts w:ascii="Times New Roman" w:cs="Times New Roman" w:eastAsia="Times New Roman" w:hAnsi="Times New Roman"/>
          <w:sz w:val="16"/>
          <w:szCs w:val="16"/>
          <w:i w:val="1"/>
          <w:iCs w:val="1"/>
          <w:color w:val="auto"/>
        </w:rPr>
        <w:t>Merger</w:t>
      </w:r>
      <w:r>
        <w:rPr>
          <w:rFonts w:ascii="Times New Roman" w:cs="Times New Roman" w:eastAsia="Times New Roman" w:hAnsi="Times New Roman"/>
          <w:sz w:val="16"/>
          <w:szCs w:val="16"/>
          <w:color w:val="auto"/>
        </w:rPr>
        <w:t>), at which time VistaGen California became a wholly-owned subsidiary of the Company. Mr. Singh first joined the Board of Directors of VistaGen California in 2000 and served on the VistaGen California management team (part-time) from late-2003, following VistaGen California’s acquisition of Artemis Neuroscience, of which he was President, to August 2009. In connection with the Merger, Mr. Singh was appointed as a member of our Board in 2011. Mr. Singh has over 25 years of experience working with biotechnology, medical device and pharmaceutical companies, both private and public. From February 2001 to August 2009, Mr. Singh served as Managing Principal of Cato BioVentures, a life science venture capital firm, and as Chief Business Officer and General Counsel of Cato Research Ltd, a profitable global contract research organization (</w:t>
      </w:r>
      <w:r>
        <w:rPr>
          <w:rFonts w:ascii="Times New Roman" w:cs="Times New Roman" w:eastAsia="Times New Roman" w:hAnsi="Times New Roman"/>
          <w:sz w:val="16"/>
          <w:szCs w:val="16"/>
          <w:i w:val="1"/>
          <w:iCs w:val="1"/>
          <w:color w:val="auto"/>
        </w:rPr>
        <w:t>CRO</w:t>
      </w:r>
      <w:r>
        <w:rPr>
          <w:rFonts w:ascii="Times New Roman" w:cs="Times New Roman" w:eastAsia="Times New Roman" w:hAnsi="Times New Roman"/>
          <w:sz w:val="16"/>
          <w:szCs w:val="16"/>
          <w:color w:val="auto"/>
        </w:rPr>
        <w:t>) affiliated with Cato BioVentures. Mr. Singh served as President (part-time) of Echo Therapeutics (NASDAQ: ECTE), a medical device company developing a non-invasive, wireless continuous glucose monitoring (</w:t>
      </w:r>
      <w:r>
        <w:rPr>
          <w:rFonts w:ascii="Times New Roman" w:cs="Times New Roman" w:eastAsia="Times New Roman" w:hAnsi="Times New Roman"/>
          <w:sz w:val="16"/>
          <w:szCs w:val="16"/>
          <w:i w:val="1"/>
          <w:iCs w:val="1"/>
          <w:color w:val="auto"/>
        </w:rPr>
        <w:t>CGM</w:t>
      </w:r>
      <w:r>
        <w:rPr>
          <w:rFonts w:ascii="Times New Roman" w:cs="Times New Roman" w:eastAsia="Times New Roman" w:hAnsi="Times New Roman"/>
          <w:sz w:val="16"/>
          <w:szCs w:val="16"/>
          <w:color w:val="auto"/>
        </w:rPr>
        <w:t>) system, from September 2007 to June 2009, and as a member of its Board of Directors from September 2007 through December 2011. He also served as Chief Executive Officer (part-time) of Hemodynamic Therapeutics, a private biopharmaceutical company affiliated with Cato BioVentures, from November 2004 to August 2009. From late-2000 to February 2001, Mr. Singh served as Managing Director of Start-Up Law, a management consulting firm serving biotechnology companies. Mr. Singh also served as Chief Business Officer of SciClone Pharmaceuticals (NASDAQ: SCLN), a revenue-generating, specialty pharmaceutical company with a substantial commercial business in China and a product portfolio spanning major therapeutics markets, including oncology, infectious diseases and cardiovascular disorders, from late-1993 to late-2000, and as a corporate finance associate of Morrison &amp; Foerster LLP, an international law firm, from 1991 to late-1993. Mr. Singh currently serves as a member of the Board of Directors of Armour Therapeutics, a private biotechnology company focused on prostate cancer. Mr. Singh earned a B.A. degree, with honors, from the University of California, Berkeley, and a Juris Doctor degree from the University of Maryland School of Law. Mr. Singh is a member of the State Bar of California.</w:t>
      </w:r>
    </w:p>
    <w:p>
      <w:pPr>
        <w:spacing w:after="0" w:line="39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drug development, intellectual property, regulatory affairs and strategic collaborations.</w:t>
      </w:r>
    </w:p>
    <w:p>
      <w:pPr>
        <w:spacing w:after="0" w:line="18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H. Ralph Snodgrass, Ph.D. </w:t>
      </w:r>
      <w:r>
        <w:rPr>
          <w:rFonts w:ascii="Times New Roman" w:cs="Times New Roman" w:eastAsia="Times New Roman" w:hAnsi="Times New Roman"/>
          <w:sz w:val="18"/>
          <w:szCs w:val="18"/>
          <w:color w:val="auto"/>
        </w:rPr>
        <w:t>co-founded VistaGen California with Dr. Gordon Keller in 1998 and served as the Chief Executive Officer of VistaGen California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until August 2009. Dr. Snodgrass has served as the President and Chief Scientific Officer of VistaGen California from inception to the present, and in the same positions with the Company following the completion of the Merger. He served as a member of the Board of Directors of VistaGen California from 1998 to 2011, and was appointed to serve on our Board after the completion of the Merger. Prior to founding VistaGen California, Dr. Snodgrass served as a key member of the executive management team that led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24 years of experience in senior biotechnology management and over 10 year’s research experience as an assistant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Times New Roman" w:cs="Times New Roman" w:eastAsia="Times New Roman" w:hAnsi="Times New Roman"/>
          <w:sz w:val="18"/>
          <w:szCs w:val="18"/>
          <w:i w:val="1"/>
          <w:iCs w:val="1"/>
          <w:color w:val="auto"/>
        </w:rPr>
        <w:t>BIO</w:t>
      </w:r>
      <w:r>
        <w:rPr>
          <w:rFonts w:ascii="Times New Roman" w:cs="Times New Roman" w:eastAsia="Times New Roman" w:hAnsi="Times New Roman"/>
          <w:sz w:val="18"/>
          <w:szCs w:val="18"/>
          <w:color w:val="auto"/>
        </w:rPr>
        <w:t>), and past member of the International Society Stem Cell Research (</w:t>
      </w:r>
      <w:r>
        <w:rPr>
          <w:rFonts w:ascii="Times New Roman" w:cs="Times New Roman" w:eastAsia="Times New Roman" w:hAnsi="Times New Roman"/>
          <w:sz w:val="18"/>
          <w:szCs w:val="18"/>
          <w:i w:val="1"/>
          <w:iCs w:val="1"/>
          <w:color w:val="auto"/>
        </w:rPr>
        <w:t>ISSCR</w:t>
      </w:r>
      <w:r>
        <w:rPr>
          <w:rFonts w:ascii="Times New Roman" w:cs="Times New Roman" w:eastAsia="Times New Roman" w:hAnsi="Times New Roman"/>
          <w:sz w:val="18"/>
          <w:szCs w:val="18"/>
          <w:color w:val="auto"/>
        </w:rPr>
        <w:t>) Industry Committee. Dr. Snodgrass has published more than 50 scientific papers, is the inventor on more than 17 patents and a number of patent applications, is, or has been, the Principal Investigator on U.S. federal and private foundation sponsored research grants with budgets totaling more than $14.5 million and is recognized as an expert in stem cell biology with more than 31 years’ experience in the uses of stem cells as biological tools for research, drug discovery and development.</w:t>
      </w:r>
    </w:p>
    <w:p>
      <w:pPr>
        <w:sectPr>
          <w:pgSz w:w="11900" w:h="16838" w:orient="portrait"/>
          <w:cols w:equalWidth="0" w:num="1">
            <w:col w:w="11420"/>
          </w:cols>
          <w:pgMar w:left="240" w:top="1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91" w:name="page92"/>
    <w:bookmarkEnd w:id="91"/>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us and the Board of Directors a unique understanding of the challenges and opportunities associated with pluripotent stem cell biology, as well as credibility in the markets in which we operate.</w:t>
      </w:r>
    </w:p>
    <w:p>
      <w:pPr>
        <w:spacing w:after="0" w:line="186"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 xml:space="preserve">Mark A. Smith, M.D., Ph.D. </w:t>
      </w:r>
      <w:r>
        <w:rPr>
          <w:rFonts w:ascii="Times New Roman" w:cs="Times New Roman" w:eastAsia="Times New Roman" w:hAnsi="Times New Roman"/>
          <w:sz w:val="16"/>
          <w:szCs w:val="16"/>
          <w:color w:val="auto"/>
        </w:rPr>
        <w:t>joined VistaGen as our Chief Medical Officer effective June 18, 2016. Dr. Smith served as the Clinical Lead for Neuropsychiatry 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Teva Pharmaceuticals from November 2013 through June 2016. He served as Senior Director of Experimental Medicine, Global Clinical Development and Innovation at Shire Pharmaceuticals from September 2012 to October 2013 and at AstraZeneca Pharmaceutical Company as Executive Director of Clinical Development and in other senior positions from June 2000 through September 2012. He served as a Senior Investigator and Principal Research Scientist in CNS Diseases Research at DuPont Pharmaceutical Company from 1996 to 2000 and in the Biological Psychiatry and Clinical Neuroendocrinology Branches of the National Institute of Mental Health from 1987 through 1996. Dr. Smith has significant expertise in drug discovery and development and clinical trial design and execution, having directed approximately fifty clinical trials from Phase 0 through Phase II B and served as project leader in both the discovery and development of approximately twenty investigational new drugs aimed at depression, anxiety, schizophrenia and other disorders. Dr. Smith received his Bachelor of Science and Master of Science degrees in Molecular Biophysics and Biochemistry from Yale University; his M.D and Ph.D. in Physiology and Pharmacology from the University of California, San Diego and completed his residency at Duke University Medical Center.</w:t>
      </w:r>
    </w:p>
    <w:p>
      <w:pPr>
        <w:spacing w:after="0" w:line="383"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6"/>
          <w:szCs w:val="16"/>
          <w:b w:val="1"/>
          <w:bCs w:val="1"/>
          <w:i w:val="1"/>
          <w:iCs w:val="1"/>
          <w:color w:val="auto"/>
        </w:rPr>
        <w:t xml:space="preserve">Jerrold D. Dotson, CPA </w:t>
      </w:r>
      <w:r>
        <w:rPr>
          <w:rFonts w:ascii="Times New Roman" w:cs="Times New Roman" w:eastAsia="Times New Roman" w:hAnsi="Times New Roman"/>
          <w:sz w:val="16"/>
          <w:szCs w:val="16"/>
          <w:color w:val="auto"/>
        </w:rPr>
        <w:t>has served as our Chief Financial Officer since September 2011, as our Corporate Secretary since October 2013 and as a Vice President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since February 2014. Mr. Dotson served 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6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A. McPartland </w:t>
      </w:r>
      <w:r>
        <w:rPr>
          <w:rFonts w:ascii="Times New Roman" w:cs="Times New Roman" w:eastAsia="Times New Roman" w:hAnsi="Times New Roman"/>
          <w:sz w:val="18"/>
          <w:szCs w:val="18"/>
          <w:color w:val="333333"/>
        </w:rPr>
        <w:t>has served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Vice-President, Corporate Development since October 2016. Mr. McPartland previously served as the Vice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Corporate Development and Communications at Stellar Biotechnologies, Inc. (NASDAQ: SBOT), a leader in sustainable manufacture of KLH, an immune-stimulating protein widely used in the field of active immunotherapy, from November 2013 to September 2016. While at Stellar, Mr. McPartland was responsible for transforming and expanding its capital markets and corporate communications strategy, while also supporting its global business development activities. From September 2011 to November 2013, Mr. McPartland served as Senior Vice President at MZ Group, a subsidiary of @titude Global, the world's largest independent global investor relations consulting firm, and from January 2005 to January 2011, he served as Vice President and Partner at Alliance Advisors, LLC where he specialized in the implementation of capital markets strategy, market positioning and financial communications, and Regional Vice President of Hayden Communications, Inc. where he led investor relations and corporate communications programs for micro and small cap companies. Mr. McPartland received his Bachelors in Business Administration and Marketing from Coastal Carolina University.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 xml:space="preserve">Jon S. Saxe, J.D., LL.M. </w:t>
      </w:r>
      <w:r>
        <w:rPr>
          <w:rFonts w:ascii="Times New Roman" w:cs="Times New Roman" w:eastAsia="Times New Roman" w:hAnsi="Times New Roman"/>
          <w:sz w:val="16"/>
          <w:szCs w:val="16"/>
          <w:color w:val="auto"/>
        </w:rPr>
        <w:t>has served as Chairman of our Board since 2000, first as Chairman of the Board of Directors of VistaGen California, then as Chairman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our Board after completion of the Merger. He also serves as the Chairman of our Audit Committee. Mr. Saxe is the retired President and was a director of PDL BioPharma from 1989 to 2008.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Durect Corporation (NASDAQ: DRRX), and six private life science companies, Arbor Vita Corporation, Arcuo Medical, LLC, Cancer Prevention Pharmaceuticals, Inc., Lumos Pharma, Inc., Trellis Bioscience, Inc. and Epalex Corporaiton. Mr. Saxe also has served as a director of other biotechnology and pharmaceutical companies, including ID Biomedical (acquired by GlaxoSmithKline), Sciele Pharmaceuticals, Inc. (acquired by Shionogi), Amalyte (acquired by Kemin Industries), Cell Pathways (acquired by OSI Pharmaceuticals), and other companies, both public and private.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Mr. Saxe has a B.S.Ch.E. from Carnegie-Mellon University, a J.D. degree from George Washington University and an LL.M. degree from New York University.</w:t>
      </w:r>
    </w:p>
    <w:p>
      <w:pPr>
        <w:spacing w:after="0" w:line="23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selected Mr. Saxe to serve as Chairman of our Board of Directors due to his numerous years of experience as a senior executive with major 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92" w:name="page93"/>
    <w:bookmarkEnd w:id="92"/>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J. Underdown, Ph.D. </w:t>
      </w:r>
      <w:r>
        <w:rPr>
          <w:rFonts w:ascii="Times New Roman" w:cs="Times New Roman" w:eastAsia="Times New Roman" w:hAnsi="Times New Roman"/>
          <w:sz w:val="18"/>
          <w:szCs w:val="18"/>
          <w:color w:val="auto"/>
        </w:rPr>
        <w:t>has served as a member of our Board of Directors since November 2009, first as a director of VistaGen California, then as a member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Board after the completion of the Merger. Dr. Underdown is currently a Venture Partner with Lumira Capital Corp. having served as a Managing Director with Lumira from September 1997 through December 2015. His investment focus has been on therapeutics in both new and established companies in both Canada and the United States. Prior to joining Lumira and its antecedent company MDS Capital Corp., Dr. Underdown held a number of senior management positions in the biopharmaceutical industry and at universities. Dr. Underdown’s current board positions include the following private companies: Kisoji Biotechnology Inc., Naegis Pharmaceuticals, Inc. and Osteo QC. Some of Dr. Underdown’s previous board roles include: Argos Therapeutics (NASDAQ: ARGS), ID Biomedical (acquired by GlaxoSmithKline), enGene Inc. and Ception Therapeutics (acquired by Cephalon). He has served on a number of Boards and advisory bodies of government-sponsored research organizations including CANVAC, the Canadian National Centre of Excellence in Vaccines, Ontario Genomics Institute (Chair), Allergen Plc., the Canadian National Centre of Excellence in Allergy and Asthma. Dr. Underdown obtained his Ph.D. in immunology from McGill University and undertook post-doctoral studies at Washington University School of Medicine.</w:t>
      </w:r>
    </w:p>
    <w:p>
      <w:pPr>
        <w:spacing w:after="0" w:line="19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We selected Dr. Underdown to serve on our Board of Directors due to his extensive background working in the biotechnology and pharmaceutical industries, as a director of numerous private and public companies, as well as his substantial corporate finance and venture capital experience funding and advising startup and established biopharmaceutical companies focused on development and commercialization of novel therapeutics.</w:t>
      </w:r>
    </w:p>
    <w:p>
      <w:pPr>
        <w:spacing w:after="0" w:line="182"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 xml:space="preserve">Jerry B. Gin, Ph.D., M.B.A </w:t>
      </w:r>
      <w:r>
        <w:rPr>
          <w:rFonts w:ascii="Times New Roman" w:cs="Times New Roman" w:eastAsia="Times New Roman" w:hAnsi="Times New Roman"/>
          <w:sz w:val="16"/>
          <w:szCs w:val="16"/>
          <w:color w:val="auto"/>
        </w:rPr>
        <w:t>was appointed to serve on our Board of Directors on March 29, 2016. Dr. Gin is currently the co-founder and CEO of Nuvora, Inc.,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private company founded in 2006 with a drug delivery platform for the sustained release of ingredients through the mouth for such indications as dry mouth, biofilm reduction and sore throat/cough relief. Dr. Gin is also co-founder and Chairman of Livionex, a private platform technology company founded in 2009 and focused on oral care, ophthalmology and wound care. Previously, Dr. Gin co-founded Oculex Pharmaceuticals in 1993, which developed technology for controlled release delivery of drugs to the interior of the eye, specifically to treat macular edema, and served as President and CEO until it was acquired by Allergan in 2003.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 Dr. Gin received his Bachelor’s degree in Chemistry from the University of Arizona, his Ph.D. in Biochemistry from the University of California, Berkeley, his M.B.A. from Loyola College, and conducted his post-doctoral research at the National Institutes of Health.</w:t>
      </w:r>
    </w:p>
    <w:p>
      <w:pPr>
        <w:spacing w:after="0" w:line="17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We selected Dr. Gin to serve on our Board of Directors due to his extensive experience in the healthcare industry, focusing his substantial business and scientific expertise on founding and developing numerous biopharmaceutical, diagnostic and biotechnology companies and propelling them to their next platforms of growth and value.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Executive Officers</w:t>
      </w:r>
    </w:p>
    <w:p>
      <w:pPr>
        <w:spacing w:after="0" w:line="227" w:lineRule="exact"/>
        <w:rPr>
          <w:sz w:val="20"/>
          <w:szCs w:val="20"/>
          <w:color w:val="auto"/>
        </w:rPr>
      </w:pPr>
    </w:p>
    <w:p>
      <w:pPr>
        <w:ind w:right="880"/>
        <w:spacing w:after="0" w:line="275" w:lineRule="auto"/>
        <w:rPr>
          <w:sz w:val="20"/>
          <w:szCs w:val="20"/>
          <w:color w:val="auto"/>
        </w:rPr>
      </w:pPr>
      <w:r>
        <w:rPr>
          <w:rFonts w:ascii="Times New Roman" w:cs="Times New Roman" w:eastAsia="Times New Roman" w:hAnsi="Times New Roman"/>
          <w:sz w:val="18"/>
          <w:szCs w:val="18"/>
          <w:color w:val="auto"/>
        </w:rPr>
        <w:t>Our executive officers are elected by, and serve at the discretion of, our Board of Directors. Each of our executive officers devotes his full time to our affairs. There are no family relationships among any of our directors or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amended and restated bylaws provide that the authorized number of directors of the Company shall be not less than one nor more than seven, with the exact number of directors currently fixed at seven. The exact number may be amended only by the vote or written consent of a majority of the outstanding shares of our voting stock. Our Board of Directors currently consists of five members. Accordingly, there are currently two vacancies on our Board of Directors. Our Board of Directors anticipates filling each of such vacancies as soon as practicable. All actions of the Board of Directors require the approval of a majority of the directors in attendance at a meeting at which a quorum is present.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of Directors. Effective on April 1, 2017, our independent directors, Mr. Saxe, Dr. Underdown and Dr. Gin, serve as members of each of these committees.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93" w:name="page94"/>
    <w:bookmarkEnd w:id="93"/>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Audit Committee is comprised of Mr. Saxe, who serves as the committee chairman, Dr. Underdown and Dr. Gin. Mr. Saxe is also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Under its charter, our Audit Committee is primarily responsible for, among other things:</w:t>
      </w:r>
    </w:p>
    <w:p>
      <w:pPr>
        <w:spacing w:after="0" w:line="190"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accounting and financial reporting process;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retaining and replacing our independent auditors and evaluating their qualifications, independence and performance;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scope of the annual audit and audit fees;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rotation of partners of independent auditors on engagement team as required by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independent auditors the results of annual audit and review of quarterly financial statements;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adequacy and effectiveness of internal control policies and procedures;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retention of independent auditors to perform any proposed permissible non-audit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internal audit functions and annually reviewing audit committee charter and committee performance;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that the SEC requires in our annual proxy statement.</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Our Compensation Committee is comprised of Dr. Underdown, who serves as the committee chairman, Mr. Saxe, and Dr. Gin. Our Compensation Committee charter is available on our website. Under its charter, the Compensation Committee is primarily responsible for, among other things:</w:t>
      </w:r>
    </w:p>
    <w:p>
      <w:pPr>
        <w:spacing w:after="0" w:line="174" w:lineRule="exact"/>
        <w:rPr>
          <w:sz w:val="20"/>
          <w:szCs w:val="20"/>
          <w:color w:val="auto"/>
        </w:rPr>
      </w:pPr>
    </w:p>
    <w:p>
      <w:pPr>
        <w:ind w:left="660" w:right="120" w:hanging="328"/>
        <w:spacing w:after="0" w:line="310" w:lineRule="auto"/>
        <w:tabs>
          <w:tab w:leader="none" w:pos="6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our compensation programs and arrangements applicable to our executive officers (as defined in Rule I 6a-I (f) of the Exchange Act),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5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objectives of our executive officer compensation programs;</w:t>
      </w:r>
    </w:p>
    <w:p>
      <w:pPr>
        <w:spacing w:after="0" w:line="225" w:lineRule="exact"/>
        <w:rPr>
          <w:rFonts w:ascii="Times New Roman" w:cs="Times New Roman" w:eastAsia="Times New Roman" w:hAnsi="Times New Roman"/>
          <w:sz w:val="18"/>
          <w:szCs w:val="18"/>
          <w:color w:val="auto"/>
        </w:rPr>
      </w:pPr>
    </w:p>
    <w:p>
      <w:pPr>
        <w:ind w:left="660" w:right="440" w:hanging="328"/>
        <w:spacing w:after="0" w:line="275"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corporate performance measures and goals regarding executive officer compensation are set and determining the extent to which they are achieved and any related compensation earned;</w:t>
      </w:r>
    </w:p>
    <w:p>
      <w:pPr>
        <w:spacing w:after="0" w:line="173" w:lineRule="exact"/>
        <w:rPr>
          <w:rFonts w:ascii="Times New Roman" w:cs="Times New Roman" w:eastAsia="Times New Roman" w:hAnsi="Times New Roman"/>
          <w:sz w:val="18"/>
          <w:szCs w:val="18"/>
          <w:color w:val="auto"/>
        </w:rPr>
      </w:pPr>
    </w:p>
    <w:p>
      <w:pPr>
        <w:ind w:left="660" w:right="260" w:hanging="328"/>
        <w:spacing w:after="0" w:line="275"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goals and objectives relevant to CEO compensation, evaluating CEO performance in light of such goals and objectives, and determining CEO compensation based on the evaluation;</w:t>
      </w:r>
    </w:p>
    <w:p>
      <w:pPr>
        <w:spacing w:after="0" w:line="173" w:lineRule="exact"/>
        <w:rPr>
          <w:rFonts w:ascii="Times New Roman" w:cs="Times New Roman" w:eastAsia="Times New Roman" w:hAnsi="Times New Roman"/>
          <w:sz w:val="18"/>
          <w:szCs w:val="18"/>
          <w:color w:val="auto"/>
        </w:rPr>
      </w:pPr>
    </w:p>
    <w:p>
      <w:pPr>
        <w:ind w:left="660" w:right="260" w:hanging="328"/>
        <w:spacing w:after="0" w:line="26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8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new equity compensation plan or any material change to an existing plan; and</w:t>
      </w:r>
    </w:p>
    <w:p>
      <w:pPr>
        <w:spacing w:after="0" w:line="225" w:lineRule="exact"/>
        <w:rPr>
          <w:rFonts w:ascii="Times New Roman" w:cs="Times New Roman" w:eastAsia="Times New Roman" w:hAnsi="Times New Roman"/>
          <w:sz w:val="18"/>
          <w:szCs w:val="18"/>
          <w:color w:val="auto"/>
        </w:rPr>
      </w:pPr>
    </w:p>
    <w:p>
      <w:pPr>
        <w:ind w:left="660" w:right="660" w:hanging="328"/>
        <w:spacing w:after="0" w:line="275"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3" w:right="279" w:bottom="1440" w:gutter="0" w:footer="0" w:header="0"/>
        </w:sectPr>
      </w:pPr>
    </w:p>
    <w:bookmarkStart w:id="94" w:name="page95"/>
    <w:bookmarkEnd w:id="94"/>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Corporate Governance and Nominating Committee</w:t>
      </w:r>
    </w:p>
    <w:p>
      <w:pPr>
        <w:spacing w:after="0" w:line="22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Our Corporate Governance and Nominating Committee is comprised of Dr. Gin, who serves as the committee chairman, Mr. Saxe and Dr. Underdown. Our Corporate Governance and Nominating Committee charter is available on our website. Under its charter, the Corporate Governance and Nominating Committee is primarily responsible for, among other things:</w:t>
      </w:r>
    </w:p>
    <w:p>
      <w:pPr>
        <w:spacing w:after="0" w:line="186"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size and composition of the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with respect to the nominations or elections of our directors;</w:t>
      </w:r>
    </w:p>
    <w:p>
      <w:pPr>
        <w:spacing w:after="0" w:line="225" w:lineRule="exact"/>
        <w:rPr>
          <w:rFonts w:ascii="Times New Roman" w:cs="Times New Roman" w:eastAsia="Times New Roman" w:hAnsi="Times New Roman"/>
          <w:sz w:val="18"/>
          <w:szCs w:val="18"/>
          <w:color w:val="auto"/>
        </w:rPr>
      </w:pPr>
    </w:p>
    <w:p>
      <w:pPr>
        <w:ind w:left="660" w:right="360" w:hanging="328"/>
        <w:spacing w:after="0" w:line="275"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of our corporate governance policies and procedures and our Code of Business Conduct and Ethics, and recommending any proposed changes to the board for approval; and</w:t>
      </w:r>
    </w:p>
    <w:p>
      <w:pPr>
        <w:spacing w:after="0" w:line="173" w:lineRule="exact"/>
        <w:rPr>
          <w:rFonts w:ascii="Times New Roman" w:cs="Times New Roman" w:eastAsia="Times New Roman" w:hAnsi="Times New Roman"/>
          <w:sz w:val="18"/>
          <w:szCs w:val="18"/>
          <w:color w:val="auto"/>
        </w:rPr>
      </w:pPr>
    </w:p>
    <w:p>
      <w:pPr>
        <w:ind w:left="660" w:right="60" w:hanging="328"/>
        <w:spacing w:after="0" w:line="275"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applicable to our employees, officers and directors. Our Code of Business Conduct and Ethics is available on our website at </w:t>
      </w:r>
      <w:r>
        <w:rPr>
          <w:rFonts w:ascii="Times New Roman" w:cs="Times New Roman" w:eastAsia="Times New Roman" w:hAnsi="Times New Roman"/>
          <w:sz w:val="18"/>
          <w:szCs w:val="18"/>
          <w:u w:val="single" w:color="auto"/>
          <w:color w:val="0563C1"/>
        </w:rPr>
        <w:t>www.vistagen.com</w:t>
      </w:r>
      <w:r>
        <w:rPr>
          <w:rFonts w:ascii="Times New Roman" w:cs="Times New Roman" w:eastAsia="Times New Roman" w:hAnsi="Times New Roman"/>
          <w:sz w:val="18"/>
          <w:szCs w:val="18"/>
          <w:color w:val="auto"/>
        </w:rPr>
        <w:t>. We intend to disclose any future amendments to certain provisions of our Code of Business Conduct and Ethics, or waivers of these provisions, on our website or in filings with the SEC under the Exchange Act.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Attendance at Board of Directors, Committee and Stockholder Meetings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Board of Directors met four times and acted by unanimous written consent six times during our fiscal year ended March 31, 2017. Our Audit Committee met four times. Our Compensation Committee requested action by the entire Board of Directors for grants of various equity securities and for amendments of employment agreements. Our Nominating and Corporate Governance Committee requested action by the entire Board of Directors with respect to resolutions to be presented to our stockholders at the annual meeting of stockholders and Board committee assignments. With the exception of Dr. Underdown, who was unable to attend one Board meeting due to international travel, each director serving during Fiscal 2017 attended all of the meetings of the Board and the committees of the Board upon which such director served that were held during the term of his service.</w:t>
      </w:r>
    </w:p>
    <w:p>
      <w:pPr>
        <w:spacing w:after="0" w:line="19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We do not have a formal policy regarding attendance by members of the Board at our annual meeting of stockholders, but directors are encouraged to attend. Mr. Saxe and Dr. Gin attended our annual meeting of stockholders held on September 26, 2016. Dr. Underdown was unavailable to participate due to international travel.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7" w:lineRule="exact"/>
        <w:rPr>
          <w:sz w:val="20"/>
          <w:szCs w:val="20"/>
          <w:color w:val="auto"/>
        </w:rPr>
      </w:pPr>
    </w:p>
    <w:p>
      <w:pPr>
        <w:ind w:right="700"/>
        <w:spacing w:after="0" w:line="339" w:lineRule="auto"/>
        <w:rPr>
          <w:sz w:val="20"/>
          <w:szCs w:val="20"/>
          <w:color w:val="auto"/>
        </w:rPr>
      </w:pPr>
      <w:r>
        <w:rPr>
          <w:rFonts w:ascii="Times New Roman" w:cs="Times New Roman" w:eastAsia="Times New Roman" w:hAnsi="Times New Roman"/>
          <w:sz w:val="16"/>
          <w:szCs w:val="16"/>
          <w:color w:val="auto"/>
        </w:rPr>
        <w:t>Our Compensation Committee consists of Dr. Underdown, Mr. Saxe and Dr. Gin, each of whom is a non-employee director. None of the members of the Compensation Committee has a relationship that would constitute an interlocking relationship with executive officers or directors of another entity.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 Beneficial Ownership Reporting Compliance</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Section 16(a) of the Exchange Act requires our officers, directors and persons who beneficially own more than ten percent of our common stock (collectively, </w:t>
      </w:r>
      <w:r>
        <w:rPr>
          <w:rFonts w:ascii="Times New Roman" w:cs="Times New Roman" w:eastAsia="Times New Roman" w:hAnsi="Times New Roman"/>
          <w:sz w:val="18"/>
          <w:szCs w:val="18"/>
          <w:i w:val="1"/>
          <w:iCs w:val="1"/>
          <w:color w:val="auto"/>
        </w:rPr>
        <w:t>Reporting Persons</w:t>
      </w:r>
      <w:r>
        <w:rPr>
          <w:rFonts w:ascii="Times New Roman" w:cs="Times New Roman" w:eastAsia="Times New Roman" w:hAnsi="Times New Roman"/>
          <w:sz w:val="18"/>
          <w:szCs w:val="18"/>
          <w:color w:val="auto"/>
        </w:rPr>
        <w:t>) to file reports of ownership on Form 3 and changes in ownership on Form 4 or Form 5 with the SEC. The Reporting Persons are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SEC rules to furnish us with copies of all reports that they file pursuant to Section 16(a). We believe that during our fiscal year ended March 31, 2017, all Reporting Persons, other than PLTG and/or its affiliate, Montsant Partners LLC, and Cato Holding Company complied with all applicable reporting requirements.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95" w:name="page96"/>
    <w:bookmarkEnd w:id="95"/>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Our Compensation Objectives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compensation practices are designed to attract key employees and to retain, motivate and reward our executive officers for their performance and contribution to our long-term success. Our Board of Directors, through the compensation committee, seeks to compensate our executive officers by combining short and long-term cash and equity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9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Compensation Committee makes decisions regarding salaries, annual bonuses, if any,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1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Compensation Components</w:t>
      </w:r>
    </w:p>
    <w:p>
      <w:pPr>
        <w:spacing w:after="0" w:line="22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27"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6"/>
          <w:szCs w:val="16"/>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both initially at the time of hire and thereafter, to ensure that we retain our executive management team. An executive officer’s base salary is also determined by reviewing the executive officer’s other compensation to ensure that the executive officer’s total compensation is in line with our overall compensation philosophy.</w:t>
      </w:r>
    </w:p>
    <w:p>
      <w:pPr>
        <w:spacing w:after="0" w:line="157"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Base salaries are reviewed periodically as deemed necessary by the Compensation Committee and increased for merit reasons, based on the executive officers’ success in meeting or exceeding individual objectives. Additionally, we may adjust base salaries as warranted throughout the year for promotions or other changes in the scope or breadth of an executive officer’s role or responsibilities.</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Annual Bonus</w:t>
      </w:r>
    </w:p>
    <w:p>
      <w:pPr>
        <w:spacing w:after="0" w:line="227"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To conserve our cash resources, our management team voluntarily decided to not seek and, in accordance with our management team’s election, our Compensation Committee did not award, cash bonuses in any fiscal year from Fiscal 2012 through Fiscal 2015. The Compensation Committee authorized cash bonuses to officers who served during Fiscal 2016, which bonuses were paid in July 2016.</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Long-Term Equity Incentives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that to attract and retain management, key employees and non-management directors the compensation paid to these persons should include, in addition to base salary and potential annual cash incentives, equity based compensation that is competitive with peer companies. The Compensation Committee determines the amount and terms of equity-based compensation granted under our stock option plans or pursuant to other awards made to our executives and key employees.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96" w:name="page97"/>
    <w:bookmarkEnd w:id="96"/>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information regarding the compensation of our Named Executive Officers (</w:t>
      </w:r>
      <w:r>
        <w:rPr>
          <w:rFonts w:ascii="Times New Roman" w:cs="Times New Roman" w:eastAsia="Times New Roman" w:hAnsi="Times New Roman"/>
          <w:sz w:val="18"/>
          <w:szCs w:val="18"/>
          <w:i w:val="1"/>
          <w:iCs w:val="1"/>
          <w:color w:val="auto"/>
        </w:rPr>
        <w:t>NEO’s</w:t>
      </w:r>
      <w:r>
        <w:rPr>
          <w:rFonts w:ascii="Times New Roman" w:cs="Times New Roman" w:eastAsia="Times New Roman" w:hAnsi="Times New Roman"/>
          <w:sz w:val="18"/>
          <w:szCs w:val="18"/>
          <w:color w:val="auto"/>
        </w:rPr>
        <w:t>) for services performed in the fiscal years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2017 and 2016: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 and</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520" w:type="dxa"/>
            <w:vAlign w:val="bottom"/>
            <w:vMerge w:val="restart"/>
          </w:tcPr>
          <w:p>
            <w:pPr>
              <w:jc w:val="center"/>
              <w:ind w:left="72"/>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44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240" w:type="dxa"/>
            <w:vAlign w:val="bottom"/>
          </w:tcPr>
          <w:p>
            <w:pPr>
              <w:spacing w:after="0"/>
              <w:rPr>
                <w:sz w:val="18"/>
                <w:szCs w:val="18"/>
                <w:color w:val="auto"/>
              </w:rPr>
            </w:pP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Bonus</w:t>
            </w:r>
          </w:p>
        </w:tc>
        <w:tc>
          <w:tcPr>
            <w:tcW w:w="200" w:type="dxa"/>
            <w:vAlign w:val="bottom"/>
          </w:tcPr>
          <w:p>
            <w:pPr>
              <w:spacing w:after="0"/>
              <w:rPr>
                <w:sz w:val="18"/>
                <w:szCs w:val="18"/>
                <w:color w:val="auto"/>
              </w:rPr>
            </w:pPr>
          </w:p>
        </w:tc>
        <w:tc>
          <w:tcPr>
            <w:tcW w:w="920" w:type="dxa"/>
            <w:vAlign w:val="bottom"/>
          </w:tcPr>
          <w:p>
            <w:pPr>
              <w:jc w:val="center"/>
              <w:spacing w:after="0" w:line="217" w:lineRule="exact"/>
              <w:rPr>
                <w:sz w:val="20"/>
                <w:szCs w:val="20"/>
                <w:color w:val="auto"/>
              </w:rPr>
            </w:pPr>
            <w:r>
              <w:rPr>
                <w:rFonts w:ascii="Times New Roman" w:cs="Times New Roman" w:eastAsia="Times New Roman" w:hAnsi="Times New Roman"/>
                <w:sz w:val="18"/>
                <w:szCs w:val="18"/>
                <w:b w:val="1"/>
                <w:bCs w:val="1"/>
                <w:color w:val="auto"/>
                <w:w w:val="91"/>
              </w:rPr>
              <w:t xml:space="preserve">Awards </w:t>
            </w:r>
            <w:r>
              <w:rPr>
                <w:rFonts w:ascii="Times New Roman" w:cs="Times New Roman" w:eastAsia="Times New Roman" w:hAnsi="Times New Roman"/>
                <w:sz w:val="24"/>
                <w:szCs w:val="24"/>
                <w:b w:val="1"/>
                <w:bCs w:val="1"/>
                <w:color w:val="auto"/>
                <w:w w:val="91"/>
                <w:vertAlign w:val="superscript"/>
              </w:rPr>
              <w:t>(5)</w:t>
            </w:r>
          </w:p>
        </w:tc>
        <w:tc>
          <w:tcPr>
            <w:tcW w:w="4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08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520" w:type="dxa"/>
            <w:vAlign w:val="bottom"/>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89"/>
              </w:rPr>
              <w:t>Year</w:t>
            </w: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0"/>
                <w:szCs w:val="20"/>
                <w:color w:val="auto"/>
              </w:rPr>
            </w:pP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Shawn K. Singh </w:t>
            </w:r>
            <w:r>
              <w:rPr>
                <w:rFonts w:ascii="Times New Roman" w:cs="Times New Roman" w:eastAsia="Times New Roman" w:hAnsi="Times New Roman"/>
                <w:sz w:val="24"/>
                <w:szCs w:val="24"/>
                <w:color w:val="auto"/>
                <w:vertAlign w:val="superscript"/>
              </w:rPr>
              <w:t>(1)</w:t>
            </w:r>
          </w:p>
        </w:tc>
        <w:tc>
          <w:tcPr>
            <w:tcW w:w="152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4"/>
              </w:rPr>
              <w:t>2017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385,107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173,750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752,210</w:t>
            </w:r>
          </w:p>
        </w:tc>
        <w:tc>
          <w:tcPr>
            <w:tcW w:w="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5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4"/>
              </w:rPr>
              <w:t>2016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1,629,574</w:t>
            </w:r>
          </w:p>
        </w:tc>
        <w:tc>
          <w:tcPr>
            <w:tcW w:w="44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H. Ralph Snodgrass, Ph.D. </w:t>
            </w:r>
            <w:r>
              <w:rPr>
                <w:rFonts w:ascii="Times New Roman" w:cs="Times New Roman" w:eastAsia="Times New Roman" w:hAnsi="Times New Roman"/>
                <w:sz w:val="24"/>
                <w:szCs w:val="24"/>
                <w:color w:val="auto"/>
                <w:vertAlign w:val="superscript"/>
              </w:rPr>
              <w:t>(2)</w:t>
            </w:r>
          </w:p>
        </w:tc>
        <w:tc>
          <w:tcPr>
            <w:tcW w:w="15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4"/>
              </w:rPr>
              <w:t>2017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340,625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152,500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520,946</w:t>
            </w:r>
          </w:p>
        </w:tc>
        <w:tc>
          <w:tcPr>
            <w:tcW w:w="44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Chief Scientific Officer</w:t>
            </w:r>
          </w:p>
        </w:tc>
        <w:tc>
          <w:tcPr>
            <w:tcW w:w="152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4"/>
              </w:rPr>
              <w:t>2016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985,025</w:t>
            </w:r>
          </w:p>
        </w:tc>
        <w:tc>
          <w:tcPr>
            <w:tcW w:w="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Mark A. Smith, M.D., Ph.D. </w:t>
            </w:r>
            <w:r>
              <w:rPr>
                <w:rFonts w:ascii="Times New Roman" w:cs="Times New Roman" w:eastAsia="Times New Roman" w:hAnsi="Times New Roman"/>
                <w:sz w:val="24"/>
                <w:szCs w:val="24"/>
                <w:color w:val="auto"/>
                <w:vertAlign w:val="superscript"/>
              </w:rPr>
              <w:t>(3)</w:t>
            </w:r>
          </w:p>
        </w:tc>
        <w:tc>
          <w:tcPr>
            <w:tcW w:w="152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4"/>
              </w:rPr>
              <w:t>2017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275,737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654,238</w:t>
            </w:r>
          </w:p>
        </w:tc>
        <w:tc>
          <w:tcPr>
            <w:tcW w:w="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15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4"/>
              </w:rPr>
              <w:t>2016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Jerrold D. Dotson </w:t>
            </w:r>
            <w:r>
              <w:rPr>
                <w:rFonts w:ascii="Times New Roman" w:cs="Times New Roman" w:eastAsia="Times New Roman" w:hAnsi="Times New Roman"/>
                <w:sz w:val="24"/>
                <w:szCs w:val="24"/>
                <w:color w:val="auto"/>
                <w:vertAlign w:val="superscript"/>
              </w:rPr>
              <w:t>(4)</w:t>
            </w:r>
          </w:p>
        </w:tc>
        <w:tc>
          <w:tcPr>
            <w:tcW w:w="15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4"/>
              </w:rPr>
              <w:t>2017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289,583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318,018</w:t>
            </w:r>
          </w:p>
        </w:tc>
        <w:tc>
          <w:tcPr>
            <w:tcW w:w="440" w:type="dxa"/>
            <w:vAlign w:val="bottom"/>
          </w:tcPr>
          <w:p>
            <w:pPr>
              <w:jc w:val="right"/>
              <w:ind w:right="79"/>
              <w:spacing w:after="0"/>
              <w:rPr>
                <w:sz w:val="20"/>
                <w:szCs w:val="20"/>
                <w:color w:val="auto"/>
              </w:rPr>
            </w:pPr>
            <w:r>
              <w:rPr>
                <w:rFonts w:ascii="Times New Roman" w:cs="Times New Roman" w:eastAsia="Times New Roman" w:hAnsi="Times New Roman"/>
                <w:sz w:val="12"/>
                <w:szCs w:val="12"/>
                <w:color w:val="auto"/>
              </w:rPr>
              <w:t>(6)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Vice President, Chief Financial Officer, Secretary</w:t>
            </w:r>
          </w:p>
        </w:tc>
        <w:tc>
          <w:tcPr>
            <w:tcW w:w="152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4"/>
              </w:rPr>
              <w:t>2016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635,297</w:t>
            </w:r>
          </w:p>
        </w:tc>
        <w:tc>
          <w:tcPr>
            <w:tcW w:w="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both"/>
        <w:ind w:left="340" w:right="420" w:hanging="332"/>
        <w:spacing w:after="0" w:line="288" w:lineRule="auto"/>
        <w:tabs>
          <w:tab w:leader="none" w:pos="3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Mr. Singh became Chief Executive Officer of VistaGen Therapeutics, Inc. (a California corporation) ( </w:t>
      </w:r>
      <w:r>
        <w:rPr>
          <w:rFonts w:ascii="Times New Roman" w:cs="Times New Roman" w:eastAsia="Times New Roman" w:hAnsi="Times New Roman"/>
          <w:sz w:val="16"/>
          <w:szCs w:val="16"/>
          <w:i w:val="1"/>
          <w:iCs w:val="1"/>
          <w:color w:val="auto"/>
        </w:rPr>
        <w:t>VistaGen California</w:t>
      </w:r>
      <w:r>
        <w:rPr>
          <w:rFonts w:ascii="Times New Roman" w:cs="Times New Roman" w:eastAsia="Times New Roman" w:hAnsi="Times New Roman"/>
          <w:sz w:val="16"/>
          <w:szCs w:val="16"/>
          <w:color w:val="auto"/>
        </w:rPr>
        <w:t>) on August 20, 2009 and our Chief Executive Officer in May 2011, in connection with the Merger. In our fiscal years ended March 31, 2017 and 2016, Mr. Singh’s annual base cash salary, pursuant to his January 2010 employment agreement, as amended in June 2016, was contractually set at $395,000 and $347,500, respectively.</w:t>
      </w:r>
    </w:p>
    <w:p>
      <w:pPr>
        <w:ind w:left="340" w:right="2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Pursuant to his employment agreement, Mr. Singh is eligible to receive an annual cash incentive bonus of up to fifty percent (50%) of his base cash salary. To conserve cash for our operations during our fiscal year ended March 31, 2016, Mr. Singh voluntarily refrained from receiving any cash bonus.</w:t>
      </w:r>
    </w:p>
    <w:p>
      <w:pPr>
        <w:spacing w:after="0" w:line="185" w:lineRule="exact"/>
        <w:rPr>
          <w:rFonts w:ascii="Times New Roman" w:cs="Times New Roman" w:eastAsia="Times New Roman" w:hAnsi="Times New Roman"/>
          <w:sz w:val="16"/>
          <w:szCs w:val="16"/>
          <w:color w:val="auto"/>
        </w:rPr>
      </w:pPr>
    </w:p>
    <w:p>
      <w:pPr>
        <w:ind w:left="340" w:right="140" w:hanging="332"/>
        <w:spacing w:after="0" w:line="255"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In our fiscal years ended March 31, 2017 and 2016, Dr. Snodgrass’ annual base cash salary, pursuant to his January 2010 employment agreement, as amended in June 2016, was contractually set at $350,000 and $305,000, respectively. Pursuant to his employment agreement, Dr. Snodgrass is eligible to receive an annual cash incentive bonus of up to fifty percent (50%) of his base cash salary. To conserve cash for our operations during our fiscal years ended March 31, 2016 and 2015, Dr. Snodgrass voluntarily refrained from receiving any cash bonus.</w:t>
      </w:r>
    </w:p>
    <w:p>
      <w:pPr>
        <w:spacing w:after="0" w:line="193" w:lineRule="exact"/>
        <w:rPr>
          <w:rFonts w:ascii="Times New Roman" w:cs="Times New Roman" w:eastAsia="Times New Roman" w:hAnsi="Times New Roman"/>
          <w:sz w:val="18"/>
          <w:szCs w:val="18"/>
          <w:color w:val="auto"/>
        </w:rPr>
      </w:pPr>
    </w:p>
    <w:p>
      <w:pPr>
        <w:ind w:left="340" w:right="40" w:hanging="332"/>
        <w:spacing w:after="0" w:line="275"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Smith became our Chief Medical Officer upon his employment effective June 18, 2016. During our fiscal year ended March 31, 2017, Dr. Smith’s annual base cash salary was $350,000.</w:t>
      </w:r>
    </w:p>
    <w:p>
      <w:pPr>
        <w:spacing w:after="0" w:line="173" w:lineRule="exact"/>
        <w:rPr>
          <w:rFonts w:ascii="Times New Roman" w:cs="Times New Roman" w:eastAsia="Times New Roman" w:hAnsi="Times New Roman"/>
          <w:sz w:val="18"/>
          <w:szCs w:val="18"/>
          <w:color w:val="auto"/>
        </w:rPr>
      </w:pPr>
    </w:p>
    <w:p>
      <w:pPr>
        <w:ind w:left="340" w:right="60" w:hanging="332"/>
        <w:spacing w:after="0" w:line="26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Dotson served as Chief Financial Officer on a part-time contract basis from September 19, 2011 through August 2012, at which time he became our full-time employee. In our fiscal years ended March 31, 2017 and 2016, Mr. Dotson’s annual base cash salary was $300,000 and $250,000, respectively. To conserve cash for our operations, Mr. Dotson did not receive a cash bonus in our fiscal year ended March 31, 2016.</w:t>
      </w:r>
    </w:p>
    <w:p>
      <w:pPr>
        <w:spacing w:after="0" w:line="186" w:lineRule="exact"/>
        <w:rPr>
          <w:rFonts w:ascii="Times New Roman" w:cs="Times New Roman" w:eastAsia="Times New Roman" w:hAnsi="Times New Roman"/>
          <w:sz w:val="18"/>
          <w:szCs w:val="18"/>
          <w:color w:val="auto"/>
        </w:rPr>
      </w:pPr>
    </w:p>
    <w:p>
      <w:pPr>
        <w:ind w:left="340" w:right="80" w:hanging="332"/>
        <w:spacing w:after="0" w:line="254"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in the Option and Warrant Awards column represent the aggregate grant date fair value of options and/or warrants to purchase restricted shares of our common stock awarded to Mr. Singh, Dr. Snodgrass, Dr. Smith and Mr. Dotson, and, in Fiscal 2016, the effect of modifications to prior grants of warrants, occurring during the fiscal year presented, computed in accordance with the Financial Accounting Standards Board’s Accounting Standards Codification Topic 718, Compensation – Stock Compensation ( </w:t>
      </w:r>
      <w:r>
        <w:rPr>
          <w:rFonts w:ascii="Times New Roman" w:cs="Times New Roman" w:eastAsia="Times New Roman" w:hAnsi="Times New Roman"/>
          <w:sz w:val="18"/>
          <w:szCs w:val="18"/>
          <w:i w:val="1"/>
          <w:iCs w:val="1"/>
          <w:color w:val="auto"/>
        </w:rPr>
        <w:t>ASC 718</w:t>
      </w:r>
      <w:r>
        <w:rPr>
          <w:rFonts w:ascii="Times New Roman" w:cs="Times New Roman" w:eastAsia="Times New Roman" w:hAnsi="Times New Roman"/>
          <w:sz w:val="18"/>
          <w:szCs w:val="18"/>
          <w:color w:val="auto"/>
        </w:rPr>
        <w:t>). The amounts in this column do not represent any cash payments actually received by Mr. Singh, Dr. Snodgrass, Dr. Smith or Mr. Dotson with respect to any of such options or warrants to purchase restricted shares of our common stock awarded to them or modified during the periods presented. To date, Mr. Singh, Dr. Snodgrass, Dr. Smith and Mr. Dotson have not exercised any of such options or warrants to purchase common stock, and there can be no assurance that any of them will ever realize any of the ASC 718 grant date fair value amounts presented in the Option and Warrant Awards column.</w:t>
      </w:r>
    </w:p>
    <w:p>
      <w:pPr>
        <w:spacing w:after="0" w:line="192" w:lineRule="exact"/>
        <w:rPr>
          <w:rFonts w:ascii="Times New Roman" w:cs="Times New Roman" w:eastAsia="Times New Roman" w:hAnsi="Times New Roman"/>
          <w:sz w:val="18"/>
          <w:szCs w:val="18"/>
          <w:color w:val="auto"/>
        </w:rPr>
      </w:pPr>
    </w:p>
    <w:p>
      <w:pPr>
        <w:ind w:left="340" w:right="40" w:hanging="332"/>
        <w:spacing w:after="0" w:line="339" w:lineRule="auto"/>
        <w:tabs>
          <w:tab w:leader="none" w:pos="3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 below provides information regarding the option awards we granted to Mr. Singh, Dr. Snodgrass, Dr. Smith and Mr. Dotson during Fiscal 2017 and the assumptions used in the Black Scholes Option Pricing Model to determine the grant date fair values of the respective awards and modifications.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7440" w:type="dxa"/>
            <w:vAlign w:val="bottom"/>
            <w:gridSpan w:val="3"/>
          </w:tcPr>
          <w:p>
            <w:pPr>
              <w:spacing w:after="0"/>
              <w:rPr>
                <w:rFonts w:ascii="Times New Roman" w:cs="Times New Roman" w:eastAsia="Times New Roman" w:hAnsi="Times New Roman"/>
                <w:sz w:val="18"/>
                <w:szCs w:val="18"/>
                <w:i w:val="1"/>
                <w:iCs w:val="1"/>
                <w:color w:val="0000EE"/>
              </w:rPr>
            </w:pPr>
            <w:hyperlink w:anchor="page5">
              <w:r>
                <w:rPr>
                  <w:rFonts w:ascii="Times New Roman" w:cs="Times New Roman" w:eastAsia="Times New Roman" w:hAnsi="Times New Roman"/>
                  <w:sz w:val="18"/>
                  <w:szCs w:val="18"/>
                  <w:i w:val="1"/>
                  <w:iCs w:val="1"/>
                  <w:color w:val="0000EE"/>
                </w:rPr>
                <w:t>Table of Contents</w:t>
              </w:r>
            </w:hyperlink>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4"/>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6200" w:type="dxa"/>
            <w:vAlign w:val="bottom"/>
          </w:tcPr>
          <w:p>
            <w:pPr>
              <w:spacing w:after="0"/>
              <w:rPr>
                <w:sz w:val="24"/>
                <w:szCs w:val="24"/>
                <w:color w:val="auto"/>
              </w:rPr>
            </w:pPr>
          </w:p>
        </w:tc>
        <w:tc>
          <w:tcPr>
            <w:tcW w:w="13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Option Grant</w:t>
            </w:r>
          </w:p>
        </w:tc>
        <w:tc>
          <w:tcPr>
            <w:tcW w:w="13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Option Grant</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6/19/2016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11/9/2016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Singh</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484,700</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272,510</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Snodgrass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302,938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218,008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Smith</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436,230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Dotson</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181,763</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136,255</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6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1,405,631</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844,781</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2,250,412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79.82%</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83.17%</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shares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340" w:right="40" w:hanging="332"/>
        <w:spacing w:after="0" w:line="339" w:lineRule="auto"/>
        <w:tabs>
          <w:tab w:leader="none" w:pos="3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 below provides information regarding the warrant awards and modifications we granted to Mr. Singh, Dr. Snodgrass and Mr. Dotson during fiscal 2016 and the assumptions used in the Black Scholes Option Pricing Model to determine the grant date fair values of the respective awards and modifications.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Warrant</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w w:val="99"/>
              </w:rPr>
              <w:t>Warrant Grant</w:t>
            </w:r>
          </w:p>
        </w:tc>
        <w:tc>
          <w:tcPr>
            <w:tcW w:w="13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w w:val="99"/>
              </w:rPr>
              <w:t>Modification</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9/2/2015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5"/>
              </w:rPr>
              <w:t>11/11/2015</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Singh</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1,420,332</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209,242</w:t>
            </w:r>
          </w:p>
        </w:tc>
        <w:tc>
          <w:tcPr>
            <w:tcW w:w="2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1,629,574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Snodgrass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852,199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132,826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985,025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Dotson</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568,133</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67,164</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635,297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2,840,664</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409,232</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3,249,896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color w:val="auto"/>
              </w:rPr>
              <w:t>Weighted Average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(except shares)</w:t>
            </w: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Before</w:t>
            </w:r>
          </w:p>
        </w:tc>
        <w:tc>
          <w:tcPr>
            <w:tcW w:w="340" w:type="dxa"/>
            <w:vAlign w:val="bottom"/>
          </w:tcPr>
          <w:p>
            <w:pPr>
              <w:spacing w:after="0"/>
              <w:rPr>
                <w:sz w:val="19"/>
                <w:szCs w:val="19"/>
                <w:color w:val="auto"/>
              </w:rPr>
            </w:pPr>
          </w:p>
        </w:tc>
        <w:tc>
          <w:tcPr>
            <w:tcW w:w="7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94"/>
              </w:rPr>
              <w:t>After</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80" w:type="dxa"/>
            <w:vAlign w:val="bottom"/>
          </w:tcPr>
          <w:p>
            <w:pPr>
              <w:spacing w:after="0"/>
              <w:rPr>
                <w:sz w:val="18"/>
                <w:szCs w:val="18"/>
                <w:color w:val="auto"/>
              </w:rPr>
            </w:pPr>
          </w:p>
        </w:tc>
        <w:tc>
          <w:tcPr>
            <w:tcW w:w="34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77.19%</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78.8%</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Fair value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80" w:type="dxa"/>
            <w:vAlign w:val="bottom"/>
          </w:tcPr>
          <w:p>
            <w:pPr>
              <w:spacing w:after="0"/>
              <w:rPr>
                <w:sz w:val="18"/>
                <w:szCs w:val="18"/>
                <w:color w:val="auto"/>
              </w:rPr>
            </w:pPr>
          </w:p>
        </w:tc>
        <w:tc>
          <w:tcPr>
            <w:tcW w:w="34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shares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952,803</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952,803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Mr. Singh, Dr. Snodgrass and Mr. Dotson were granted warrants to purchase 250,000, 150,000 and 100,000 restricted shares of our common stock, respectively. We modified warrants to purchase an aggregate of 477,803 shares, 310,000 shares and 165,000 shares held by Mr. Singh, Dr. Snodgrass and Mr. Dotson,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NEOs is entitled to perquisites or other personal benefits that, in the aggregate, are worth over $50,000 or over 10% of their base salary.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2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98" w:name="page99"/>
    <w:bookmarkEnd w:id="98"/>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 and Warrants Granted to NEOs</w:t>
      </w:r>
    </w:p>
    <w:p>
      <w:pPr>
        <w:spacing w:after="0" w:line="227"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 following table provides information regarding each unexercised stock option and warrant to purchase restricted shares of our common stock held by each of the named executive officers as of March 31,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Number of Securities</w:t>
            </w:r>
          </w:p>
        </w:tc>
        <w:tc>
          <w:tcPr>
            <w:tcW w:w="21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Number of Securities</w:t>
            </w:r>
          </w:p>
        </w:tc>
        <w:tc>
          <w:tcPr>
            <w:tcW w:w="1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Option</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Underlying</w:t>
            </w:r>
          </w:p>
        </w:tc>
        <w:tc>
          <w:tcPr>
            <w:tcW w:w="21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Underlying</w:t>
            </w:r>
          </w:p>
        </w:tc>
        <w:tc>
          <w:tcPr>
            <w:tcW w:w="1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Unexercised Options</w:t>
            </w:r>
          </w:p>
        </w:tc>
        <w:tc>
          <w:tcPr>
            <w:tcW w:w="21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Unexercised Options</w:t>
            </w:r>
          </w:p>
        </w:tc>
        <w:tc>
          <w:tcPr>
            <w:tcW w:w="1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Expiration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 Exercisable</w:t>
            </w:r>
          </w:p>
        </w:tc>
        <w:tc>
          <w:tcPr>
            <w:tcW w:w="21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 Unexercisable</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22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K. Singh</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5/17/2017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1/17/2018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12/30/2019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4/26/2021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3/19/2019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3/19/2019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9/2/2020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2160" w:type="dxa"/>
            <w:vAlign w:val="bottom"/>
            <w:gridSpan w:val="2"/>
          </w:tcPr>
          <w:p>
            <w:pPr>
              <w:jc w:val="right"/>
              <w:ind w:right="300"/>
              <w:spacing w:after="0" w:line="216" w:lineRule="exact"/>
              <w:rPr>
                <w:sz w:val="20"/>
                <w:szCs w:val="20"/>
                <w:color w:val="auto"/>
              </w:rPr>
            </w:pPr>
            <w:r>
              <w:rPr>
                <w:rFonts w:ascii="Times New Roman" w:cs="Times New Roman" w:eastAsia="Times New Roman" w:hAnsi="Times New Roman"/>
                <w:sz w:val="18"/>
                <w:szCs w:val="18"/>
                <w:color w:val="auto"/>
              </w:rPr>
              <w:t>200,000</w:t>
            </w:r>
            <w:r>
              <w:rPr>
                <w:rFonts w:ascii="Times New Roman" w:cs="Times New Roman" w:eastAsia="Times New Roman" w:hAnsi="Times New Roman"/>
                <w:sz w:val="24"/>
                <w:szCs w:val="24"/>
                <w:color w:val="auto"/>
                <w:vertAlign w:val="subscript"/>
              </w:rPr>
              <w:t>(1)</w:t>
            </w: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320"/>
              <w:spacing w:after="0" w:line="197" w:lineRule="exact"/>
              <w:rPr>
                <w:sz w:val="20"/>
                <w:szCs w:val="20"/>
                <w:color w:val="auto"/>
              </w:rPr>
            </w:pPr>
            <w:r>
              <w:rPr>
                <w:rFonts w:ascii="Times New Roman" w:cs="Times New Roman" w:eastAsia="Times New Roman" w:hAnsi="Times New Roman"/>
                <w:sz w:val="16"/>
                <w:szCs w:val="16"/>
                <w:color w:val="auto"/>
              </w:rPr>
              <w:t>11,111</w:t>
            </w:r>
            <w:r>
              <w:rPr>
                <w:rFonts w:ascii="Times New Roman" w:cs="Times New Roman" w:eastAsia="Times New Roman" w:hAnsi="Times New Roman"/>
                <w:sz w:val="22"/>
                <w:szCs w:val="22"/>
                <w:color w:val="auto"/>
                <w:vertAlign w:val="subscript"/>
              </w:rPr>
              <w:t>(2)</w:t>
            </w:r>
          </w:p>
        </w:tc>
        <w:tc>
          <w:tcPr>
            <w:tcW w:w="2160" w:type="dxa"/>
            <w:vAlign w:val="bottom"/>
            <w:gridSpan w:val="2"/>
            <w:shd w:val="clear" w:color="auto" w:fill="CCEEFF"/>
          </w:tcPr>
          <w:p>
            <w:pPr>
              <w:jc w:val="right"/>
              <w:ind w:right="300"/>
              <w:spacing w:after="0" w:line="197" w:lineRule="exact"/>
              <w:rPr>
                <w:sz w:val="20"/>
                <w:szCs w:val="20"/>
                <w:color w:val="auto"/>
              </w:rPr>
            </w:pPr>
            <w:r>
              <w:rPr>
                <w:rFonts w:ascii="Times New Roman" w:cs="Times New Roman" w:eastAsia="Times New Roman" w:hAnsi="Times New Roman"/>
                <w:sz w:val="16"/>
                <w:szCs w:val="16"/>
                <w:color w:val="auto"/>
              </w:rPr>
              <w:t>88,889</w:t>
            </w:r>
            <w:r>
              <w:rPr>
                <w:rFonts w:ascii="Times New Roman" w:cs="Times New Roman" w:eastAsia="Times New Roman" w:hAnsi="Times New Roman"/>
                <w:sz w:val="22"/>
                <w:szCs w:val="22"/>
                <w:color w:val="auto"/>
                <w:vertAlign w:val="subscript"/>
              </w:rPr>
              <w:t>(2)</w:t>
            </w:r>
          </w:p>
        </w:tc>
        <w:tc>
          <w:tcPr>
            <w:tcW w:w="19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3.80</w:t>
            </w:r>
          </w:p>
        </w:tc>
        <w:tc>
          <w:tcPr>
            <w:tcW w:w="17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11/9/2026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673,289</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288,889</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 Ralph Snodgrass, Ph.D.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12/30/2019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3/19/2024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3/19/2024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9/20/2020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2160" w:type="dxa"/>
            <w:vAlign w:val="bottom"/>
            <w:gridSpan w:val="2"/>
          </w:tcPr>
          <w:p>
            <w:pPr>
              <w:jc w:val="right"/>
              <w:ind w:right="300"/>
              <w:spacing w:after="0" w:line="216" w:lineRule="exact"/>
              <w:rPr>
                <w:sz w:val="20"/>
                <w:szCs w:val="20"/>
                <w:color w:val="auto"/>
              </w:rPr>
            </w:pPr>
            <w:r>
              <w:rPr>
                <w:rFonts w:ascii="Times New Roman" w:cs="Times New Roman" w:eastAsia="Times New Roman" w:hAnsi="Times New Roman"/>
                <w:sz w:val="18"/>
                <w:szCs w:val="18"/>
                <w:color w:val="auto"/>
              </w:rPr>
              <w:t>125,000</w:t>
            </w:r>
            <w:r>
              <w:rPr>
                <w:rFonts w:ascii="Times New Roman" w:cs="Times New Roman" w:eastAsia="Times New Roman" w:hAnsi="Times New Roman"/>
                <w:sz w:val="24"/>
                <w:szCs w:val="24"/>
                <w:color w:val="auto"/>
                <w:vertAlign w:val="subscript"/>
              </w:rPr>
              <w:t>(1)</w:t>
            </w: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320"/>
              <w:spacing w:after="0" w:line="197" w:lineRule="exact"/>
              <w:rPr>
                <w:sz w:val="20"/>
                <w:szCs w:val="20"/>
                <w:color w:val="auto"/>
              </w:rPr>
            </w:pPr>
            <w:r>
              <w:rPr>
                <w:rFonts w:ascii="Times New Roman" w:cs="Times New Roman" w:eastAsia="Times New Roman" w:hAnsi="Times New Roman"/>
                <w:sz w:val="16"/>
                <w:szCs w:val="16"/>
                <w:color w:val="auto"/>
              </w:rPr>
              <w:t>8,888</w:t>
            </w:r>
            <w:r>
              <w:rPr>
                <w:rFonts w:ascii="Times New Roman" w:cs="Times New Roman" w:eastAsia="Times New Roman" w:hAnsi="Times New Roman"/>
                <w:sz w:val="22"/>
                <w:szCs w:val="22"/>
                <w:color w:val="auto"/>
                <w:vertAlign w:val="subscript"/>
              </w:rPr>
              <w:t>(2)</w:t>
            </w:r>
          </w:p>
        </w:tc>
        <w:tc>
          <w:tcPr>
            <w:tcW w:w="2160" w:type="dxa"/>
            <w:vAlign w:val="bottom"/>
            <w:gridSpan w:val="2"/>
            <w:shd w:val="clear" w:color="auto" w:fill="CCEEFF"/>
          </w:tcPr>
          <w:p>
            <w:pPr>
              <w:jc w:val="right"/>
              <w:ind w:right="300"/>
              <w:spacing w:after="0" w:line="197" w:lineRule="exact"/>
              <w:rPr>
                <w:sz w:val="20"/>
                <w:szCs w:val="20"/>
                <w:color w:val="auto"/>
              </w:rPr>
            </w:pPr>
            <w:r>
              <w:rPr>
                <w:rFonts w:ascii="Times New Roman" w:cs="Times New Roman" w:eastAsia="Times New Roman" w:hAnsi="Times New Roman"/>
                <w:sz w:val="16"/>
                <w:szCs w:val="16"/>
                <w:color w:val="auto"/>
              </w:rPr>
              <w:t>71,112</w:t>
            </w:r>
            <w:r>
              <w:rPr>
                <w:rFonts w:ascii="Times New Roman" w:cs="Times New Roman" w:eastAsia="Times New Roman" w:hAnsi="Times New Roman"/>
                <w:sz w:val="22"/>
                <w:szCs w:val="22"/>
                <w:color w:val="auto"/>
                <w:vertAlign w:val="subscript"/>
              </w:rPr>
              <w:t>(2)</w:t>
            </w:r>
          </w:p>
        </w:tc>
        <w:tc>
          <w:tcPr>
            <w:tcW w:w="19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3.80</w:t>
            </w:r>
          </w:p>
        </w:tc>
        <w:tc>
          <w:tcPr>
            <w:tcW w:w="17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11/9/2026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335,138</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196,112</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A. Smith, M.D. Ph.D.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2160" w:type="dxa"/>
            <w:vAlign w:val="bottom"/>
            <w:gridSpan w:val="2"/>
          </w:tcPr>
          <w:p>
            <w:pPr>
              <w:jc w:val="right"/>
              <w:ind w:right="300"/>
              <w:spacing w:after="0" w:line="216" w:lineRule="exact"/>
              <w:rPr>
                <w:sz w:val="20"/>
                <w:szCs w:val="20"/>
                <w:color w:val="auto"/>
              </w:rPr>
            </w:pPr>
            <w:r>
              <w:rPr>
                <w:rFonts w:ascii="Times New Roman" w:cs="Times New Roman" w:eastAsia="Times New Roman" w:hAnsi="Times New Roman"/>
                <w:sz w:val="18"/>
                <w:szCs w:val="18"/>
                <w:color w:val="auto"/>
              </w:rPr>
              <w:t>180,000</w:t>
            </w:r>
            <w:r>
              <w:rPr>
                <w:rFonts w:ascii="Times New Roman" w:cs="Times New Roman" w:eastAsia="Times New Roman" w:hAnsi="Times New Roman"/>
                <w:sz w:val="24"/>
                <w:szCs w:val="24"/>
                <w:color w:val="auto"/>
                <w:vertAlign w:val="subscript"/>
              </w:rPr>
              <w:t>(1)</w:t>
            </w: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320"/>
              <w:spacing w:after="0" w:line="197" w:lineRule="exact"/>
              <w:rPr>
                <w:sz w:val="20"/>
                <w:szCs w:val="20"/>
                <w:color w:val="auto"/>
              </w:rPr>
            </w:pPr>
            <w:r>
              <w:rPr>
                <w:rFonts w:ascii="Times New Roman" w:cs="Times New Roman" w:eastAsia="Times New Roman" w:hAnsi="Times New Roman"/>
                <w:sz w:val="16"/>
                <w:szCs w:val="16"/>
                <w:color w:val="auto"/>
              </w:rPr>
              <w:t>8,888</w:t>
            </w:r>
            <w:r>
              <w:rPr>
                <w:rFonts w:ascii="Times New Roman" w:cs="Times New Roman" w:eastAsia="Times New Roman" w:hAnsi="Times New Roman"/>
                <w:sz w:val="22"/>
                <w:szCs w:val="22"/>
                <w:color w:val="auto"/>
                <w:vertAlign w:val="subscript"/>
              </w:rPr>
              <w:t>(2)</w:t>
            </w:r>
          </w:p>
        </w:tc>
        <w:tc>
          <w:tcPr>
            <w:tcW w:w="2160" w:type="dxa"/>
            <w:vAlign w:val="bottom"/>
            <w:gridSpan w:val="2"/>
            <w:shd w:val="clear" w:color="auto" w:fill="CCEEFF"/>
          </w:tcPr>
          <w:p>
            <w:pPr>
              <w:jc w:val="right"/>
              <w:ind w:right="300"/>
              <w:spacing w:after="0" w:line="197" w:lineRule="exact"/>
              <w:rPr>
                <w:sz w:val="20"/>
                <w:szCs w:val="20"/>
                <w:color w:val="auto"/>
              </w:rPr>
            </w:pPr>
            <w:r>
              <w:rPr>
                <w:rFonts w:ascii="Times New Roman" w:cs="Times New Roman" w:eastAsia="Times New Roman" w:hAnsi="Times New Roman"/>
                <w:sz w:val="16"/>
                <w:szCs w:val="16"/>
                <w:color w:val="auto"/>
              </w:rPr>
              <w:t>71,112</w:t>
            </w:r>
            <w:r>
              <w:rPr>
                <w:rFonts w:ascii="Times New Roman" w:cs="Times New Roman" w:eastAsia="Times New Roman" w:hAnsi="Times New Roman"/>
                <w:sz w:val="22"/>
                <w:szCs w:val="22"/>
                <w:color w:val="auto"/>
                <w:vertAlign w:val="subscript"/>
              </w:rPr>
              <w:t>(2)</w:t>
            </w:r>
          </w:p>
        </w:tc>
        <w:tc>
          <w:tcPr>
            <w:tcW w:w="19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3.80</w:t>
            </w:r>
          </w:p>
        </w:tc>
        <w:tc>
          <w:tcPr>
            <w:tcW w:w="17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11/9/2026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251,112</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Jerrold D. Dotson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10/30/2022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10/27/2023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3/19/2024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60" w:type="dxa"/>
            <w:vAlign w:val="bottom"/>
          </w:tcPr>
          <w:p>
            <w:pPr>
              <w:spacing w:after="0"/>
              <w:rPr>
                <w:sz w:val="18"/>
                <w:szCs w:val="18"/>
                <w:color w:val="auto"/>
              </w:rPr>
            </w:pPr>
          </w:p>
        </w:tc>
        <w:tc>
          <w:tcPr>
            <w:tcW w:w="2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300"/>
              <w:spacing w:after="0" w:line="216" w:lineRule="exact"/>
              <w:rPr>
                <w:sz w:val="20"/>
                <w:szCs w:val="20"/>
                <w:color w:val="auto"/>
              </w:rPr>
            </w:pPr>
            <w:r>
              <w:rPr>
                <w:rFonts w:ascii="Times New Roman" w:cs="Times New Roman" w:eastAsia="Times New Roman" w:hAnsi="Times New Roman"/>
                <w:sz w:val="18"/>
                <w:szCs w:val="18"/>
                <w:color w:val="auto"/>
              </w:rPr>
              <w:t>75,000</w:t>
            </w:r>
            <w:r>
              <w:rPr>
                <w:rFonts w:ascii="Times New Roman" w:cs="Times New Roman" w:eastAsia="Times New Roman" w:hAnsi="Times New Roman"/>
                <w:sz w:val="24"/>
                <w:szCs w:val="24"/>
                <w:color w:val="auto"/>
                <w:vertAlign w:val="subscript"/>
              </w:rPr>
              <w:t>(1)</w:t>
            </w: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right"/>
              <w:ind w:right="320"/>
              <w:spacing w:after="0" w:line="197" w:lineRule="exact"/>
              <w:rPr>
                <w:sz w:val="20"/>
                <w:szCs w:val="20"/>
                <w:color w:val="auto"/>
              </w:rPr>
            </w:pPr>
            <w:r>
              <w:rPr>
                <w:rFonts w:ascii="Times New Roman" w:cs="Times New Roman" w:eastAsia="Times New Roman" w:hAnsi="Times New Roman"/>
                <w:sz w:val="16"/>
                <w:szCs w:val="16"/>
                <w:color w:val="auto"/>
              </w:rPr>
              <w:t>5,555</w:t>
            </w:r>
            <w:r>
              <w:rPr>
                <w:rFonts w:ascii="Times New Roman" w:cs="Times New Roman" w:eastAsia="Times New Roman" w:hAnsi="Times New Roman"/>
                <w:sz w:val="22"/>
                <w:szCs w:val="22"/>
                <w:color w:val="auto"/>
                <w:vertAlign w:val="subscript"/>
              </w:rPr>
              <w:t>(2)</w:t>
            </w:r>
          </w:p>
        </w:tc>
        <w:tc>
          <w:tcPr>
            <w:tcW w:w="2160" w:type="dxa"/>
            <w:vAlign w:val="bottom"/>
            <w:gridSpan w:val="2"/>
          </w:tcPr>
          <w:p>
            <w:pPr>
              <w:jc w:val="right"/>
              <w:ind w:right="300"/>
              <w:spacing w:after="0" w:line="197" w:lineRule="exact"/>
              <w:rPr>
                <w:sz w:val="20"/>
                <w:szCs w:val="20"/>
                <w:color w:val="auto"/>
              </w:rPr>
            </w:pPr>
            <w:r>
              <w:rPr>
                <w:rFonts w:ascii="Times New Roman" w:cs="Times New Roman" w:eastAsia="Times New Roman" w:hAnsi="Times New Roman"/>
                <w:sz w:val="16"/>
                <w:szCs w:val="16"/>
                <w:color w:val="auto"/>
              </w:rPr>
              <w:t>44,445</w:t>
            </w:r>
            <w:r>
              <w:rPr>
                <w:rFonts w:ascii="Times New Roman" w:cs="Times New Roman" w:eastAsia="Times New Roman" w:hAnsi="Times New Roman"/>
                <w:sz w:val="22"/>
                <w:szCs w:val="22"/>
                <w:color w:val="auto"/>
                <w:vertAlign w:val="subscript"/>
              </w:rPr>
              <w:t>(2)</w:t>
            </w:r>
          </w:p>
        </w:tc>
        <w:tc>
          <w:tcPr>
            <w:tcW w:w="19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3.80</w:t>
            </w:r>
          </w:p>
        </w:tc>
        <w:tc>
          <w:tcPr>
            <w:tcW w:w="1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11/9/2026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28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76,556</w:t>
            </w:r>
          </w:p>
        </w:tc>
        <w:tc>
          <w:tcPr>
            <w:tcW w:w="4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119,445</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49" w:lineRule="exact"/>
        <w:rPr>
          <w:sz w:val="20"/>
          <w:szCs w:val="20"/>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granted on June 19, 2016 when the market price of our common stock was $3.49 per</w:t>
      </w:r>
    </w:p>
    <w:p>
      <w:pPr>
        <w:spacing w:after="0" w:line="21" w:lineRule="exact"/>
        <w:rPr>
          <w:rFonts w:ascii="Times New Roman" w:cs="Times New Roman" w:eastAsia="Times New Roman" w:hAnsi="Times New Roman"/>
          <w:sz w:val="18"/>
          <w:szCs w:val="18"/>
          <w:color w:val="auto"/>
        </w:rPr>
      </w:pPr>
    </w:p>
    <w:p>
      <w:pPr>
        <w:ind w:left="4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The option will become exercisable for 25% of the shares granted on June 19, 2017 with the remaining shares becoming exercisable ratably monthly through June 19, 2020, when all shares granted will be fully exercisable.</w:t>
      </w:r>
    </w:p>
    <w:p>
      <w:pPr>
        <w:spacing w:after="0" w:line="185" w:lineRule="exact"/>
        <w:rPr>
          <w:rFonts w:ascii="Times New Roman" w:cs="Times New Roman" w:eastAsia="Times New Roman" w:hAnsi="Times New Roman"/>
          <w:sz w:val="18"/>
          <w:szCs w:val="18"/>
          <w:color w:val="auto"/>
        </w:rPr>
      </w:pPr>
    </w:p>
    <w:p>
      <w:pPr>
        <w:ind w:left="460" w:right="280" w:hanging="452"/>
        <w:spacing w:after="0" w:line="262"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granted on November 9, 2016 when the market price of our common stock was $3.80 per share. The option becomes exercisable for 1/36th of the shares granted each month beginning December 9, 2016 through November 9, 2019, when all shares granted will be fully exercisable.</w:t>
      </w:r>
    </w:p>
    <w:p>
      <w:pPr>
        <w:sectPr>
          <w:pgSz w:w="11900" w:h="16838" w:orient="portrait"/>
          <w:cols w:equalWidth="0" w:num="1">
            <w:col w:w="11420"/>
          </w:cols>
          <w:pgMar w:left="240" w:top="1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99" w:name="page100"/>
    <w:bookmarkEnd w:id="99"/>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Subsequent to March 31, 2017, in April 2017 we granted options to our NEOs to purchase an aggregate total of 525,000 shares of common stock at $1.96 per share, of which 175,000 options were granted to Mr. Singh, 125,000 options were granted to each of Drs. Snodgrass and Smith, and 100,000 options were granted to Mr. Dotson. In September 2017, we granted options to our NEOs to purchase an aggregate total of 425,000 shares of common stock at $1.56 per share, of which 125,000 options were granted to Mr. Singh, 100,000 options were granted to each of Drs. Snodgrass and Smith, and 100,000 options were granted to Mr. Dotson.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or Severance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have employment agreements with Mr. Singh and Dr. Snodgrass.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Singh Agreement</w:t>
      </w:r>
    </w:p>
    <w:p>
      <w:pPr>
        <w:spacing w:after="0" w:line="2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entered into an employment agreement with Mr. Singh on April 28, 2010. Under the agreement, as amended on June 22, 2016, Mr. Singh’s base salary was increased from $347,500 per year to $395,000 per year, effective June 16, 2016. Although under his agreement, Mr. Singh is eligible to receive an annual incentive cash bonus of up to 50% of his base salary, he has foregone any such cash bonus payment to conserve cash for our operations during our fiscal years 2012 through 2015. Mr. Singh received a cash bonus in the amount of $173,750 in July 2016, for his service during fiscal 2016. Payment of his annual incentive bonus is at the discretion of our Board of Directors. In the event we terminate Mr. Singh’s employment without cause, he is entitled to receive severance in an amount equal to:</w:t>
      </w:r>
    </w:p>
    <w:p>
      <w:pPr>
        <w:spacing w:after="0" w:line="193"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months of his then-current base salary payable in the form of salary continuation;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pro-rated portion of the incentive cash bonus that the Board of Directors determines in good faith that Mr. Singh earned prior to his termination; and</w:t>
      </w:r>
    </w:p>
    <w:p>
      <w:pPr>
        <w:spacing w:after="0" w:line="246" w:lineRule="exact"/>
        <w:rPr>
          <w:rFonts w:ascii="Times New Roman" w:cs="Times New Roman" w:eastAsia="Times New Roman" w:hAnsi="Times New Roman"/>
          <w:sz w:val="16"/>
          <w:szCs w:val="16"/>
          <w:color w:val="auto"/>
        </w:rPr>
      </w:pPr>
    </w:p>
    <w:p>
      <w:pPr>
        <w:ind w:left="660" w:hanging="328"/>
        <w:spacing w:after="0" w:line="277"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amounts required to reimburse him for Consolidated Omnibus Budget Reconciliation Act ( </w:t>
      </w:r>
      <w:r>
        <w:rPr>
          <w:rFonts w:ascii="Times New Roman" w:cs="Times New Roman" w:eastAsia="Times New Roman" w:hAnsi="Times New Roman"/>
          <w:sz w:val="18"/>
          <w:szCs w:val="18"/>
          <w:i w:val="1"/>
          <w:iCs w:val="1"/>
          <w:color w:val="auto"/>
        </w:rPr>
        <w:t>COBRA</w:t>
      </w:r>
      <w:r>
        <w:rPr>
          <w:rFonts w:ascii="Times New Roman" w:cs="Times New Roman" w:eastAsia="Times New Roman" w:hAnsi="Times New Roman"/>
          <w:sz w:val="18"/>
          <w:szCs w:val="18"/>
          <w:color w:val="auto"/>
        </w:rPr>
        <w:t>) payments for continuation of his medical health benefits for such twelve-month period.</w:t>
      </w:r>
    </w:p>
    <w:p>
      <w:pPr>
        <w:spacing w:after="0" w:line="17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In addition, in the event Mr. Singh terminates his employment with good reason following a change of control, he is entitled to twelve months of his then-current base salary payable in the form of salary continuation.</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Snodgrass Agreement</w:t>
      </w:r>
    </w:p>
    <w:p>
      <w:pPr>
        <w:spacing w:after="0" w:line="2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entered into an employment agreement with Dr. Snodgrass on April 28, 2010. Under the agreement, as amended on June 22, 2016, Dr. Snodgrass’s base salary was increased from $305,000 per year to $350,000 per year, effective June 16, 2016. Although under his agreement, Dr. Snodgrass is eligible to receive an annual incentive cash bonus of up to 50% of his base salary, he has foregone any such cash bonus payment to conserve cash for our operations during our fiscal years 2012 through 2015. Dr. Snodgrass received a cash bonus in the amount of $152,500 in July 2016, for his service during fiscal 2016. Payment of his annual incentive bonus is at the discretion of the Board of Directors. In the event we terminate Dr. Snodgrass’s employment without cause, he is entitled to receive severance in an amount equal to:</w:t>
      </w:r>
    </w:p>
    <w:p>
      <w:pPr>
        <w:spacing w:after="0" w:line="193"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months of his then-current base salary payable in the form of salary continuation;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portion of the incentive bonus that the Board of Directors determines in good faith that Dr. Snodgrass earned prior to his termination;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amounts required to reimburse him for COBRA payments for continuation of his medical health benefits for such twelve-month period.</w:t>
      </w:r>
    </w:p>
    <w:p>
      <w:pPr>
        <w:spacing w:after="0" w:line="225"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In addition, in the event Dr. Snodgrass terminates his employment with good reason, he is entitled to twelve months of his then-current base salary payable in the form of salary continuation.</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Change of Control Provisions</w:t>
      </w:r>
    </w:p>
    <w:p>
      <w:pPr>
        <w:spacing w:after="0" w:line="227"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6"/>
          <w:szCs w:val="16"/>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the event is affected by us without the executive’s consent (subject to our right to cure):</w:t>
      </w:r>
    </w:p>
    <w:p>
      <w:pPr>
        <w:spacing w:after="0" w:line="151"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executive’s responsibility;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75"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executive’s base salary except for reductions that are comparable to reductions generally applicable to similarly situated executives of VistaGen.</w:t>
      </w:r>
    </w:p>
    <w:p>
      <w:pPr>
        <w:sectPr>
          <w:pgSz w:w="11900" w:h="16838" w:orient="portrait"/>
          <w:cols w:equalWidth="0" w:num="1">
            <w:col w:w="11420"/>
          </w:cols>
          <w:pgMar w:left="240" w:top="1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100" w:name="page101"/>
    <w:bookmarkEnd w:id="100"/>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Furthermore, pursuant to their respective employment agreements and their stock option award agreements, as amended, in the event we terminate the executive without cause within twelve months of a change of control, the executive’s remaining unvested option shares become fully vested and exercisable. Upon a change of control in which the successor corporation does not assume the executive’s stock options, the stock options granted to the executive become fully vested and exercisable.</w:t>
      </w:r>
    </w:p>
    <w:p>
      <w:pPr>
        <w:spacing w:after="0" w:line="19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Pursuant to their respective employment agreements,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directly or indirectly, of securities of VistaGen representing 50% or more of the combined voting power of VistaGen’s then outstanding securities; (ii) a sale of substantially all of VistaGen’s assets; or (iii) 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19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7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Pursuant to their respective employment agreements, the estimated amount that could be paid by us assuming that a change of control occurred on the last business day of our current fiscal year, is $395,000 for Mr. Singh and $350,000 for Dr. Snodgrass, excluding the imputed value of accelerated vesting of incentive stock options, if any.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101" w:name="page102"/>
    <w:bookmarkEnd w:id="101"/>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7"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6"/>
          <w:szCs w:val="16"/>
          <w:color w:val="auto"/>
        </w:rPr>
        <w:t>We do not have a formal compensation plan for our non-employee directors. We adopted a director compensation policy for our independent directors, as independence is defined by the NASDAQ Stock Market, which became effective for our fiscal year beginning April 1, 2014. Under the independent director compensation policy, our independent directors are entitled to receive a $25,000 annual retainer, payable in cash or shares of common stock. For service on a committee of the board, an independent director is entitled to receive an additional annual cash retainer as follows: $7,500 for audit and compensation committee members and $5,000 for nominating and governance committee members. In lieu of the annual cash retainer for committee participation, each independent director serving as a chair of a board committee shall receive the following annual cash retainer: $15,000 for audit and compensation committee chairs and $10,000 for the nominating and governance committee chairs. We paid our independent directors cash compensation consistent with the policy noted above during our fiscal year ended March 31, 2017. To conserve cash for our operations, we had accrued, but had not paid, our independent directors any cash compensation during the period January 1, 2012 through March 31, 2016. We paid all such unpaid amounts, aggregating $278,500, during Fiscal 2017.</w:t>
      </w:r>
    </w:p>
    <w:p>
      <w:pPr>
        <w:spacing w:after="0" w:line="1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our director compensation policy, as updated in March 2016, each independent director will also receive an annual grant of an option or warrant to purchase a minimum of 12,000 shares of our common stock, which will vest monthly over a one-year period from the date of grant. Prorated grants will be made for partial years of service. In June 2016, we granted options to purchase 25,000 shares of our common stock at $3.49 per share to each of our three independent directors. In November 2016, we granted options to purchase an additional 25,000 shares of our common stock at $3.80 to each of the three independent directors. Subsequent to March 31, 2017, in April 2017 we granted options to purchase 35,000 shares of our common stock at $1.96 per share, and in September 2017 we granted options to purchase 50,000 shares of our common stock at $1.56 per share to each of our three independent directors.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02" w:name="page103"/>
    <w:bookmarkEnd w:id="102"/>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compensation earned by our non-employee directors in our fiscal year ended March 31, 2017.</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34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340" w:type="dxa"/>
            <w:vAlign w:val="bottom"/>
            <w:gridSpan w:val="2"/>
          </w:tcPr>
          <w:p>
            <w:pPr>
              <w:jc w:val="right"/>
              <w:ind w:right="14"/>
              <w:spacing w:after="0" w:line="217" w:lineRule="exact"/>
              <w:rPr>
                <w:sz w:val="20"/>
                <w:szCs w:val="20"/>
                <w:color w:val="auto"/>
              </w:rPr>
            </w:pPr>
            <w:r>
              <w:rPr>
                <w:rFonts w:ascii="Times New Roman" w:cs="Times New Roman" w:eastAsia="Times New Roman" w:hAnsi="Times New Roman"/>
                <w:sz w:val="18"/>
                <w:szCs w:val="18"/>
                <w:b w:val="1"/>
                <w:bCs w:val="1"/>
                <w:color w:val="auto"/>
              </w:rPr>
              <w:t xml:space="preserve">Paid in Cash </w:t>
            </w:r>
            <w:r>
              <w:rPr>
                <w:rFonts w:ascii="Times New Roman" w:cs="Times New Roman" w:eastAsia="Times New Roman" w:hAnsi="Times New Roman"/>
                <w:sz w:val="24"/>
                <w:szCs w:val="24"/>
                <w:b w:val="1"/>
                <w:bCs w:val="1"/>
                <w:color w:val="auto"/>
                <w:vertAlign w:val="superscript"/>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180"/>
              <w:spacing w:after="0" w:line="217" w:lineRule="exact"/>
              <w:rPr>
                <w:sz w:val="20"/>
                <w:szCs w:val="20"/>
                <w:color w:val="auto"/>
              </w:rPr>
            </w:pPr>
            <w:r>
              <w:rPr>
                <w:rFonts w:ascii="Times New Roman" w:cs="Times New Roman" w:eastAsia="Times New Roman" w:hAnsi="Times New Roman"/>
                <w:sz w:val="18"/>
                <w:szCs w:val="18"/>
                <w:b w:val="1"/>
                <w:bCs w:val="1"/>
                <w:color w:val="auto"/>
                <w:w w:val="88"/>
              </w:rPr>
              <w:t xml:space="preserve">Awards </w:t>
            </w:r>
            <w:r>
              <w:rPr>
                <w:rFonts w:ascii="Times New Roman" w:cs="Times New Roman" w:eastAsia="Times New Roman" w:hAnsi="Times New Roman"/>
                <w:sz w:val="24"/>
                <w:szCs w:val="24"/>
                <w:b w:val="1"/>
                <w:bCs w:val="1"/>
                <w:color w:val="auto"/>
                <w:w w:val="88"/>
                <w:vertAlign w:val="superscript"/>
              </w:rPr>
              <w:t>(2)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220" w:type="dxa"/>
            <w:vAlign w:val="bottom"/>
          </w:tcPr>
          <w:p>
            <w:pPr>
              <w:spacing w:after="0"/>
              <w:rPr>
                <w:sz w:val="18"/>
                <w:szCs w:val="18"/>
                <w:color w:val="auto"/>
              </w:rPr>
            </w:pPr>
          </w:p>
        </w:tc>
        <w:tc>
          <w:tcPr>
            <w:tcW w:w="12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9"/>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Jon S. Saxe </w:t>
            </w:r>
            <w:r>
              <w:rPr>
                <w:rFonts w:ascii="Times New Roman" w:cs="Times New Roman" w:eastAsia="Times New Roman" w:hAnsi="Times New Roman"/>
                <w:sz w:val="24"/>
                <w:szCs w:val="24"/>
                <w:color w:val="auto"/>
                <w:vertAlign w:val="superscript"/>
              </w:rPr>
              <w:t>(3)</w:t>
            </w:r>
          </w:p>
        </w:tc>
        <w:tc>
          <w:tcPr>
            <w:tcW w:w="72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159,196</w:t>
            </w:r>
          </w:p>
        </w:tc>
        <w:tc>
          <w:tcPr>
            <w:tcW w:w="3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(6)</w:t>
            </w:r>
          </w:p>
        </w:tc>
        <w:tc>
          <w:tcPr>
            <w:tcW w:w="820" w:type="dxa"/>
            <w:vAlign w:val="bottom"/>
            <w:gridSpan w:val="2"/>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Brian J. Underdown, Ph.D. </w:t>
            </w:r>
            <w:r>
              <w:rPr>
                <w:rFonts w:ascii="Times New Roman" w:cs="Times New Roman" w:eastAsia="Times New Roman" w:hAnsi="Times New Roman"/>
                <w:sz w:val="24"/>
                <w:szCs w:val="24"/>
                <w:color w:val="auto"/>
                <w:vertAlign w:val="superscript"/>
              </w:rPr>
              <w:t>(4)</w:t>
            </w:r>
          </w:p>
        </w:tc>
        <w:tc>
          <w:tcPr>
            <w:tcW w:w="720" w:type="dxa"/>
            <w:vAlign w:val="bottom"/>
          </w:tcPr>
          <w:p>
            <w:pPr>
              <w:jc w:val="right"/>
              <w:ind w:right="555"/>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159,196</w:t>
            </w:r>
          </w:p>
        </w:tc>
        <w:tc>
          <w:tcPr>
            <w:tcW w:w="32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(6)</w:t>
            </w:r>
          </w:p>
        </w:tc>
        <w:tc>
          <w:tcPr>
            <w:tcW w:w="82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Jerry B. Gin, Ph.D., M.B.A </w:t>
            </w:r>
            <w:r>
              <w:rPr>
                <w:rFonts w:ascii="Times New Roman" w:cs="Times New Roman" w:eastAsia="Times New Roman" w:hAnsi="Times New Roman"/>
                <w:sz w:val="24"/>
                <w:szCs w:val="24"/>
                <w:color w:val="auto"/>
                <w:vertAlign w:val="superscript"/>
              </w:rPr>
              <w:t>(5)</w:t>
            </w:r>
          </w:p>
        </w:tc>
        <w:tc>
          <w:tcPr>
            <w:tcW w:w="72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159,196</w:t>
            </w:r>
          </w:p>
        </w:tc>
        <w:tc>
          <w:tcPr>
            <w:tcW w:w="3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(6)</w:t>
            </w:r>
          </w:p>
        </w:tc>
        <w:tc>
          <w:tcPr>
            <w:tcW w:w="820" w:type="dxa"/>
            <w:vAlign w:val="bottom"/>
            <w:gridSpan w:val="2"/>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320" w:right="40" w:hanging="312"/>
        <w:spacing w:after="0" w:line="258" w:lineRule="auto"/>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represent fees earned for service on our Board of Directors, and Audit Committee, Compensation Committee and Corporate Governance and Nominating Committee during the fiscal year ended March 31, 2017, which amounts were paid in full during the fiscal year then ended. Fees paid during Fiscal 2017 for prior years’ Board and committee service, $136,500 to Mr. Saxe, and $142,000 to Dr. Underdown, are excluded from the amounts shown as they had been reported, as appropriate, in the year in which they were accrued.</w:t>
      </w:r>
    </w:p>
    <w:p>
      <w:pPr>
        <w:spacing w:after="0" w:line="190" w:lineRule="exact"/>
        <w:rPr>
          <w:rFonts w:ascii="Times New Roman" w:cs="Times New Roman" w:eastAsia="Times New Roman" w:hAnsi="Times New Roman"/>
          <w:sz w:val="18"/>
          <w:szCs w:val="18"/>
          <w:color w:val="auto"/>
        </w:rPr>
      </w:pPr>
    </w:p>
    <w:p>
      <w:pPr>
        <w:ind w:left="320" w:right="60" w:hanging="312"/>
        <w:spacing w:after="0" w:line="254" w:lineRule="auto"/>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Option Awards column represent the aggregate grant date fair value of options to purchase shares of our common stock awarded to Mr. Saxe, Dr. Underdown and Dr. Gin during our fiscal year ended March 31, 2017, computed in accordance with the Financial Accounting Standards Board’s Accounting Standards Codification Topic 718, Compensation – Stock Compensation (</w:t>
      </w:r>
      <w:r>
        <w:rPr>
          <w:rFonts w:ascii="Times New Roman" w:cs="Times New Roman" w:eastAsia="Times New Roman" w:hAnsi="Times New Roman"/>
          <w:sz w:val="18"/>
          <w:szCs w:val="18"/>
          <w:i w:val="1"/>
          <w:iCs w:val="1"/>
          <w:color w:val="auto"/>
        </w:rPr>
        <w:t>ASC 718</w:t>
      </w:r>
      <w:r>
        <w:rPr>
          <w:rFonts w:ascii="Times New Roman" w:cs="Times New Roman" w:eastAsia="Times New Roman" w:hAnsi="Times New Roman"/>
          <w:sz w:val="18"/>
          <w:szCs w:val="18"/>
          <w:color w:val="auto"/>
        </w:rPr>
        <w:t>). The amounts in this column do not represent any cash payments actually received by Mr. Saxe, Dr. Underdown or Dr. Gin with respect to any of such warrants or options to purchase shares of our common stock awarded to them during the fiscal year ended March 31, 2017. To date, Mr. Saxe, Dr. Underdown and Dr. Gin have not exercised such warrants or options to purchase common stock, and there can be no assurance that any of them will ever realize any of the ASC 718 grant date fair value amounts presented in the Option and Warrant Awards column.</w:t>
      </w:r>
    </w:p>
    <w:p>
      <w:pPr>
        <w:spacing w:after="0" w:line="195" w:lineRule="exact"/>
        <w:rPr>
          <w:rFonts w:ascii="Times New Roman" w:cs="Times New Roman" w:eastAsia="Times New Roman" w:hAnsi="Times New Roman"/>
          <w:sz w:val="18"/>
          <w:szCs w:val="18"/>
          <w:color w:val="auto"/>
        </w:rPr>
      </w:pPr>
    </w:p>
    <w:p>
      <w:pPr>
        <w:ind w:left="320" w:right="20" w:hanging="312"/>
        <w:spacing w:after="0" w:line="258" w:lineRule="auto"/>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Saxe has served as the Chairman of our Board of Directors, the Chairman of our Audit Committee and a member of our Compensation Committee and Corporate Governance and Nominating Committee throughout our fiscal year ended March 31, 2017. At March 31, 2017, Mr. Saxe holds: (i) 1,875 restricted shares of our common stock; (ii) options to purchase 61,875 registered shares of our common stock, of which options to purchase 14,652 shares are exercisable; and (iii) warrants to purchase 83,250 restricted shares of our common stock, all of which are exercisable.</w:t>
      </w:r>
    </w:p>
    <w:p>
      <w:pPr>
        <w:spacing w:after="0" w:line="190" w:lineRule="exact"/>
        <w:rPr>
          <w:rFonts w:ascii="Times New Roman" w:cs="Times New Roman" w:eastAsia="Times New Roman" w:hAnsi="Times New Roman"/>
          <w:sz w:val="18"/>
          <w:szCs w:val="18"/>
          <w:color w:val="auto"/>
        </w:rPr>
      </w:pPr>
    </w:p>
    <w:p>
      <w:pPr>
        <w:ind w:left="320" w:right="120" w:hanging="312"/>
        <w:spacing w:after="0" w:line="258" w:lineRule="auto"/>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Underdown has served as a member of our Board of Directors, as the Chairman of our Compensation Committee and Corporate Governance and Nominating Committee and as a member of our Audit Committee throughout our fiscal year ended March 31, 2017. At March 31, 2017, Dr. Underdown holds: (i) options to purchase 59,250 registered shares of our common stock, of which options to purchase 12,027 shares are exercisable; and (ii) warrants to purchase 82,500 restricted shares of our common stock, all of which are exercisable.</w:t>
      </w:r>
    </w:p>
    <w:p>
      <w:pPr>
        <w:spacing w:after="0" w:line="190" w:lineRule="exact"/>
        <w:rPr>
          <w:rFonts w:ascii="Times New Roman" w:cs="Times New Roman" w:eastAsia="Times New Roman" w:hAnsi="Times New Roman"/>
          <w:sz w:val="18"/>
          <w:szCs w:val="18"/>
          <w:color w:val="auto"/>
        </w:rPr>
      </w:pPr>
    </w:p>
    <w:p>
      <w:pPr>
        <w:ind w:left="320" w:right="140" w:hanging="312"/>
        <w:spacing w:after="0" w:line="258" w:lineRule="auto"/>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Gin was appointed to our Board of Directors and as a member of our Audit Committee on March 29, 2016 and served in those capacities throughout our fiscal year ended March 31, 2017. Effective on April 1, 2017, Dr. Gin was also appointed as a member of the Compensation Committee and assumed chairmanship of the Corporate Governance and Nominating Committee. At March 31, 2017, Dr. Gin holds options to purchase 75,000 registered shares of our common stock of which 27,777 are exercisable.</w:t>
      </w:r>
    </w:p>
    <w:p>
      <w:pPr>
        <w:spacing w:after="0" w:line="190" w:lineRule="exact"/>
        <w:rPr>
          <w:rFonts w:ascii="Times New Roman" w:cs="Times New Roman" w:eastAsia="Times New Roman" w:hAnsi="Times New Roman"/>
          <w:sz w:val="18"/>
          <w:szCs w:val="18"/>
          <w:color w:val="auto"/>
        </w:rPr>
      </w:pPr>
    </w:p>
    <w:p>
      <w:pPr>
        <w:ind w:left="320" w:right="800" w:hanging="312"/>
        <w:spacing w:after="0" w:line="339" w:lineRule="auto"/>
        <w:tabs>
          <w:tab w:leader="none" w:pos="3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 below provides information regarding the option awards we granted to Mr. Saxe, Dr. Underdown and Dr. Gin during Fiscal 2017 and the assumptions used in the Black Scholes Option Pricing Model to determine the grant date fair values of the respective awards and modifications.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7440" w:type="dxa"/>
            <w:vAlign w:val="bottom"/>
            <w:gridSpan w:val="3"/>
          </w:tcPr>
          <w:p>
            <w:pPr>
              <w:spacing w:after="0"/>
              <w:rPr>
                <w:rFonts w:ascii="Times New Roman" w:cs="Times New Roman" w:eastAsia="Times New Roman" w:hAnsi="Times New Roman"/>
                <w:sz w:val="18"/>
                <w:szCs w:val="18"/>
                <w:i w:val="1"/>
                <w:iCs w:val="1"/>
                <w:color w:val="0000EE"/>
              </w:rPr>
            </w:pPr>
            <w:hyperlink w:anchor="page5">
              <w:r>
                <w:rPr>
                  <w:rFonts w:ascii="Times New Roman" w:cs="Times New Roman" w:eastAsia="Times New Roman" w:hAnsi="Times New Roman"/>
                  <w:sz w:val="18"/>
                  <w:szCs w:val="18"/>
                  <w:i w:val="1"/>
                  <w:iCs w:val="1"/>
                  <w:color w:val="0000EE"/>
                </w:rPr>
                <w:t>Table of Contents</w:t>
              </w:r>
            </w:hyperlink>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0"/>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6200" w:type="dxa"/>
            <w:vAlign w:val="bottom"/>
          </w:tcPr>
          <w:p>
            <w:pPr>
              <w:spacing w:after="0"/>
              <w:rPr>
                <w:sz w:val="24"/>
                <w:szCs w:val="24"/>
                <w:color w:val="auto"/>
              </w:rPr>
            </w:pPr>
          </w:p>
        </w:tc>
        <w:tc>
          <w:tcPr>
            <w:tcW w:w="13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Option Grant</w:t>
            </w:r>
          </w:p>
        </w:tc>
        <w:tc>
          <w:tcPr>
            <w:tcW w:w="13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Option Grant</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6/19/2016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11/9/2016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Saxe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76,803</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82,393</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Underdown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76,803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Gin</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76,803</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82,393</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159,196</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230,409</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247,179</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477,588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96.16%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91.65%</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shares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Saxe, Dr. Underdown and Dr. Gin were each granted options to purchase 25,000 shares of our common stock on both of the dates indicated.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7"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Our securities are currently listed on The NASDAQ Capital Market, which has a requirement that a majority of our directors be independent. Accordingly, we evaluate independence by the standards for director independence established by applicable laws, rules, and listing standards, including, without limitation, the standards for independent directors established by the SEC and the NASDAQ Stock Market.</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 million or two percent of that other company’s consolidated gross revenues.</w:t>
      </w:r>
    </w:p>
    <w:p>
      <w:pPr>
        <w:spacing w:after="0" w:line="19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Mr. Saxe, Dr. Underdown and Dr. Gin are “independent” as that term is defined under the applicable rules and regulations of the SEC and NASDAQ Stock Market. Our Board of Directors has also determined that Mr. Saxe, Dr. Underdown and Dr. Gin, who together comprise our audit committee, compensation committee, and corporate governance and nominating committee, satisfy the independence standards for those committees established by applicable SEC rules and NASDAQ Stock Market rules. In making these determinations, our Board of Directors considered the current and prior relationships that each non-employee director has with the Company and all other facts and circumstances that our Board of Directors deemed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04" w:name="page105"/>
    <w:bookmarkEnd w:id="104"/>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SECURITY OWNERSHIP OF CERTAIN BENEFICIAL OWNERS AND MANAGEMENT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December 6, 2017 for:</w:t>
      </w:r>
    </w:p>
    <w:p>
      <w:pPr>
        <w:spacing w:after="0" w:line="158"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be the beneficial owner of more than 5%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Applicable percentage ownership is based on 11,848,974 shares of common stock outstanding at December 6, 2017. In computing the number of shares of common stock beneficially owned by a person, we deemed to be outstanding all shares of common stock subject to options or warrants and all shares of preferred stock held by that person or entity that are currently exercisable or exchangeable or that will become exercisable or exchangeable within 60 days of December 6, 2017. In computing the percentage of shares beneficially owned, we deemed to be outstanding all shares of common stock subject to options or warrants and all shares of preferred stock held by that person or entity that are currently exercisable or exchangeable or that will become exercisable or exchangeable within 60 days of December 6, 2017. Unless otherwise noted below, the address of each beneficial owner listed in the table is c/o VistaGen Therapeutics, Inc., 343 Allerton Avenue, South San Francisco, California 94080.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8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4"/>
              </w:rPr>
              <w:t>Percent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28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8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owned</w:t>
            </w:r>
          </w:p>
        </w:tc>
        <w:tc>
          <w:tcPr>
            <w:tcW w:w="280" w:type="dxa"/>
            <w:vAlign w:val="bottom"/>
          </w:tcPr>
          <w:p>
            <w:pPr>
              <w:spacing w:after="0"/>
              <w:rPr>
                <w:sz w:val="20"/>
                <w:szCs w:val="20"/>
                <w:color w:val="auto"/>
              </w:rPr>
            </w:pPr>
          </w:p>
        </w:tc>
        <w:tc>
          <w:tcPr>
            <w:tcW w:w="1240" w:type="dxa"/>
            <w:vAlign w:val="bottom"/>
            <w:gridSpan w:val="3"/>
          </w:tcPr>
          <w:p>
            <w:pPr>
              <w:jc w:val="center"/>
              <w:ind w:right="160"/>
              <w:spacing w:after="0" w:line="234" w:lineRule="exact"/>
              <w:rPr>
                <w:sz w:val="20"/>
                <w:szCs w:val="20"/>
                <w:color w:val="auto"/>
              </w:rPr>
            </w:pPr>
            <w:r>
              <w:rPr>
                <w:rFonts w:ascii="Times New Roman" w:cs="Times New Roman" w:eastAsia="Times New Roman" w:hAnsi="Times New Roman"/>
                <w:sz w:val="18"/>
                <w:szCs w:val="18"/>
                <w:b w:val="1"/>
                <w:bCs w:val="1"/>
                <w:color w:val="auto"/>
                <w:w w:val="92"/>
              </w:rPr>
              <w:t xml:space="preserve">owned </w:t>
            </w:r>
            <w:r>
              <w:rPr>
                <w:rFonts w:ascii="Times New Roman" w:cs="Times New Roman" w:eastAsia="Times New Roman" w:hAnsi="Times New Roman"/>
                <w:sz w:val="24"/>
                <w:szCs w:val="24"/>
                <w:b w:val="1"/>
                <w:bCs w:val="1"/>
                <w:color w:val="auto"/>
                <w:w w:val="92"/>
                <w:vertAlign w:val="superscript"/>
              </w:rPr>
              <w:t>(1)</w:t>
            </w:r>
          </w:p>
        </w:tc>
        <w:tc>
          <w:tcPr>
            <w:tcW w:w="0" w:type="dxa"/>
            <w:vAlign w:val="bottom"/>
          </w:tcPr>
          <w:p>
            <w:pPr>
              <w:spacing w:after="0"/>
              <w:rPr>
                <w:sz w:val="1"/>
                <w:szCs w:val="1"/>
                <w:color w:val="auto"/>
              </w:rPr>
            </w:pPr>
          </w:p>
        </w:tc>
      </w:tr>
      <w:tr>
        <w:trPr>
          <w:trHeight w:val="21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Executive officers and directors:</w:t>
            </w: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K. Singh (2)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760,021</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H. Ralph Snodgrass, Ph.D. (3)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511,508</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A. Smith, M.D., Ph.D. (4)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146,804</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Jerrold D. Dotson (5)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265,262</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McPartland (6)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Jon S. Saxe (7)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138,840</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J. Underdown, Ph.D. (8)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133,589</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Jerry B. Gin, Ph.D., MBA (9)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216,839</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5% Stockholders: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Platinum Long Term Growth Fund VII/Montsant Partners, LLC (10)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4,417,842</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Sphera Global Healthcare Master Fund (11)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1,058,387</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Cato BioVentures (12)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907,294</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(8 persons) (13)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2,252,296</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less than 1%</w:t>
      </w:r>
    </w:p>
    <w:p>
      <w:pPr>
        <w:spacing w:after="0" w:line="225" w:lineRule="exact"/>
        <w:rPr>
          <w:sz w:val="20"/>
          <w:szCs w:val="20"/>
          <w:color w:val="auto"/>
        </w:rPr>
      </w:pPr>
    </w:p>
    <w:p>
      <w:pPr>
        <w:ind w:left="580" w:hanging="572"/>
        <w:spacing w:after="0"/>
        <w:tabs>
          <w:tab w:leader="none" w:pos="5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11,848,974 shares of common stock issued and outstanding as of December 6, 2017.</w:t>
      </w:r>
    </w:p>
    <w:p>
      <w:pPr>
        <w:spacing w:after="0" w:line="225" w:lineRule="exact"/>
        <w:rPr>
          <w:rFonts w:ascii="Times New Roman" w:cs="Times New Roman" w:eastAsia="Times New Roman" w:hAnsi="Times New Roman"/>
          <w:sz w:val="18"/>
          <w:szCs w:val="18"/>
          <w:color w:val="auto"/>
        </w:rPr>
      </w:pPr>
    </w:p>
    <w:p>
      <w:pPr>
        <w:ind w:left="580" w:right="620" w:hanging="572"/>
        <w:spacing w:after="0" w:line="275" w:lineRule="auto"/>
        <w:tabs>
          <w:tab w:leader="none" w:pos="5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255,984 shares of common stock exercisable within 60 days of December 6, 2017 and warrants to purchase 477,803 restricted shares of common stock exercisable within 60 days of December 6, 2017.</w:t>
      </w:r>
    </w:p>
    <w:p>
      <w:pPr>
        <w:spacing w:after="0" w:line="173" w:lineRule="exact"/>
        <w:rPr>
          <w:rFonts w:ascii="Times New Roman" w:cs="Times New Roman" w:eastAsia="Times New Roman" w:hAnsi="Times New Roman"/>
          <w:sz w:val="18"/>
          <w:szCs w:val="18"/>
          <w:color w:val="auto"/>
        </w:rPr>
      </w:pPr>
    </w:p>
    <w:p>
      <w:pPr>
        <w:ind w:left="580" w:right="620" w:hanging="572"/>
        <w:spacing w:after="0" w:line="275" w:lineRule="auto"/>
        <w:tabs>
          <w:tab w:leader="none" w:pos="5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141,284 shares of common stock exercisable within 60 days of December 6, 2017 and warrants to purchase 310,000 restricted shares of common stock exercisable within 60 days of December 6, 2017.</w:t>
      </w:r>
    </w:p>
    <w:p>
      <w:pPr>
        <w:spacing w:after="0" w:line="173"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146,804 shares of common stock exercisable within 60 days of December 6, 2017.</w:t>
      </w:r>
    </w:p>
    <w:p>
      <w:pPr>
        <w:spacing w:after="0" w:line="225" w:lineRule="exact"/>
        <w:rPr>
          <w:rFonts w:ascii="Times New Roman" w:cs="Times New Roman" w:eastAsia="Times New Roman" w:hAnsi="Times New Roman"/>
          <w:sz w:val="18"/>
          <w:szCs w:val="18"/>
          <w:color w:val="auto"/>
        </w:rPr>
      </w:pPr>
    </w:p>
    <w:p>
      <w:pPr>
        <w:ind w:left="580" w:right="80" w:hanging="572"/>
        <w:spacing w:after="0" w:line="262" w:lineRule="auto"/>
        <w:tabs>
          <w:tab w:leader="none" w:pos="5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100,252 shares of common stock exercisable within 60 days of December 6, 2017, including options to purchase 676 shares of common stock held by Mr. Dotson’s wife, and warrants to purchase 165,000 restricted shares of common stock exercisable within 60 days of December 6, 2017.</w:t>
      </w:r>
    </w:p>
    <w:p>
      <w:pPr>
        <w:spacing w:after="0" w:line="186"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79,443 shares of common stock exercisable within 60 days of December 6, 2017.</w:t>
      </w:r>
    </w:p>
    <w:p>
      <w:pPr>
        <w:spacing w:after="0" w:line="225" w:lineRule="exact"/>
        <w:rPr>
          <w:rFonts w:ascii="Times New Roman" w:cs="Times New Roman" w:eastAsia="Times New Roman" w:hAnsi="Times New Roman"/>
          <w:sz w:val="18"/>
          <w:szCs w:val="18"/>
          <w:color w:val="auto"/>
        </w:rPr>
      </w:pPr>
    </w:p>
    <w:p>
      <w:pPr>
        <w:ind w:left="580" w:right="100" w:hanging="572"/>
        <w:spacing w:after="0" w:line="275" w:lineRule="auto"/>
        <w:tabs>
          <w:tab w:leader="none" w:pos="5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53,714 shares of common stock exercisable within 60 days of December 6, 2017 and warrants to purchase 83,250 restricted shares of common stock exercisable within 60 days of December 6, 2017.</w:t>
      </w:r>
    </w:p>
    <w:p>
      <w:pPr>
        <w:spacing w:after="0" w:line="173" w:lineRule="exact"/>
        <w:rPr>
          <w:rFonts w:ascii="Times New Roman" w:cs="Times New Roman" w:eastAsia="Times New Roman" w:hAnsi="Times New Roman"/>
          <w:sz w:val="18"/>
          <w:szCs w:val="18"/>
          <w:color w:val="auto"/>
        </w:rPr>
      </w:pPr>
    </w:p>
    <w:p>
      <w:pPr>
        <w:ind w:left="580" w:right="100" w:hanging="572"/>
        <w:spacing w:after="0" w:line="275" w:lineRule="auto"/>
        <w:tabs>
          <w:tab w:leader="none" w:pos="5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51,089 shares of common stock exercisable within 60 days of December 6, 2017 and warrants to purchase 82,500 restricted shares of common stock exercisable within 60 days of December 6, 2017.</w:t>
      </w:r>
    </w:p>
    <w:p>
      <w:pPr>
        <w:spacing w:after="0" w:line="173" w:lineRule="exact"/>
        <w:rPr>
          <w:rFonts w:ascii="Times New Roman" w:cs="Times New Roman" w:eastAsia="Times New Roman" w:hAnsi="Times New Roman"/>
          <w:sz w:val="18"/>
          <w:szCs w:val="18"/>
          <w:color w:val="auto"/>
        </w:rPr>
      </w:pPr>
    </w:p>
    <w:p>
      <w:pPr>
        <w:ind w:left="580" w:right="20" w:hanging="572"/>
        <w:spacing w:after="0" w:line="258" w:lineRule="auto"/>
        <w:tabs>
          <w:tab w:leader="none" w:pos="5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50,000 restricted shares of common stock held by Dr. Gin’s wife, options to purchase 66,839 shares of common stock exercisable within 60 days of December 6, 2017 and warrants to purchase 50,000 unregistered shares of common stock, including 25,000 shares held by Dr. Gin’s wife, exercisable within 60 days of December 6, 2017. Excludes warrants to purchase an aggregate of 50,000 shares of unregistered common stock (including warrants to purchase 25,000 shares held by Dr. Gin’s wife) not exercisable within 60 days of December 6, 2017.</w:t>
      </w:r>
    </w:p>
    <w:p>
      <w:pPr>
        <w:sectPr>
          <w:pgSz w:w="11900" w:h="16838" w:orient="portrait"/>
          <w:cols w:equalWidth="0" w:num="1">
            <w:col w:w="11420"/>
          </w:cols>
          <w:pgMar w:left="240" w:top="123" w:right="239" w:bottom="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0" w:gutter="0" w:footer="0" w:header="0"/>
          <w:type w:val="continuous"/>
        </w:sectPr>
      </w:pPr>
    </w:p>
    <w:bookmarkStart w:id="105" w:name="page106"/>
    <w:bookmarkEnd w:id="105"/>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387" w:lineRule="exact"/>
        <w:rPr>
          <w:sz w:val="20"/>
          <w:szCs w:val="20"/>
          <w:color w:val="auto"/>
        </w:rPr>
      </w:pPr>
    </w:p>
    <w:p>
      <w:pPr>
        <w:ind w:left="580" w:right="20" w:hanging="572"/>
        <w:spacing w:after="0" w:line="286" w:lineRule="auto"/>
        <w:tabs>
          <w:tab w:leader="none" w:pos="5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upon information contained in SEC Form 13G/A filed on February 18, 2015 by Platinum Long Term Growth Fund VII (</w:t>
      </w:r>
      <w:r>
        <w:rPr>
          <w:rFonts w:ascii="Times New Roman" w:cs="Times New Roman" w:eastAsia="Times New Roman" w:hAnsi="Times New Roman"/>
          <w:sz w:val="16"/>
          <w:szCs w:val="16"/>
          <w:i w:val="1"/>
          <w:iCs w:val="1"/>
          <w:color w:val="auto"/>
        </w:rPr>
        <w:t>PLTG</w:t>
      </w:r>
      <w:r>
        <w:rPr>
          <w:rFonts w:ascii="Times New Roman" w:cs="Times New Roman" w:eastAsia="Times New Roman" w:hAnsi="Times New Roman"/>
          <w:sz w:val="16"/>
          <w:szCs w:val="16"/>
          <w:color w:val="auto"/>
        </w:rPr>
        <w:t>) and adjusted to give effect to the transactions consummated between PLTG, Montsant Partners, LLC (</w:t>
      </w:r>
      <w:r>
        <w:rPr>
          <w:rFonts w:ascii="Times New Roman" w:cs="Times New Roman" w:eastAsia="Times New Roman" w:hAnsi="Times New Roman"/>
          <w:sz w:val="16"/>
          <w:szCs w:val="16"/>
          <w:i w:val="1"/>
          <w:iCs w:val="1"/>
          <w:color w:val="auto"/>
        </w:rPr>
        <w:t>Montsant</w:t>
      </w:r>
      <w:r>
        <w:rPr>
          <w:rFonts w:ascii="Times New Roman" w:cs="Times New Roman" w:eastAsia="Times New Roman" w:hAnsi="Times New Roman"/>
          <w:sz w:val="16"/>
          <w:szCs w:val="16"/>
          <w:color w:val="auto"/>
        </w:rPr>
        <w:t>), a PLTG affiliate, and Platinum Partners Value Arbitrage Fund, L.P. (In Official Liquidation) (</w:t>
      </w:r>
      <w:r>
        <w:rPr>
          <w:rFonts w:ascii="Times New Roman" w:cs="Times New Roman" w:eastAsia="Times New Roman" w:hAnsi="Times New Roman"/>
          <w:sz w:val="16"/>
          <w:szCs w:val="16"/>
          <w:i w:val="1"/>
          <w:iCs w:val="1"/>
          <w:color w:val="auto"/>
        </w:rPr>
        <w:t>PPVA</w:t>
      </w:r>
      <w:r>
        <w:rPr>
          <w:rFonts w:ascii="Times New Roman" w:cs="Times New Roman" w:eastAsia="Times New Roman" w:hAnsi="Times New Roman"/>
          <w:sz w:val="16"/>
          <w:szCs w:val="16"/>
          <w:color w:val="auto"/>
        </w:rPr>
        <w:t>), and us through December 6, 2017. The number of beneficially owned shares reported includes 637,500 restricted shares of common stock that may currently be acquired by Montsant upon fixed exchange of 425,000 restricted shares of our Series A Preferred Stock (</w:t>
      </w:r>
      <w:r>
        <w:rPr>
          <w:rFonts w:ascii="Times New Roman" w:cs="Times New Roman" w:eastAsia="Times New Roman" w:hAnsi="Times New Roman"/>
          <w:sz w:val="16"/>
          <w:szCs w:val="16"/>
          <w:i w:val="1"/>
          <w:iCs w:val="1"/>
          <w:color w:val="auto"/>
        </w:rPr>
        <w:t>Series A Preferred</w:t>
      </w:r>
      <w:r>
        <w:rPr>
          <w:rFonts w:ascii="Times New Roman" w:cs="Times New Roman" w:eastAsia="Times New Roman" w:hAnsi="Times New Roman"/>
          <w:sz w:val="16"/>
          <w:szCs w:val="16"/>
          <w:color w:val="auto"/>
        </w:rPr>
        <w:t>). Pursuant to the October 11, 2012 Note Exchange and Purchase Agreement by and between us and PLTG. There is, however, a limitation on exchange such that the number of shares of our common stock that may be acquired by PLTG or its affiliates upon exchange of the Series A Preferred is limited to the extent necessary to ensure that, following such exchange, the total number of shares of our common stock then beneficially owned by PLTG or its affiliates does not exceed 9.99% of the total number of our then issued and outstanding shares of common stock without providing us with 61 days’ prior notice thereof. Further, the reported number of shares beneficially owned by Montsant also includes 1,131,669 shares of common stock pursuant to its ownership of 1,131,669 shares of our Series B 10% Convertible Preferred Stock (</w:t>
      </w:r>
      <w:r>
        <w:rPr>
          <w:rFonts w:ascii="Times New Roman" w:cs="Times New Roman" w:eastAsia="Times New Roman" w:hAnsi="Times New Roman"/>
          <w:sz w:val="16"/>
          <w:szCs w:val="16"/>
          <w:i w:val="1"/>
          <w:iCs w:val="1"/>
          <w:color w:val="auto"/>
        </w:rPr>
        <w:t>Series B Preferred</w:t>
      </w:r>
      <w:r>
        <w:rPr>
          <w:rFonts w:ascii="Times New Roman" w:cs="Times New Roman" w:eastAsia="Times New Roman" w:hAnsi="Times New Roman"/>
          <w:sz w:val="16"/>
          <w:szCs w:val="16"/>
          <w:color w:val="auto"/>
        </w:rPr>
        <w:t>), immediately convertible into a like number of shares of our common stock. Pursuant to the terms of the Certificate of Designation of the Relative Rights and Preferences of the Series B 10% Convertible Preferred Stock, there is, however, a limitation on conversion of the Series B Preferred such that the number of shares of common stock that Montsant may beneficially acquire upon such conversion is limited to the extent necessary to ensure that, following such conversion, the total number of shares of common stock then beneficially owned by PLTG or Montsant does not exceed 9.99% of the total number of then issued and outstanding shares of our common stock without providing us with 61 days’ prior notice thereof.</w:t>
      </w:r>
    </w:p>
    <w:p>
      <w:pPr>
        <w:spacing w:after="0" w:line="389" w:lineRule="exact"/>
        <w:rPr>
          <w:rFonts w:ascii="Times New Roman" w:cs="Times New Roman" w:eastAsia="Times New Roman" w:hAnsi="Times New Roman"/>
          <w:sz w:val="16"/>
          <w:szCs w:val="16"/>
          <w:color w:val="auto"/>
        </w:rPr>
      </w:pPr>
    </w:p>
    <w:p>
      <w:pPr>
        <w:ind w:left="580" w:right="80"/>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Further, the reported number of shares beneficially owned by Montsant also includes 2,318,012 shares of common stock pursuant to its ownership of 2,318,012 shares of our Series C Convertible Preferred Stock (</w:t>
      </w:r>
      <w:r>
        <w:rPr>
          <w:rFonts w:ascii="Times New Roman" w:cs="Times New Roman" w:eastAsia="Times New Roman" w:hAnsi="Times New Roman"/>
          <w:sz w:val="18"/>
          <w:szCs w:val="18"/>
          <w:i w:val="1"/>
          <w:iCs w:val="1"/>
          <w:color w:val="auto"/>
        </w:rPr>
        <w:t>Series C Preferred</w:t>
      </w:r>
      <w:r>
        <w:rPr>
          <w:rFonts w:ascii="Times New Roman" w:cs="Times New Roman" w:eastAsia="Times New Roman" w:hAnsi="Times New Roman"/>
          <w:sz w:val="18"/>
          <w:szCs w:val="18"/>
          <w:color w:val="auto"/>
        </w:rPr>
        <w:t>), immediately convertible on a fixed 1:1 conversion basis into a like number of shares of our restricted common stock. Pursuant to the terms of the Certificate of Designation of the Relative Rights and Preferences of the Series C Convertible Preferred Stock, there is, however, a limitation on conversion of the Series C Preferred such that the number of shares of common stock that Montsant may beneficially acquire upon such conversion is limited to the extent necessary to ensure that, following such conversion, the total number of shares of common stock then beneficially owned by PLTG or Montsant does not exceed 9.99% of the total number of then issued and outstanding shares of our common stock without providing us with 61 days’ prior notice thereof. Excluding the shares otherwise subject to the beneficial ownership restrictions noted above, PLTG, Montsant and PPVA may be deemed to be the beneficial owner of 330,661 shares or 2.97% of our common stock.</w:t>
      </w:r>
    </w:p>
    <w:p>
      <w:pPr>
        <w:spacing w:after="0" w:line="197" w:lineRule="exact"/>
        <w:rPr>
          <w:rFonts w:ascii="Times New Roman" w:cs="Times New Roman" w:eastAsia="Times New Roman" w:hAnsi="Times New Roman"/>
          <w:sz w:val="16"/>
          <w:szCs w:val="16"/>
          <w:color w:val="auto"/>
        </w:rPr>
      </w:pPr>
    </w:p>
    <w:p>
      <w:pPr>
        <w:ind w:left="580" w:right="240"/>
        <w:spacing w:after="0" w:line="26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Matthew Wright, Operating Manager of RHSW (Cayman) Ltd., and/or Moshe Feuer, Chief Executive Officer and authorized signatory of BAM may, subject to certain restrictions, be deemed to have voting and investment control over the shares held by PPVA, PLTG and/or Montsant. The address for PLTG, PPVA and Montsant is c/o BAM Administrative Services LLC, 105 Madison Avenue, 19th Floor, New York, NY 10016.</w:t>
      </w:r>
    </w:p>
    <w:p>
      <w:pPr>
        <w:spacing w:after="0" w:line="186" w:lineRule="exact"/>
        <w:rPr>
          <w:rFonts w:ascii="Times New Roman" w:cs="Times New Roman" w:eastAsia="Times New Roman" w:hAnsi="Times New Roman"/>
          <w:sz w:val="16"/>
          <w:szCs w:val="16"/>
          <w:color w:val="auto"/>
        </w:rPr>
      </w:pPr>
    </w:p>
    <w:p>
      <w:pPr>
        <w:ind w:left="580" w:hanging="572"/>
        <w:spacing w:after="0" w:line="284" w:lineRule="auto"/>
        <w:tabs>
          <w:tab w:leader="none" w:pos="5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Based upon information contained in SEC Form 13F filed on August 9, 2017, as updated to give effect to transactions through December 6, 2017 as recorded on our books. The number of shares reported excludes immediately exercisable warrants to purchase 482,965 registered shares of our common stock, which warrants are subject to a limitation on exercise such that the number of shares of common stock that Sphera Global Healthcare Master Fund and HFR HE Sphera Global Healthcare Master Trust (together, </w:t>
      </w:r>
      <w:r>
        <w:rPr>
          <w:rFonts w:ascii="Times New Roman" w:cs="Times New Roman" w:eastAsia="Times New Roman" w:hAnsi="Times New Roman"/>
          <w:sz w:val="16"/>
          <w:szCs w:val="16"/>
          <w:i w:val="1"/>
          <w:iCs w:val="1"/>
          <w:color w:val="auto"/>
        </w:rPr>
        <w:t>"Sphera"</w:t>
      </w:r>
      <w:r>
        <w:rPr>
          <w:rFonts w:ascii="Times New Roman" w:cs="Times New Roman" w:eastAsia="Times New Roman" w:hAnsi="Times New Roman"/>
          <w:sz w:val="16"/>
          <w:szCs w:val="16"/>
          <w:color w:val="auto"/>
        </w:rPr>
        <w:t>) may beneficially acquire upon such exercise is limited to the extent necessary to ensure that, following such exercise, the total number of shares of common stock then beneficially owned by Sphera does not exceed 4.99% of the total number of issued and outstanding shares of our common stock without providing us with 61 days’ prior notice thereof. Further excludes warrants to purchase an aggregate of 520,849 registered shares of our common stock not exercisable within 60 days of December 6, 2017 but also subject to the</w:t>
      </w:r>
    </w:p>
    <w:p>
      <w:pPr>
        <w:jc w:val="both"/>
        <w:ind w:left="580" w:right="18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4.99% ownership limitation. The primary business address of Sphera Global Healthcare Master Fund and its affiliates is c/o Sphera Funds Management Ltd., 21 Ha’arba’ah Street, Tel Aviv 64739, Israel. Moshe Arkin and Sphera Funds Management Ltd. have joint voting and investment control over the shares held by Sphera.</w:t>
      </w:r>
    </w:p>
    <w:p>
      <w:pPr>
        <w:spacing w:after="0" w:line="192" w:lineRule="exact"/>
        <w:rPr>
          <w:rFonts w:ascii="Times New Roman" w:cs="Times New Roman" w:eastAsia="Times New Roman" w:hAnsi="Times New Roman"/>
          <w:sz w:val="16"/>
          <w:szCs w:val="16"/>
          <w:color w:val="auto"/>
        </w:rPr>
      </w:pPr>
    </w:p>
    <w:p>
      <w:pPr>
        <w:ind w:left="580" w:right="260" w:hanging="572"/>
        <w:spacing w:after="0" w:line="262" w:lineRule="auto"/>
        <w:tabs>
          <w:tab w:leader="none" w:pos="5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contained in SEC Form 4 filed on January 9, 2012, as updated to give effect to transactions through December 6, 2017 as recorded on our books. Lynda Sutton has voting and investment authority over the shares held by Cato Holding Company, dba Cato BioVentures. The primary business address of Cato BioVentures is 4364 South Alston Avenue, Durham, North Carolina 27713.</w:t>
      </w:r>
    </w:p>
    <w:p>
      <w:pPr>
        <w:spacing w:after="0" w:line="186" w:lineRule="exact"/>
        <w:rPr>
          <w:rFonts w:ascii="Times New Roman" w:cs="Times New Roman" w:eastAsia="Times New Roman" w:hAnsi="Times New Roman"/>
          <w:sz w:val="18"/>
          <w:szCs w:val="18"/>
          <w:color w:val="auto"/>
        </w:rPr>
      </w:pPr>
    </w:p>
    <w:p>
      <w:pPr>
        <w:ind w:left="580" w:right="100" w:hanging="572"/>
        <w:spacing w:after="0" w:line="275" w:lineRule="auto"/>
        <w:tabs>
          <w:tab w:leader="none" w:pos="5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an aggregate of 804,574 shares of common stock exercisable within 60 days of December 6, 2017 and warrants to purchase an aggregate of 1,118,553 restricted shares of common stock exercisable within 60 days of December 6,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06" w:name="page107"/>
    <w:bookmarkEnd w:id="106"/>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Equity Grants</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of March 31, 2017, options to purchase a total of 1,659,324 registered shares of our common stock were outstanding at a weighted average exercise price of $4.76 per share, of which 351,532 options were vested and exercisable at a weighted average exercise price of $8.27 per share and 1,307,792 were unvested and not exercisable at a weighted average exercise price of $3.81 per share. These options were issued under our 2016 Plan and our 1999 Plan, each as described below. At March 31, 2017, an additional 1,184,911 shares remained available for future equity grants under our 2016 Plan.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5"/>
              </w:rPr>
              <w:t>Number of</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remaining</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available for</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future</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securities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 be issued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under equity</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upon</w:t>
            </w:r>
          </w:p>
        </w:tc>
        <w:tc>
          <w:tcPr>
            <w:tcW w:w="26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exercise price</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compensation</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exercise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plans</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outstanding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outstanding</w:t>
            </w: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(excluding</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5"/>
              </w:rPr>
              <w:t>options,</w:t>
            </w: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warrants and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warrants</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reflected in</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and rights</w:t>
            </w:r>
          </w:p>
        </w:tc>
        <w:tc>
          <w:tcPr>
            <w:tcW w:w="2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column (a))</w:t>
            </w:r>
          </w:p>
        </w:tc>
      </w:tr>
      <w:tr>
        <w:trPr>
          <w:trHeight w:val="239"/>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1,650,089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1,184,911</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1,659,324</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1,184,911</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Amended and Restated 2016 Stock Incentive Plan</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Our Board unanimously approved the Company’s Amended and Restated 2016 Stock Incentive Plan, formerly titled the 2008 Stock Incentive Plan (the </w:t>
      </w:r>
      <w:r>
        <w:rPr>
          <w:rFonts w:ascii="Times New Roman" w:cs="Times New Roman" w:eastAsia="Times New Roman" w:hAnsi="Times New Roman"/>
          <w:sz w:val="18"/>
          <w:szCs w:val="18"/>
          <w:i w:val="1"/>
          <w:iCs w:val="1"/>
          <w:color w:val="auto"/>
        </w:rPr>
        <w:t>2016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on July 26, 2016, and the 2016 Plan was approved by our stockholders at our 2016 Annual Meeting of Stockholders on September 26, 2016, and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amended on September 15, 2017. The 2016 Plan provides for the grant of stock options, restricted shares of common stock, stock appreciation rights and dividend equivalent rights, collectively referred to as “Awards”. Stock options granted under the 2016 Plan may be either incentive stock options under the provisions of Section 422 of the Internal Revenue Code of 1986, as amended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or non-qualified stock options. We may grant incentive stock options only to employees of the Company or any parent or subsidiary of the Company. Awards other than incentive stock options may be granted to employees, directors and consultants. A total of 10.0 million shares of our common stock are currently authorized for issuance under the 2016 Plan. As of December 7, 2017, 6,062,162 shares remain available for future equity grants under our 2016 Plan.</w:t>
      </w:r>
    </w:p>
    <w:p>
      <w:pPr>
        <w:spacing w:after="0" w:line="127"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Below is a summary of the terms and conditions of the 2016 Plan. Unless otherwise indicated, all capitalized terms have the same meaning as defined in the 2016 Plan. This summary does not purport to be complete, and is qualified, in its entirety, by the specific language of the Amended and Restated 2016 Equity Incentive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2016 Plan</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2016 Plan provides for the grant of stock options, restricted shares of common stock, stock appreciation rights and dividend equivalent rights, collectively referred to as “Awards”. Stock options granted under the 2016 Plan may be either incentive stock options under the provisions of Section 422 of the Code, or non-qualified stock options. We may grant incentive stock options only to employees of the Company or any parent or subsidiary of the Company. Awards other than incentive stock options may be granted to employees, directors and consultants.</w:t>
      </w:r>
    </w:p>
    <w:p>
      <w:pPr>
        <w:spacing w:after="0" w:line="190" w:lineRule="exact"/>
        <w:rPr>
          <w:sz w:val="20"/>
          <w:szCs w:val="20"/>
          <w:color w:val="auto"/>
        </w:rPr>
      </w:pPr>
    </w:p>
    <w:p>
      <w:pPr>
        <w:ind w:right="160"/>
        <w:spacing w:after="0" w:line="339" w:lineRule="auto"/>
        <w:rPr>
          <w:sz w:val="20"/>
          <w:szCs w:val="20"/>
          <w:color w:val="auto"/>
        </w:rPr>
      </w:pPr>
      <w:r>
        <w:rPr>
          <w:rFonts w:ascii="Times New Roman" w:cs="Times New Roman" w:eastAsia="Times New Roman" w:hAnsi="Times New Roman"/>
          <w:sz w:val="16"/>
          <w:szCs w:val="16"/>
          <w:color w:val="auto"/>
        </w:rPr>
        <w:t>The Compensation Committee of the Board of Directors, referred to as the “Committee”, administers the 2016 Plan, including selecting the Award recipients, determining the number of shares to be subject to each Award, the exercise or purchase price of each Award and the vesting and exercise periods of each Award.</w:t>
      </w:r>
    </w:p>
    <w:p>
      <w:pPr>
        <w:spacing w:after="0" w:line="128"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6"/>
          <w:szCs w:val="16"/>
          <w:color w:val="auto"/>
        </w:rPr>
        <w:t>The exercise price of all incentive stock options granted under the 2016 Plan must be at least equal to 100% of the fair market value of the shares on the date of grant. If, however, incentive stock options are granted to an employee who owns stock possessing more than 10% of the voting power of all classes of our stock or the stock of any of our subsidiaries, the exercise price of any incentive stock option granted may not be less than 110% of the fair market value on the grant date. The maximum term of incentive stock options granted to employees who own stock possessing more than 10% of the voting power of all classes of our stock or the stock of any of our subsidiaries may not exceed five years. The maximum term of an incentive stock option granted to any other participant may not exceed 10 years. The Committee determines the term and exercise or purchase price of all other Awards granted under the 2016 Plan.</w:t>
      </w:r>
    </w:p>
    <w:p>
      <w:pPr>
        <w:sectPr>
          <w:pgSz w:w="11900" w:h="16838" w:orient="portrait"/>
          <w:cols w:equalWidth="0" w:num="1">
            <w:col w:w="11420"/>
          </w:cols>
          <w:pgMar w:left="240" w:top="123" w:right="2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107" w:name="page108"/>
    <w:bookmarkEnd w:id="107"/>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ind w:right="100"/>
        <w:spacing w:after="0" w:line="339" w:lineRule="auto"/>
        <w:rPr>
          <w:sz w:val="20"/>
          <w:szCs w:val="20"/>
          <w:color w:val="auto"/>
        </w:rPr>
      </w:pPr>
      <w:r>
        <w:rPr>
          <w:rFonts w:ascii="Times New Roman" w:cs="Times New Roman" w:eastAsia="Times New Roman" w:hAnsi="Times New Roman"/>
          <w:sz w:val="16"/>
          <w:szCs w:val="16"/>
          <w:color w:val="auto"/>
        </w:rPr>
        <w:t>Under the 2016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28"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and by the laws of descent and distribution; and</w:t>
      </w:r>
    </w:p>
    <w:p>
      <w:pPr>
        <w:spacing w:after="0" w:line="252" w:lineRule="exact"/>
        <w:rPr>
          <w:rFonts w:ascii="Times New Roman" w:cs="Times New Roman" w:eastAsia="Times New Roman" w:hAnsi="Times New Roman"/>
          <w:sz w:val="18"/>
          <w:szCs w:val="18"/>
          <w:color w:val="auto"/>
        </w:rPr>
      </w:pPr>
    </w:p>
    <w:p>
      <w:pPr>
        <w:ind w:left="660" w:right="20" w:hanging="328"/>
        <w:spacing w:after="0" w:line="275"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lifetime of the participant, to the extent and in the manner authorized by the Committee by gift or pursuant to a domestic relations order to members of the participant’s Immediate Family (as defined in the 2016 Plan).</w:t>
      </w:r>
    </w:p>
    <w:p>
      <w:pPr>
        <w:spacing w:after="0" w:line="17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The 2016 Plan permits the designation of beneficiaries by holders of Awards, including incentive stock options. In the event of termination of a participant’s service for any reason other than disability or death, such participant may, but only during the period specified in the Award agreement of not less than 30 days (generally 90 days) commencing on the date of termination (but in no event later than the expiration date of the term of such Award as set forth in the Award Agreement), exercise the portion of the Grantee’s Award that was vested at the date of such termination or such other portion of the Grantee’s Award as may be determined by the Committee. The Grantee’s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Grantee’s Award was unvested at the date of termination, or if the participant does not exercise the vested portion of the Grantee’s Award within the period specified in the Award Agreement of not less than 30 days commencing on the date of termination, the Award shall terminate. If termination was caused by death or disability, any options that have become exercisable prior to the time of termination, will remain exercisable for twelve months from the date of termination (unless a shorter or longer period of time is determined by the Committee).</w:t>
      </w:r>
    </w:p>
    <w:p>
      <w:pPr>
        <w:spacing w:after="0" w:line="38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maximum number of shares with respect to which options and stock appreciation rights may be granted to any participant in any calendar year will be 300,000 shares of common stock. In connection with a participant’s commencement of service with the Company, a participant may be granted options and stock appreciation rights for up to an additional 50,000 shares that will not count against the foregoing limitation. In addition, for Awards of restricted stock and restricted shares of common stock that are intended to be “performance-based compensation” (within the meaning of Section 162(m) of the Code), the maximum number of shares with respect to which such Awards may be granted to any participant in any calendar year will be 300,000 shares of common stock. The limits described in this paragraph are subject to adjustment in the event of any change in our capital structure as described below.</w:t>
      </w:r>
    </w:p>
    <w:p>
      <w:pPr>
        <w:spacing w:after="0" w:line="19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The terms and conditions of Awards are determined by the Committee, including the vesting schedule and any forfeiture provisions. Awards under the 2016 Plan may vest upon the passage of time or upon the attainment of certain performance criteria. Although we do not currently have any Awards outstanding that vest upon the attainment of performance criteria, the Committee may establish criteria based on any one of, or combination of, the following:</w:t>
      </w:r>
    </w:p>
    <w:p>
      <w:pPr>
        <w:spacing w:after="0" w:line="186"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share price;</w:t>
      </w:r>
    </w:p>
    <w:p>
      <w:pPr>
        <w:spacing w:after="0" w:line="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stockholder return;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equity;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investment;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operating income;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profit;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taxes and depreciation;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value added;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share.</w:t>
      </w:r>
    </w:p>
    <w:p>
      <w:pPr>
        <w:spacing w:after="0" w:line="21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Subject to any required action by our stockholders, the number of shares of common stock covered by outstanding Awards, the number of shares of common stock that have been authorized for issuance under the 2016 Plan, the exercise or purchase price of each outstanding Award, the maximum number of shares of common stock that may be granted subject to Awards to any participant in a calendar year, and the like, shall be proportionally adjusted by the Committee in the event of any increase or decrease in the number of issued shares of common stock resulting from certain changes in our capital structure as described in the 2016 Plan.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08" w:name="page109"/>
    <w:bookmarkEnd w:id="108"/>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6"/>
          <w:szCs w:val="16"/>
          <w:color w:val="auto"/>
        </w:rPr>
        <w:t>Effective upon the consummation of a Corporate Transaction (as defined below), all outstanding Awards under the 2016 Plan will terminate unless the acquirer assumes or replaces such Awards. The Committee has the authority, exercisable either in advance of any actual or anticipated Corporate Transaction or Change in Control (as defined below) or at the time of an actual Corporate Transaction or Change in Control and exercisable at the time of the grant of an Award under the 2016 Plan or any time while an Award remains outstanding, to provide for the full or partial automatic vesting and exercisability of one or more outstanding unvested Awards under the 2016 Plan and the release from restrictions on transfer and repurchase or forfeiture rights of such Awards in connection with a Corporate Transaction or Change in Control, on such terms and conditions as the Committee may specify. The Committee also has the authority to condition any such Award vesting and exercisability or release from such limitations upon the subsequent termination of the service of the grantee within a specified period following the effective date of the Corporate Transaction or Change in Control. The Committee may provide that any Awards so vested or released from such limitations in connection with a Change in Control, shall remain fully exercisable until the expiration or sooner termination of the Award.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2016 Plan, a Corporate Transaction is generally defined as:</w:t>
      </w:r>
    </w:p>
    <w:p>
      <w:pPr>
        <w:spacing w:after="0" w:line="225" w:lineRule="exact"/>
        <w:rPr>
          <w:sz w:val="20"/>
          <w:szCs w:val="20"/>
          <w:color w:val="auto"/>
        </w:rPr>
      </w:pPr>
    </w:p>
    <w:p>
      <w:pPr>
        <w:ind w:left="660" w:hanging="328"/>
        <w:spacing w:after="0" w:line="275"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of securities possessing more than fifty percent (50%) of the total combined voting power of our outstanding securities but excluding any such transaction or series of related transactions that the Committee determines shall not be a Corporate Transaction;</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transfer or other disposition of all or substantially all of the assets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in which the Company is not the surviving entity;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liquidation or dissolution.</w:t>
      </w:r>
    </w:p>
    <w:p>
      <w:pPr>
        <w:spacing w:after="0" w:line="2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Under the 2016 Plan, a Change in Control is generally defined as: (i) the acquisition of more than 50% of the total combined voting power of our stock by any individual or entity which a majority of our Board of Directors (who have served on our board for at least 12 months) do not recommend our stockholders accept; (ii) or a change in the composition of our Board of Directors over a period of 12 months or less.</w:t>
      </w:r>
    </w:p>
    <w:p>
      <w:pPr>
        <w:spacing w:after="0" w:line="18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Unless terminated sooner, the 2016 Plan will automatically terminate in 2026. Our Board of Directors may at any time amend, suspend or terminate the 2016 Plan.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will obtain stockholder approval of any such amendment to the 2016 Plan in such a manner and to such a degree as required.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1999 Stock Incentive Plan</w:t>
      </w:r>
    </w:p>
    <w:p>
      <w:pPr>
        <w:spacing w:after="0" w:line="227"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VistaGen California’s Board of Directors adopted the 1999 Plan on December 6, 1999. The 1999 Plan terminated under its own terms in December 2009, and as a result, no awards may currently be granted under the 1999 Plan. However, the options and awards that have been granted pursuant to the 1999 Plan prior to its expiration remain operative.</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1999 Plan permitted VistaGen California to make grants of incentive stock options, non-qualified stock options and restricted stock awards. VistaGen California initially reserved 45,000 restricted shares of its common stock for the issuance of awards under the 1999 Plan, which number was subject to adjustment in the event of a stock split, stock dividend or other change in capitalization. Prior to the 1999 Plan’s expiration, shares that were forfeited or cancelled from awards under the 1999 Plan were generally available for future awards.</w:t>
      </w:r>
    </w:p>
    <w:p>
      <w:pPr>
        <w:spacing w:after="0" w:line="19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1999 Plan could be administered by either VistaGen California’s Board of Directors or a committee designated by its Board of Directors. VistaGen California’s Board of Directors designated its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directors, executive officers, and certain other key persons (including employees, consultants and advisors) of VistaGen California were eligible to participate in the 1999 Plan.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09" w:name="page110"/>
    <w:bookmarkEnd w:id="109"/>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exercise price of incentive stock options awarded under the 1999 Plan could not be less than the fair market value of the common stock on the date of the option grant and could not be less than 110% of the fair market value of the common stock to persons owning stock representing more than 10% of the voting power of all classes of our stock. The exercise price of non-qualified stock options could not be less than 85% of the fair market value of the common stock. The term of each option granted under the 1999 Plan could not exceed ten years (or five years, in the case of an incentive stock option granted to a 10% stockholder) from the date of grant. VistaGen California’s Compensation Committee determined at what time or times each option might be exercised (provided that in no event could it exceed ten years from the date of grant) and, subject to the provisions of the 1999 Plan, the period of time, if any, after retirement, death, disability or other termination of employment during which options could be exercised.</w:t>
      </w:r>
    </w:p>
    <w:p>
      <w:pPr>
        <w:spacing w:after="0" w:line="19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1999 Plan also permitted the issuance of restricted stock awards. Restricted stock awards issued by VistaGen California were shares of common stock that vest in accordance with terms and conditions established by VistaGen California’s Compensation Committee. The Compensation Committee could impose conditions to vesting that it determined to be appropriate. Shares of restricted stock that did not vest were subject to our right of repurchase or forfeiture. VistaGen California’s Compensation Committee determined the number of shares of restricted stock granted to any employee. Our 1999 Plan also gave VistaGen California’s Compensation Committee discretion to grant stock awards free of any restrictions.</w:t>
      </w:r>
    </w:p>
    <w:p>
      <w:pPr>
        <w:spacing w:after="0" w:line="19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Unless the Compensation Committee provided otherwise, the 1999 Plan did not generally allow for the transfer of incentive stock options and other awards and only the recipient of an award could exercise an award during his or her lifetime. Non-qualified stock options were transferable only to the extent provided in the award agreement, in a manner consistent with the applicable law, and by will and by the laws of descent and distribution. In the event of a change in control of the Company, as defined in the 1999 Plan, the outstanding options will automatically vest unless our Board of Directors and the Board of Directors of the surviving or acquiring entity make appropriate provisions for the continuation or assumption of any outstanding awards under the 1999 Plan.</w:t>
      </w:r>
    </w:p>
    <w:p>
      <w:pPr>
        <w:spacing w:after="0" w:line="193"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As of December 6, 2017, we have options outstanding under the 1999 Plan to purchase an aggregate of 4,533 shares of our common stock, the last of which, if not exercised before, expire in March 2018.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10" w:name="page111"/>
    <w:bookmarkEnd w:id="110"/>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b w:val="1"/>
          <w:bCs w:val="1"/>
          <w:color w:val="auto"/>
        </w:rPr>
        <w:t>CERTAIN RELATIONSHIPS AND RELATED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Securities to Cato Holding Company</w:t>
      </w:r>
    </w:p>
    <w:p>
      <w:pPr>
        <w:spacing w:after="0" w:line="22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Cato Holding Company (</w:t>
      </w:r>
      <w:r>
        <w:rPr>
          <w:rFonts w:ascii="Times New Roman" w:cs="Times New Roman" w:eastAsia="Times New Roman" w:hAnsi="Times New Roman"/>
          <w:sz w:val="18"/>
          <w:szCs w:val="18"/>
          <w:i w:val="1"/>
          <w:iCs w:val="1"/>
          <w:color w:val="auto"/>
        </w:rPr>
        <w:t>CHC</w:t>
      </w:r>
      <w:r>
        <w:rPr>
          <w:rFonts w:ascii="Times New Roman" w:cs="Times New Roman" w:eastAsia="Times New Roman" w:hAnsi="Times New Roman"/>
          <w:sz w:val="18"/>
          <w:szCs w:val="18"/>
          <w:color w:val="auto"/>
        </w:rPr>
        <w:t>), doing business as Cato BioVentures (</w:t>
      </w:r>
      <w:r>
        <w:rPr>
          <w:rFonts w:ascii="Times New Roman" w:cs="Times New Roman" w:eastAsia="Times New Roman" w:hAnsi="Times New Roman"/>
          <w:sz w:val="18"/>
          <w:szCs w:val="18"/>
          <w:i w:val="1"/>
          <w:iCs w:val="1"/>
          <w:color w:val="auto"/>
        </w:rPr>
        <w:t>CBV</w:t>
      </w:r>
      <w:r>
        <w:rPr>
          <w:rFonts w:ascii="Times New Roman" w:cs="Times New Roman" w:eastAsia="Times New Roman" w:hAnsi="Times New Roman"/>
          <w:sz w:val="18"/>
          <w:szCs w:val="18"/>
          <w:color w:val="auto"/>
        </w:rPr>
        <w:t>), the parent of Cato Research Ltd. (</w:t>
      </w:r>
      <w:r>
        <w:rPr>
          <w:rFonts w:ascii="Times New Roman" w:cs="Times New Roman" w:eastAsia="Times New Roman" w:hAnsi="Times New Roman"/>
          <w:sz w:val="18"/>
          <w:szCs w:val="18"/>
          <w:i w:val="1"/>
          <w:iCs w:val="1"/>
          <w:color w:val="auto"/>
        </w:rPr>
        <w:t>CRL)</w:t>
      </w:r>
      <w:r>
        <w:rPr>
          <w:rFonts w:ascii="Times New Roman" w:cs="Times New Roman" w:eastAsia="Times New Roman" w:hAnsi="Times New Roman"/>
          <w:sz w:val="18"/>
          <w:szCs w:val="18"/>
          <w:color w:val="auto"/>
        </w:rPr>
        <w:t xml:space="preserve">, was one of our largest institutional common stockholders at March 31, 2017, holding approximately 7% of our outstanding common stock. Shawn Singh, our Chief Executive Officer and member of our Board, served as Managing Principal of CBV and Chief Business Officer, and General Counsel of CRL from February 2001 until August 2009. In October 2012, we issued to CHC an unsecured promissory note in the principal amount of $310,443 (the </w:t>
      </w:r>
      <w:r>
        <w:rPr>
          <w:rFonts w:ascii="Times New Roman" w:cs="Times New Roman" w:eastAsia="Times New Roman" w:hAnsi="Times New Roman"/>
          <w:sz w:val="18"/>
          <w:szCs w:val="18"/>
          <w:i w:val="1"/>
          <w:iCs w:val="1"/>
          <w:color w:val="auto"/>
        </w:rPr>
        <w:t>2012 CHC Note</w:t>
      </w:r>
      <w:r>
        <w:rPr>
          <w:rFonts w:ascii="Times New Roman" w:cs="Times New Roman" w:eastAsia="Times New Roman" w:hAnsi="Times New Roman"/>
          <w:sz w:val="18"/>
          <w:szCs w:val="18"/>
          <w:color w:val="auto"/>
        </w:rPr>
        <w:t xml:space="preserve">) and a five-year warrant to purchase 12,500 restricted shares of the Company’s common stock at a price of $30.00 per share (the </w:t>
      </w:r>
      <w:r>
        <w:rPr>
          <w:rFonts w:ascii="Times New Roman" w:cs="Times New Roman" w:eastAsia="Times New Roman" w:hAnsi="Times New Roman"/>
          <w:sz w:val="18"/>
          <w:szCs w:val="18"/>
          <w:i w:val="1"/>
          <w:iCs w:val="1"/>
          <w:color w:val="auto"/>
        </w:rPr>
        <w:t>CHC Warrant</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Also in October 2012, we issued to CRL: (i) an unsecured promissory note in the initial principal amount of $1.0 million, which was payable solely in restricted shares of our common stock and which accrued interest at the rate of 7.5% per annum, compounded monthly (the </w:t>
      </w:r>
      <w:r>
        <w:rPr>
          <w:rFonts w:ascii="Times New Roman" w:cs="Times New Roman" w:eastAsia="Times New Roman" w:hAnsi="Times New Roman"/>
          <w:sz w:val="18"/>
          <w:szCs w:val="18"/>
          <w:i w:val="1"/>
          <w:iCs w:val="1"/>
          <w:color w:val="auto"/>
        </w:rPr>
        <w:t>CRL Note</w:t>
      </w:r>
      <w:r>
        <w:rPr>
          <w:rFonts w:ascii="Times New Roman" w:cs="Times New Roman" w:eastAsia="Times New Roman" w:hAnsi="Times New Roman"/>
          <w:sz w:val="18"/>
          <w:szCs w:val="18"/>
          <w:color w:val="auto"/>
        </w:rPr>
        <w:t xml:space="preserve">), as payment in full for all contract research and development services and regulatory advice rendered to us by CRL through December 31, 2012 with respect to the preclinical and clinical development of AV-101, and (ii) a five-year warrant to purchase, at a price of $20.00 per share, 50,450 restricted shares of our common stock (the </w:t>
      </w:r>
      <w:r>
        <w:rPr>
          <w:rFonts w:ascii="Times New Roman" w:cs="Times New Roman" w:eastAsia="Times New Roman" w:hAnsi="Times New Roman"/>
          <w:sz w:val="18"/>
          <w:szCs w:val="18"/>
          <w:i w:val="1"/>
          <w:iCs w:val="1"/>
          <w:color w:val="auto"/>
        </w:rPr>
        <w:t>CRL Warrant</w:t>
      </w:r>
      <w:r>
        <w:rPr>
          <w:rFonts w:ascii="Times New Roman" w:cs="Times New Roman" w:eastAsia="Times New Roman" w:hAnsi="Times New Roman"/>
          <w:sz w:val="18"/>
          <w:szCs w:val="18"/>
          <w:color w:val="auto"/>
        </w:rPr>
        <w:t>). Each of the CRL Note and 2012 CHC Note were scheduled to mature on March 31, 2016. In June 2015, the outstanding balance of the 2012 CHC Note, the CRL Note and all other outstanding amounts owed to CRL for CRO services were converted into 328,571 shares of our Series B Preferred, and the exercise prices of the CHC Warrant and the CRL Warrant were each reduced to $7.00 per share. CHC participated in the February 2016 warrant exchange for common stock, exchanging the CHC Warrant and the CRL Warrant, as adjusted to reflect accrued interest, for an aggregate of 54,894 shares of our unregistered common stock. In May 2016, subsequent to our consummation of the May 2016 Public Offering, all of the shares of Series B Preferred held by CHC were automatically converted into registered shares of our common stock.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Research and Development Agreement with Cato Research Ltd.</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2007, we entered into a contract research organization master services agreement with CRL related to the development of and regulatory services related to AV101. In July 2017, we entered into a Master Services Agreement (</w:t>
      </w:r>
      <w:r>
        <w:rPr>
          <w:rFonts w:ascii="Times New Roman" w:cs="Times New Roman" w:eastAsia="Times New Roman" w:hAnsi="Times New Roman"/>
          <w:sz w:val="18"/>
          <w:szCs w:val="18"/>
          <w:i w:val="1"/>
          <w:iCs w:val="1"/>
          <w:color w:val="auto"/>
        </w:rPr>
        <w:t>MSA</w:t>
      </w:r>
      <w:r>
        <w:rPr>
          <w:rFonts w:ascii="Times New Roman" w:cs="Times New Roman" w:eastAsia="Times New Roman" w:hAnsi="Times New Roman"/>
          <w:sz w:val="18"/>
          <w:szCs w:val="18"/>
          <w:color w:val="auto"/>
        </w:rPr>
        <w:t>) with CRL, which replaced a similar May 2007 agreement, pursuant to which CRL may assist us in the evaluation, development, commercialization and marketing of our potential product candidates, including AV-101, and provide regulatory and strategic consulting services as requested from time to time. Specific projects or services will be delineated in individual work orders negotiated from time-to-time under the MSA. During the quarter ended September 30, 2014, we issued to CRL an aggregate of 300,000 unregistered shares of our common stock, having an aggregate fair value of $525,000 on the date of issuance, for various services provided and to be provided under the terms of five negotiated AV-101- related work orders.</w:t>
      </w:r>
    </w:p>
    <w:p>
      <w:pPr>
        <w:spacing w:after="0" w:line="19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Under work orders related to such agreement, we incurred expenses of expenses of $612,200 and $78,200 for the six months ended September 30, 2017 and 2016, respectively and expenses of $254,600 and $52,600 for the fiscal years ended March 31, 2017 and 2016,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Participation in Spring 2017 Private Placement by Dr. Jerry Gin</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Between late-March 2017 and August 2017, we sold to accredited investors, in a self-placed private placement, units consisting of an aggregate of 523,572 unregistered shares of our common stock and warrants to purchase up to an aggregate of 276,071 unregistered shares of our common stock pursuant to which we received proceeds of approximately $1.04 million (the </w:t>
      </w:r>
      <w:r>
        <w:rPr>
          <w:rFonts w:ascii="Times New Roman" w:cs="Times New Roman" w:eastAsia="Times New Roman" w:hAnsi="Times New Roman"/>
          <w:sz w:val="18"/>
          <w:szCs w:val="18"/>
          <w:i w:val="1"/>
          <w:iCs w:val="1"/>
          <w:color w:val="auto"/>
        </w:rPr>
        <w:t>Spring 2017 Private Placement</w:t>
      </w:r>
      <w:r>
        <w:rPr>
          <w:rFonts w:ascii="Times New Roman" w:cs="Times New Roman" w:eastAsia="Times New Roman" w:hAnsi="Times New Roman"/>
          <w:sz w:val="18"/>
          <w:szCs w:val="18"/>
          <w:color w:val="auto"/>
        </w:rPr>
        <w:t>). Included with the accredited investors that participated in the Spring 2017 Private Placement was Dr. Jerry Gin, a member of our Board of Directors, and his spouse, who together purchased an aggregate total of 100,000 shares of unregistered common stock and warrants to purchase up to 50,000 shares of common stock for an aggregate purchase price of $200,000.</w:t>
      </w:r>
    </w:p>
    <w:p>
      <w:pPr>
        <w:spacing w:after="0" w:line="193" w:lineRule="exact"/>
        <w:rPr>
          <w:sz w:val="20"/>
          <w:szCs w:val="20"/>
          <w:color w:val="auto"/>
        </w:rPr>
      </w:pPr>
    </w:p>
    <w:p>
      <w:pPr>
        <w:jc w:val="both"/>
        <w:ind w:right="40"/>
        <w:spacing w:after="0" w:line="287" w:lineRule="auto"/>
        <w:rPr>
          <w:sz w:val="20"/>
          <w:szCs w:val="20"/>
          <w:color w:val="auto"/>
        </w:rPr>
      </w:pPr>
      <w:r>
        <w:rPr>
          <w:rFonts w:ascii="Times New Roman" w:cs="Times New Roman" w:eastAsia="Times New Roman" w:hAnsi="Times New Roman"/>
          <w:sz w:val="16"/>
          <w:szCs w:val="16"/>
          <w:color w:val="auto"/>
        </w:rPr>
        <w:t>In September 2017, the Board approved the reduction of the exercise price from $4.00 per share to $2.00 per share for all warrants issued during the Spring 2017 Private Placement, as well as the issuance of additional warrants to purchase shares of the Company’s common stock, with an exercise price of $2.00 per share, to each of the participants in the Spring 2017 Private Placement. Accordingly, on September 15, 2017, the exercise price of aforementioned warrants issued to Dr.</w:t>
      </w:r>
    </w:p>
    <w:p>
      <w:pPr>
        <w:spacing w:after="0" w:line="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Gin and his spouse was decreased from $4.00 to $2.00 per share, and Dr. Gin and his spouse received additional warrants to purchase up to 50,000 shares of the Company’s common stock for $2.00 per share.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11" w:name="page112"/>
    <w:bookmarkEnd w:id="111"/>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authorized capital stock consists of 100.0 million shares of our common stock, $0.001 par value per share, and 10.0 million shares of preferred stock, $0.001 par value per share. The following is a description of our common stock and certain provisions of our Articles, and our amended and restated bylaws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and certain provisions of Nevada law. This summary does not purport to be complete and is qualified in its entirety by the provisions of our Articles and our Bylaws, copies of which have been filed with the SEC as exhibits to our periodic filings under the Exchange Act.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6, 2017, there were issued and outstanding, or reserved for issuance:</w:t>
      </w:r>
    </w:p>
    <w:p>
      <w:pPr>
        <w:spacing w:after="0" w:line="225"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11,848,974 shares of common stock held by approximately 1,300 stockholders of record;</w:t>
      </w:r>
    </w:p>
    <w:p>
      <w:pPr>
        <w:spacing w:after="0" w:line="225" w:lineRule="exact"/>
        <w:rPr>
          <w:rFonts w:ascii="Times New Roman" w:cs="Times New Roman" w:eastAsia="Times New Roman" w:hAnsi="Times New Roman"/>
          <w:sz w:val="18"/>
          <w:szCs w:val="18"/>
          <w:color w:val="auto"/>
        </w:rPr>
      </w:pPr>
    </w:p>
    <w:p>
      <w:pPr>
        <w:ind w:left="660" w:right="200" w:hanging="328"/>
        <w:spacing w:after="0" w:line="275"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 shares of common stock reserved for issuance upon exchange of 500,000 outstanding shares of our Series A Preferred, all of which is held by one institutional investor and one accredited investor;</w:t>
      </w:r>
    </w:p>
    <w:p>
      <w:pPr>
        <w:spacing w:after="0" w:line="173" w:lineRule="exact"/>
        <w:rPr>
          <w:rFonts w:ascii="Times New Roman" w:cs="Times New Roman" w:eastAsia="Times New Roman" w:hAnsi="Times New Roman"/>
          <w:sz w:val="18"/>
          <w:szCs w:val="18"/>
          <w:color w:val="auto"/>
        </w:rPr>
      </w:pPr>
    </w:p>
    <w:p>
      <w:pPr>
        <w:ind w:left="660" w:right="60" w:hanging="328"/>
        <w:spacing w:after="0" w:line="275"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1,160,240 shares of common stock reserved for issuance upon exchange of our Series B Preferred held by two institutional investors and 663,460 shares reserved for issuance as payment of accrued dividends on outstanding shares of Series B Preferred;</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2,318,012 shares of common stock reserved for issuance upon exchange of our Series C Preferred, all of which is held by one institutional investor;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75"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7,107,157 shares of common stock that have been reserved for issuance upon exercise of outstanding warrants, with a weighted average exercise price of $4.70 per share; and</w:t>
      </w:r>
    </w:p>
    <w:p>
      <w:pPr>
        <w:spacing w:after="0" w:line="173" w:lineRule="exact"/>
        <w:rPr>
          <w:rFonts w:ascii="Times New Roman" w:cs="Times New Roman" w:eastAsia="Times New Roman" w:hAnsi="Times New Roman"/>
          <w:sz w:val="18"/>
          <w:szCs w:val="18"/>
          <w:color w:val="auto"/>
        </w:rPr>
      </w:pPr>
    </w:p>
    <w:p>
      <w:pPr>
        <w:ind w:left="660" w:right="560" w:hanging="328"/>
        <w:spacing w:after="0" w:line="275"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3,279,871 shares of common stock reserved for issuance upon exercise of outstanding stock options under our 1999 Stock Incentive Plan and our Amended and Restated 2016 Stock Incentive Plan ( </w:t>
      </w:r>
      <w:r>
        <w:rPr>
          <w:rFonts w:ascii="Times New Roman" w:cs="Times New Roman" w:eastAsia="Times New Roman" w:hAnsi="Times New Roman"/>
          <w:sz w:val="18"/>
          <w:szCs w:val="18"/>
          <w:i w:val="1"/>
          <w:iCs w:val="1"/>
          <w:color w:val="auto"/>
        </w:rPr>
        <w:t>2016 Plan</w:t>
      </w:r>
      <w:r>
        <w:rPr>
          <w:rFonts w:ascii="Times New Roman" w:cs="Times New Roman" w:eastAsia="Times New Roman" w:hAnsi="Times New Roman"/>
          <w:sz w:val="18"/>
          <w:szCs w:val="18"/>
          <w:color w:val="auto"/>
        </w:rPr>
        <w:t>), with a weighted average exercise price of $3.23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 See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for more information.</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227"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No Preemptive or Similar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not subject to conversion, redemption, sinking fund or similar provisions.</w:t>
      </w:r>
    </w:p>
    <w:p>
      <w:pPr>
        <w:sectPr>
          <w:pgSz w:w="11900" w:h="16838" w:orient="portrait"/>
          <w:cols w:equalWidth="0" w:num="1">
            <w:col w:w="11420"/>
          </w:cols>
          <w:pgMar w:left="240" w:top="1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112" w:name="page113"/>
    <w:bookmarkEnd w:id="112"/>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A Preferred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right="200"/>
        <w:spacing w:after="0" w:line="339" w:lineRule="auto"/>
        <w:rPr>
          <w:sz w:val="20"/>
          <w:szCs w:val="20"/>
          <w:color w:val="auto"/>
        </w:rPr>
      </w:pPr>
      <w:r>
        <w:rPr>
          <w:rFonts w:ascii="Times New Roman" w:cs="Times New Roman" w:eastAsia="Times New Roman" w:hAnsi="Times New Roman"/>
          <w:sz w:val="16"/>
          <w:szCs w:val="16"/>
          <w:color w:val="auto"/>
        </w:rPr>
        <w:t>In December 2011, our board of directors authorized the creation of a series of up to 500,000 shares of Series A Preferred. The Certificate of Designation of the Relative Rights and Preferences of the Series A Convertible Preferred Stock was filed with the Nevada Secretary of State effective December 20, 2011.</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and Rank</w:t>
      </w:r>
    </w:p>
    <w:p>
      <w:pPr>
        <w:spacing w:after="0" w:line="227"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At December 6, 2017, there were 500,000 shares of Series A Preferred outstanding, which shares are exchangeable at the option of the holders into an aggregate of 750,000 shares of our common stock. The Series A Preferred ranks prior to our common stock for purposes of liquidation preference.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Restriction</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At no time may a holder of shares of Series A Preferred convert shares of the Series A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limitation may be waived upon sixty-one (61) days notice to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Series A Preferred has no separate dividend rights. However, whenever the board of directors declares a dividend on the common stock, each holder of record of a share of Series A Preferred, or any fraction of a share of Series A Preferred, on the date set by the board of directors to determine the owners of the common stock of record entitled to receive such dividend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Except with respect to transactions upon which the Series A Preferred shall be entitled to vote separately as a class, the Series A Preferred has no voting rights. The common stock into which the Series A Preferred is exchangeable shall, upon issuance, have all of the same voting rights as other issued and outstanding shares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B Preferred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5" w:lineRule="exact"/>
        <w:rPr>
          <w:sz w:val="20"/>
          <w:szCs w:val="20"/>
          <w:color w:val="auto"/>
        </w:rPr>
      </w:pPr>
    </w:p>
    <w:p>
      <w:pPr>
        <w:ind w:right="380"/>
        <w:spacing w:after="0" w:line="264" w:lineRule="auto"/>
        <w:rPr>
          <w:sz w:val="20"/>
          <w:szCs w:val="20"/>
          <w:color w:val="auto"/>
        </w:rPr>
      </w:pPr>
      <w:r>
        <w:rPr>
          <w:rFonts w:ascii="Times New Roman" w:cs="Times New Roman" w:eastAsia="Times New Roman" w:hAnsi="Times New Roman"/>
          <w:sz w:val="18"/>
          <w:szCs w:val="18"/>
          <w:color w:val="auto"/>
        </w:rPr>
        <w:t>In May 2015, our board of directors authorized the creation of a series of up to 4.0 million shares of Series B 10% Convertible Preferred Stock (</w:t>
      </w:r>
      <w:r>
        <w:rPr>
          <w:rFonts w:ascii="Times New Roman" w:cs="Times New Roman" w:eastAsia="Times New Roman" w:hAnsi="Times New Roman"/>
          <w:sz w:val="18"/>
          <w:szCs w:val="18"/>
          <w:i w:val="1"/>
          <w:iCs w:val="1"/>
          <w:color w:val="auto"/>
        </w:rPr>
        <w:t>Series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Preferred</w:t>
      </w:r>
      <w:r>
        <w:rPr>
          <w:rFonts w:ascii="Times New Roman" w:cs="Times New Roman" w:eastAsia="Times New Roman" w:hAnsi="Times New Roman"/>
          <w:sz w:val="18"/>
          <w:szCs w:val="18"/>
          <w:color w:val="auto"/>
        </w:rPr>
        <w:t>). The Certificate of Designation of the Relative Rights and Preferences of the Series B 10% Convertible Preferred Stock was filed with the Nevada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Secretary of State on May 7, 2015 (the </w:t>
      </w:r>
      <w:r>
        <w:rPr>
          <w:rFonts w:ascii="Times New Roman" w:cs="Times New Roman" w:eastAsia="Times New Roman" w:hAnsi="Times New Roman"/>
          <w:sz w:val="18"/>
          <w:szCs w:val="18"/>
          <w:i w:val="1"/>
          <w:iCs w:val="1"/>
          <w:color w:val="auto"/>
        </w:rPr>
        <w:t>Series B Certificate of Designation</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113" w:name="page114"/>
    <w:bookmarkEnd w:id="113"/>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25"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auto"/>
        </w:rPr>
        <w:t>Each share of Series B Preferred is convertible, at the option of the holder (</w:t>
      </w:r>
      <w:r>
        <w:rPr>
          <w:rFonts w:ascii="Times New Roman" w:cs="Times New Roman" w:eastAsia="Times New Roman" w:hAnsi="Times New Roman"/>
          <w:sz w:val="16"/>
          <w:szCs w:val="16"/>
          <w:i w:val="1"/>
          <w:iCs w:val="1"/>
          <w:color w:val="auto"/>
        </w:rPr>
        <w:t>Voluntary Conversion</w:t>
      </w:r>
      <w:r>
        <w:rPr>
          <w:rFonts w:ascii="Times New Roman" w:cs="Times New Roman" w:eastAsia="Times New Roman" w:hAnsi="Times New Roman"/>
          <w:sz w:val="16"/>
          <w:szCs w:val="16"/>
          <w:color w:val="auto"/>
        </w:rPr>
        <w:t>), into one (1) share of the Company’s common stock. All outstanding shares of Series B Preferred are also automatically convertible into common stock (</w:t>
      </w:r>
      <w:r>
        <w:rPr>
          <w:rFonts w:ascii="Times New Roman" w:cs="Times New Roman" w:eastAsia="Times New Roman" w:hAnsi="Times New Roman"/>
          <w:sz w:val="16"/>
          <w:szCs w:val="16"/>
          <w:i w:val="1"/>
          <w:iCs w:val="1"/>
          <w:color w:val="auto"/>
        </w:rPr>
        <w:t>Automatic Conversion</w:t>
      </w:r>
      <w:r>
        <w:rPr>
          <w:rFonts w:ascii="Times New Roman" w:cs="Times New Roman" w:eastAsia="Times New Roman" w:hAnsi="Times New Roman"/>
          <w:sz w:val="16"/>
          <w:szCs w:val="16"/>
          <w:color w:val="auto"/>
        </w:rPr>
        <w:t>) upon the closing or effective date of any of the following transactions or events: (i) a strategic transaction involving AV-101 with an initial up front cash payment to the Company of at least $10.0 million;</w:t>
      </w:r>
    </w:p>
    <w:p>
      <w:pPr>
        <w:ind w:right="80" w:firstLine="8"/>
        <w:spacing w:after="0" w:line="255" w:lineRule="auto"/>
        <w:tabs>
          <w:tab w:leader="none" w:pos="25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are subject to certain beneficial ownership blockers set forth in Section 6 of the Certificate of Designation.</w:t>
      </w:r>
    </w:p>
    <w:p>
      <w:pPr>
        <w:spacing w:after="0" w:line="19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At December 6, 2017, there were 1,160,240 shares of Series B Preferred outstanding, which shares are exchangeable at the option of the holder into an aggregate of 1,160,240 shares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Restriction</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At no time may a holder of shares of Series B Preferred convert shares of the Series B Preferred, either by Voluntary Conversion or Automatic Conversion,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limitation may be waived upon sixty-one (61) days notice to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Series B Preferred ranks prior to our common stock,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A Preferred for purposes of liquidation preference.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27"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 xml:space="preserve">Prior to either a Voluntary Conversion or Automatic Conversion, shares of Series B Preferred will accrue dividends, payable only in common stock, at a rate of 10% per annum (the </w:t>
      </w:r>
      <w:r>
        <w:rPr>
          <w:rFonts w:ascii="Times New Roman" w:cs="Times New Roman" w:eastAsia="Times New Roman" w:hAnsi="Times New Roman"/>
          <w:sz w:val="18"/>
          <w:szCs w:val="18"/>
          <w:i w:val="1"/>
          <w:iCs w:val="1"/>
          <w:color w:val="auto"/>
        </w:rPr>
        <w:t>Accrued Dividend</w:t>
      </w:r>
      <w:r>
        <w:rPr>
          <w:rFonts w:ascii="Times New Roman" w:cs="Times New Roman" w:eastAsia="Times New Roman" w:hAnsi="Times New Roman"/>
          <w:sz w:val="18"/>
          <w:szCs w:val="18"/>
          <w:color w:val="auto"/>
        </w:rPr>
        <w:t>). The Accrued Dividend will be payable on the date of either a Voluntary Conversion or Automatic Conversion solely in that number of shares of Common Stock equal to the Accrued Dividend.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color w:val="auto"/>
        </w:rPr>
        <w:t>Except with respect to transactions upon which the Series B Preferred shall be entitled to vote separately as a class, the Series B Preferred shall have no voting rights. The common stock into which the Series B Preferred shall be exchangeable shall, upon issuance, have all of the same voting rights as other issued and outstanding shares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227"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Upon any liquidation, dissolution, or winding-up of the Company, whether voluntary or involuntary, the holders of Series B Preferred are entitled to receive out of the Company’s assets, whether capital or surplus, an amount equal to the stated value of the Series B Preferred ($7.00 per share), plus any accrued and unpaid dividends thereon, before any distribution or payment shall be made to the holders of any junior securities, including holders of our common stock. If the assets of the Company are insufficient to pay, in full, such amounts, then the entire assets to be distributed to the holders of the Series B Preferred shall be ratably distributed among the holders in accordance with the respective amounts that would be payable on such shares if all amounts payable thereon were paid in full.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C Preferred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In January 2016, our board of directors authorized the creation of a series of up to 3.0 million shares of Series C Convertible Preferred Stock (</w:t>
      </w:r>
      <w:r>
        <w:rPr>
          <w:rFonts w:ascii="Times New Roman" w:cs="Times New Roman" w:eastAsia="Times New Roman" w:hAnsi="Times New Roman"/>
          <w:sz w:val="18"/>
          <w:szCs w:val="18"/>
          <w:i w:val="1"/>
          <w:iCs w:val="1"/>
          <w:color w:val="auto"/>
        </w:rPr>
        <w:t>Series C Preferred</w:t>
      </w:r>
      <w:r>
        <w:rPr>
          <w:rFonts w:ascii="Times New Roman" w:cs="Times New Roman" w:eastAsia="Times New Roman" w:hAnsi="Times New Roman"/>
          <w:sz w:val="18"/>
          <w:szCs w:val="18"/>
          <w:color w:val="auto"/>
        </w:rPr>
        <w:t xml:space="preserve">). The Certificate of Designation of the Relative Rights and Preferences of the Series C Convertible Preferred Stock was filed with the Nevada Secretary of State, effective January 25, 2016 (the </w:t>
      </w:r>
      <w:r>
        <w:rPr>
          <w:rFonts w:ascii="Times New Roman" w:cs="Times New Roman" w:eastAsia="Times New Roman" w:hAnsi="Times New Roman"/>
          <w:sz w:val="18"/>
          <w:szCs w:val="18"/>
          <w:i w:val="1"/>
          <w:iCs w:val="1"/>
          <w:color w:val="auto"/>
        </w:rPr>
        <w:t>Series C Certificate of Designation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and Rank</w:t>
      </w:r>
    </w:p>
    <w:p>
      <w:pPr>
        <w:spacing w:after="0" w:line="22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 xml:space="preserve">At December 6, 2017, there were 2,318,012 shares of Series C Preferred outstanding, which shares of Series C Preferred are exchangeable at the option of the holder into 2,318,012 shares of our common stock. The Series C Preferred ranks prior to our common stock for purposes of liquidation preference,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A Preferred and Series B Preferred.</w:t>
      </w:r>
    </w:p>
    <w:p>
      <w:pPr>
        <w:sectPr>
          <w:pgSz w:w="11900" w:h="16838" w:orient="portrait"/>
          <w:cols w:equalWidth="0" w:num="1">
            <w:col w:w="11420"/>
          </w:cols>
          <w:pgMar w:left="240" w:top="1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114" w:name="page115"/>
    <w:bookmarkEnd w:id="114"/>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Restriction</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At no time may a holder of shares of Series C Preferred convert shares of the Series C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limitation may be waived upon sixty-one (61) days notice to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Series C Preferred has no separate dividend rights. However, whenever the board of directors declares a dividend on the common stock, each holder of record of a share of Series C Preferred, or any fraction of a share of Series C Preferred, on the date set by the board of directors to determine the owners of the common stock of record entitled to receive such dividend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C Preferred could be exchanged on the Record Date.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Except with respect to transactions upon which the Series C Preferred shall be entitled to vote separately as a class, the Series C Preferred has no voting rights. The common stock into which the Series C Preferred is exchangeable shall, upon issuance, have all of the same voting rights as other issued and outstanding shares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event of the liquidation, dissolution or winding up of our affairs, after payment or provision for payment of our debts and other liabilities, the holders of Series C Preferred then outstanding shall be entitled to receive, out of our assets, if any, an amount per share of Series C Preferred calculated by taking the total amount available for distribution to holders of all of our outstanding common stock before deduction of any preference payments for the Series C Preferred, divided by the total of (x), all of the then outstanding shares of our common stock, plus (y) all of the shares of our common stock into which all of the outstanding shares of the Series C Preferred can be exchanged before any payment shall be made or any assets distributed to the holders of the common stock or any other junior stock.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6, 2017, we had options to purchase 3,279,871 shares of our common stock outstanding pursuant to our 1999 Plan and our 2016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7"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As of December 6, 2017, warrants to purchase 7,107,157 shares of our common stock were outstanding, with a weighted average exercise price of $4.70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offered hereby</w:t>
      </w:r>
    </w:p>
    <w:p>
      <w:pPr>
        <w:spacing w:after="0" w:line="22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We are offering 8,333,333 shares of our common stock and warrants to purchase up to 8,333,333 shares of our common stock. Each share of common stock will be accompanied by a warrant to purchase one share of common stock at an exercise price per share equal to 100% of the combined public offering price per share and related warrant. The common stock and warrants are immediately separable but can only be purchased together in this offering.</w:t>
      </w:r>
    </w:p>
    <w:p>
      <w:pPr>
        <w:spacing w:after="0" w:line="18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 following is a brief summary of certain terms and conditions of the warrants to be issued in connection with this Offering and are subject in all respects to the provisions contained in the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w:t>
      </w:r>
    </w:p>
    <w:p>
      <w:pPr>
        <w:spacing w:after="0" w:line="227"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The warrants will be issued in electronic book-entry form to the investors. You should review a copy of the form of warrant, which is filed as an exhibit to the registration statement of which this prospectus forms a part, for a complete description of the terms and conditions applicable to the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Exercisability</w:t>
      </w:r>
    </w:p>
    <w:p>
      <w:pPr>
        <w:spacing w:after="0" w:line="227"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6"/>
          <w:szCs w:val="16"/>
          <w:color w:val="auto"/>
        </w:rPr>
        <w:t>The warrants are exercisable at any time after their original issuance, and at any time up to the date that is five years after their original issuance. Each of the warrants may be exercised, in whole or in part, by delivering to us a written notice of election to exercise the applicable warrant and delivering to us cash payment of the exercise price, if applicable. The exercise price and the number of shares of our common stock issuable upon exercise of the warrants is subject to adjustment in the event of certain subdivisions and combinations, including by any stock split or reverse stock split, stock dividend, recapitalization or otherwise.</w:t>
      </w:r>
    </w:p>
    <w:p>
      <w:pPr>
        <w:spacing w:after="0" w:line="15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Cashless Exercise: </w:t>
      </w:r>
      <w:r>
        <w:rPr>
          <w:rFonts w:ascii="Times New Roman" w:cs="Times New Roman" w:eastAsia="Times New Roman" w:hAnsi="Times New Roman"/>
          <w:sz w:val="18"/>
          <w:szCs w:val="18"/>
          <w:color w:val="auto"/>
        </w:rPr>
        <w:t>If, at any time during the term of the warrants, the issuance or resale of shares of our common stock upon exercise of the warrants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covered by an effective registration statement, the holder is permitted to effect a cashless exercise of the warrants (in whole or in part) in which case the holder would receive upon such exercise the net number of shares of common stock determined according to the formula set forth in the warrants. Shares issued pursuant to a cashless exercise would be deemed to have been issued pursuant to the exemption from registration provided by Section 3(a)(9) of the Securities Act of 1933, and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and the shares of common stock issued upon such cashless exercise would take on the characteristics of the Warrants being exercised, including, for purposes of Rule 144(d) promulgated under the Securities Act, a holding period beginning from the original issuance date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998" w:gutter="0" w:footer="0" w:header="0"/>
        </w:sectPr>
      </w:pPr>
    </w:p>
    <w:bookmarkStart w:id="115" w:name="page116"/>
    <w:bookmarkEnd w:id="115"/>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Adjustment Provisions: </w:t>
      </w:r>
      <w:r>
        <w:rPr>
          <w:rFonts w:ascii="Times New Roman" w:cs="Times New Roman" w:eastAsia="Times New Roman" w:hAnsi="Times New Roman"/>
          <w:sz w:val="18"/>
          <w:szCs w:val="18"/>
          <w:color w:val="auto"/>
        </w:rPr>
        <w:t>The exercise price and the number and type of securities purchasable upon exercise of the warrants are subject to adjustment upon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events, including certain subdivisions, combinations and similar events. If we declare any dividend or distribution of assets (including cash, stock or other securities, evidence of indebtedness, purchase rights or other property), each holder of a warrant will be entitled to participate in such distribution to the same extent that the holder would have participated had the applicable warrant been exercised immediately before the record date for the distribution. The terms of the warrants may make it difficult for us to raise additional capital at prevailing market terms in the future.</w:t>
      </w:r>
    </w:p>
    <w:p>
      <w:pPr>
        <w:spacing w:after="0" w:line="18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Subject to applicable laws, the warrants may be offered for sale, sold, transferred or assigned without our consent. However, as of the date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supplement there is no established trading market for the warrants and it is not expected that a trading market for the warrants will develop in the future. Without an active trading market, the liquidity of the warrants will be limited.</w:t>
      </w:r>
    </w:p>
    <w:p>
      <w:pPr>
        <w:spacing w:after="0" w:line="181"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Listing: </w:t>
      </w:r>
      <w:r>
        <w:rPr>
          <w:rFonts w:ascii="Times New Roman" w:cs="Times New Roman" w:eastAsia="Times New Roman" w:hAnsi="Times New Roman"/>
          <w:sz w:val="18"/>
          <w:szCs w:val="18"/>
          <w:color w:val="auto"/>
        </w:rPr>
        <w:t>We will not apply to list the warrants on NASDAQ Capital Market. We do not intend to list the warrants on any securities exchange or other quotation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 Without an active market, the liquidity of the warrants will be limited.</w:t>
      </w:r>
    </w:p>
    <w:p>
      <w:pPr>
        <w:spacing w:after="0" w:line="17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Rights as a stockholder: </w:t>
      </w:r>
      <w:r>
        <w:rPr>
          <w:rFonts w:ascii="Times New Roman" w:cs="Times New Roman" w:eastAsia="Times New Roman" w:hAnsi="Times New Roman"/>
          <w:sz w:val="18"/>
          <w:szCs w:val="18"/>
          <w:color w:val="auto"/>
        </w:rPr>
        <w:t>Except as set forth in the warrants or by virtue of such holders’ ownership of shares of our common stock, the holders of the warrants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have the rights or privileges of holders of our common stock, including any voting rights, until they exercise the warrants.</w:t>
      </w:r>
    </w:p>
    <w:p>
      <w:pPr>
        <w:spacing w:after="0" w:line="170"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Limitations on Exercise: </w:t>
      </w:r>
      <w:r>
        <w:rPr>
          <w:rFonts w:ascii="Times New Roman" w:cs="Times New Roman" w:eastAsia="Times New Roman" w:hAnsi="Times New Roman"/>
          <w:sz w:val="18"/>
          <w:szCs w:val="18"/>
          <w:color w:val="auto"/>
        </w:rPr>
        <w:t>The exercise of the warrants may be limited in certain circumstances if, after giving effect to such exercise, the holder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would beneficially own (as determined in accordance with the terms of the warrants) more than 4.99% (or, at the election of the holder, 9.99%) of our outstanding common stock immediately after giving effect to the exercise.</w:t>
      </w:r>
    </w:p>
    <w:p>
      <w:pPr>
        <w:spacing w:after="0" w:line="181"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i w:val="1"/>
          <w:iCs w:val="1"/>
          <w:color w:val="auto"/>
        </w:rPr>
        <w:t xml:space="preserve">Fundamental Transactions: </w:t>
      </w:r>
      <w:r>
        <w:rPr>
          <w:rFonts w:ascii="Times New Roman" w:cs="Times New Roman" w:eastAsia="Times New Roman" w:hAnsi="Times New Roman"/>
          <w:sz w:val="16"/>
          <w:szCs w:val="16"/>
          <w:color w:val="auto"/>
        </w:rPr>
        <w:t>In the event of certain fundamental transactions, as described in the warrants and generally including any merger or consolidation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or into another entity, the holders of the warrants shall thereafter have the right to exercise the applicable warrant for the same amount and kind of securities, cash or property as it would have been entitled to receive upon the occurrence of such fundamental transaction if it had been, immediately prior to such fundamental transaction, the holder of shares of common stock issuable upon exercise in full of the warrant. In the event of a Change of Control (as defined in the warrants) (other than a Change of Control which was not approved by the Board of Directors, as to which this right shall not apply), at the request of the holder delivered before the 30th day after such Change of Control, a holder of a warrant will have the right to require us or any successor entity to purchase the holder’s warrant for the Black-Scholes Value of the remaining unexercised portion of the warrant on the effective date of such Change of Control (determined in accordance with a formula specified in the warrants), payable in cash; provided, that if the applicable Change of Control was not approved by our Board of Directors, such amount shall be payable, at our option in either (x) shares of our common stock or the consideration receivable by holders of common stock in the Change of Control transaction, as applicable, valued at the value of the consideration received by the shareholders in such Change of Control, or (y) cash.</w:t>
      </w:r>
    </w:p>
    <w:p>
      <w:pPr>
        <w:spacing w:after="0" w:line="169"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Dividends and Other Distributions: </w:t>
      </w:r>
      <w:r>
        <w:rPr>
          <w:rFonts w:ascii="Times New Roman" w:cs="Times New Roman" w:eastAsia="Times New Roman" w:hAnsi="Times New Roman"/>
          <w:sz w:val="18"/>
          <w:szCs w:val="18"/>
          <w:color w:val="auto"/>
        </w:rPr>
        <w:t>If we declare or make any dividend or other distribution of our assets to holders of shares of our common stock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distribution of cash, stock or other securities, property, options, evidence of indebtedness or any other assets), then, subject to certain limitation on exercise described in the warrants, each holder of a warrant shall receive the distributed assets that such holder would have been entitled to receive in the distribution had the holder exercised the warrant immediately prior to the record date for the distribution.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Jersey City, New Jersey.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01" w:right="279" w:bottom="1440" w:gutter="0" w:footer="0" w:header="0"/>
        </w:sectPr>
      </w:pPr>
    </w:p>
    <w:bookmarkStart w:id="116" w:name="page117"/>
    <w:bookmarkEnd w:id="116"/>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UNDERWRITING</w:t>
      </w:r>
    </w:p>
    <w:p>
      <w:pPr>
        <w:spacing w:after="0" w:line="27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We have entered into an underwriting agreement with Oppenheimer &amp; Co. Inc., as the representative of the several underwriters named below. The underwriting agreement provides for the purchase by the several underwriters of the shares of common stock and related warrants offered hereby.</w:t>
      </w:r>
    </w:p>
    <w:p>
      <w:pPr>
        <w:spacing w:after="0" w:line="174"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Subject to the terms and conditions of the underwriting agreement, we have agreed to sell to the underwriters, and each underwriter has severally agreed to purchase the number of shares of common stock and related warrants set forth opposite its name below:</w:t>
      </w:r>
    </w:p>
    <w:p>
      <w:pPr>
        <w:sectPr>
          <w:pgSz w:w="11900" w:h="16838" w:orient="portrait"/>
          <w:cols w:equalWidth="0" w:num="1">
            <w:col w:w="11420"/>
          </w:cols>
          <w:pgMar w:left="240" w:top="123" w:right="239" w:bottom="1440" w:gutter="0" w:footer="0" w:header="0"/>
        </w:sect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6985</wp:posOffset>
            </wp:positionV>
            <wp:extent cx="69469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46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6985</wp:posOffset>
            </wp:positionV>
            <wp:extent cx="69469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4690" cy="17145"/>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3">
            <w:col w:w="8240" w:space="720"/>
            <w:col w:w="820" w:space="560"/>
            <w:col w:w="1080"/>
          </w:cols>
          <w:pgMar w:left="240" w:top="123"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Oppenheimer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underwriters have agreed to purchase all of the shares and related warrants offered by this prospectus if any are purchased.</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underwriters have advised us that they propose to offer the shares of common stock and related warrants directly to the public at the combined public offering price set forth on the cover page of this prospectus. In addition, the underwriters may offer some of the shares and related warrants to other securities dealers at such price less a concession of $ per share and related warrants. The underwriters may also allow, and such dealers may re-allow, a concession not in excess of $ per share and related warrants to other dealers. After the public offering of the shares of common stock and related warrants, the combined public offering price and other selling terms may be changed by the underwriters.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the underwriting discount to be paid to the underwriters in connection with this offering.</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Per Share and</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public offering price</w:t>
            </w: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r>
    </w:tbl>
    <w:p>
      <w:pPr>
        <w:spacing w:after="0" w:line="189"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We estimate that our total expenses of the offering, excluding the estimated underwriting discount, will be approximately $340,000, which includes the costs and expenses for which we have agreed to reimburse the underwriters for certain expenses, including for fees and expenses of their legal counsel up to an amount of $125,000, provided that any such costs and expenses may not exceed $145,000 in the aggregate.</w:t>
      </w:r>
    </w:p>
    <w:p>
      <w:pPr>
        <w:spacing w:after="0" w:line="1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engaged Oppenheimer through September 30, 2018 to assist us in our evaluation of financing alternatives and to act as the sole underwriter, sole placement agent, sole selling agent, sole initial purchaser and/or sole dealer-manager, or other appropriate sole role as the case may be, on any capital-raising transaction, including the sole financial advisor on any negotiated exercise of our outstanding warrants, excluding any self-placed private placements by us of our securities to accredited individual investors. If during the term of Oppenheimer’s engagement, we complete a financing or enter into an agreement that subsequently results in a completed financing, we have agreed to pay Oppenheimer fees and commissions equal to 7% of the gross proceeds raised in the financing, subject to certain exceptions. We also agreed to reimburse Oppenheimer for all of its reasonable expenses (including reasonable fees and expenses of its legal counsel), subject to certain agreed upon caps.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and our officers and directors have agreed to a 90-day “lock-up” with respect to shares of our common stock and other of our securities that they beneficially own, including securities that are convertible into shares of common stock and securities that are exchangeable or exercisable for shares of common stock. This means that, subject to certain exceptions, for a period of 90 days following the date of this prospectus, we and such persons may not offer, sell, pledge or otherwise dispose of these securities without the prior written consent of Oppenheimer &amp; Co. Inc.</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117" w:name="page118"/>
    <w:bookmarkEnd w:id="117"/>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underwriters have advised us that they do not intend to conduct any stabilization or over-allotment activities in connection with this offering.</w:t>
      </w:r>
    </w:p>
    <w:p>
      <w:pPr>
        <w:spacing w:after="0" w:line="223"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i w:val="1"/>
          <w:iCs w:val="1"/>
          <w:color w:val="auto"/>
        </w:rPr>
        <w:t>Electronic Delivery of Preliminary Prospectus</w:t>
      </w:r>
      <w:r>
        <w:rPr>
          <w:rFonts w:ascii="Times New Roman" w:cs="Times New Roman" w:eastAsia="Times New Roman" w:hAnsi="Times New Roman"/>
          <w:sz w:val="18"/>
          <w:szCs w:val="18"/>
          <w:color w:val="auto"/>
        </w:rPr>
        <w:t>: A prospectus in electronic format may be delivered to potential investors by the underwriters. The prospectus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format will be identical to the paper version of such preliminary prospectus. Other than the prospectus in electronic format, the information on any underwriter’s website and any information contained in any other website maintained by such underwriters is not part of this prospectus or the registration statement of which this prospectus forms a part.</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The underwriters and their affiliates have provided in the past and may provide from time to time in the future certain commercial banking,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investment banking and other services for us and our affiliates in the ordinary course of their business, for which they may receive customary fees and commissions. Oppenheimer acted as the sole underwriter of the September 2017 Public Offering. In connection therewith, Oppenheimer received a discount of approximately $168,000 and reimbursement of expenses in the aggregate amount of $95,000. Pursuant to engagement letters, each dated September 24, 2017, we retained each of Oppenheimer and Chardan Capital Markets, LLC (</w:t>
      </w:r>
      <w:r>
        <w:rPr>
          <w:rFonts w:ascii="Times New Roman" w:cs="Times New Roman" w:eastAsia="Times New Roman" w:hAnsi="Times New Roman"/>
          <w:sz w:val="18"/>
          <w:szCs w:val="18"/>
          <w:i w:val="1"/>
          <w:iCs w:val="1"/>
          <w:color w:val="auto"/>
        </w:rPr>
        <w:t>Chardan</w:t>
      </w:r>
      <w:r>
        <w:rPr>
          <w:rFonts w:ascii="Times New Roman" w:cs="Times New Roman" w:eastAsia="Times New Roman" w:hAnsi="Times New Roman"/>
          <w:sz w:val="18"/>
          <w:szCs w:val="18"/>
          <w:color w:val="auto"/>
        </w:rPr>
        <w:t>) to assist us in our evaluation of certain financial and strategic alternatives and, in connection therewith, issued to each firm 75,000 unregistered shares of our common stock and agreed to reimburse each of them for their reasonable expenses incurred in connection therewith. In addition, from time to time, the underwriters and their affiliates may effect transactions for their own accounts or the accounts of customers, and hold on behalf of themselves or their customers, long or short positions in our debt or equity securities or loans, and may do so in the future. The 75,000 shares of common stock issued to Oppenheimer, and the 75,000 shares of common stock issued to Chardan are deemed to be compensation by the Financial Industry Regulatory Authority, Inc., or FINRA, and are therefore subject to FINRA Rule 5110(g)(1). In accordance with FINRA Rule 5110(g)(1), such shares may not be sold, transferred, assigned, pledged, or hypothecated, or be the subject of any hedging, short sale, derivative, put, or call transaction that would result in the effective economic disposition of such securities by any person for a period of 180 days immediately following the date of effectiveness or commencement of sales of the common stock in this offering, except the transfer of any shares:</w:t>
      </w:r>
    </w:p>
    <w:p>
      <w:pPr>
        <w:spacing w:after="0" w:line="202"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or by reason of our reorganization;</w:t>
      </w:r>
    </w:p>
    <w:p>
      <w:pPr>
        <w:spacing w:after="0" w:line="225" w:lineRule="exact"/>
        <w:rPr>
          <w:rFonts w:ascii="Times New Roman" w:cs="Times New Roman" w:eastAsia="Times New Roman" w:hAnsi="Times New Roman"/>
          <w:sz w:val="18"/>
          <w:szCs w:val="18"/>
          <w:color w:val="auto"/>
        </w:rPr>
      </w:pPr>
    </w:p>
    <w:p>
      <w:pPr>
        <w:ind w:left="660" w:right="320" w:hanging="328"/>
        <w:spacing w:after="0" w:line="275"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FINRA member firm participating in this offering and the officers or partners thereof, if all shares so transferred remain subject to the lock-up restriction described above for the remainder of the time period;</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amount of our securities held by either the underwriters or a related person do not exceed 1% of the securities being offered;</w:t>
      </w:r>
    </w:p>
    <w:p>
      <w:pPr>
        <w:spacing w:after="0" w:line="225" w:lineRule="exact"/>
        <w:rPr>
          <w:rFonts w:ascii="Times New Roman" w:cs="Times New Roman" w:eastAsia="Times New Roman" w:hAnsi="Times New Roman"/>
          <w:sz w:val="18"/>
          <w:szCs w:val="18"/>
          <w:color w:val="auto"/>
        </w:rPr>
      </w:pPr>
    </w:p>
    <w:p>
      <w:pPr>
        <w:ind w:left="660" w:right="200" w:hanging="328"/>
        <w:spacing w:after="0" w:line="275"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 or</w:t>
      </w:r>
    </w:p>
    <w:p>
      <w:pPr>
        <w:spacing w:after="0" w:line="173" w:lineRule="exact"/>
        <w:rPr>
          <w:rFonts w:ascii="Times New Roman" w:cs="Times New Roman" w:eastAsia="Times New Roman" w:hAnsi="Times New Roman"/>
          <w:sz w:val="18"/>
          <w:szCs w:val="18"/>
          <w:color w:val="auto"/>
        </w:rPr>
      </w:pPr>
    </w:p>
    <w:p>
      <w:pPr>
        <w:ind w:left="660" w:right="80" w:hanging="328"/>
        <w:spacing w:after="0" w:line="275"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or conversion of any security, if all securities received remain subject to the lock-up restriction set forth above for the remainder of the time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Oppenheimer owns 75,000 shares of our common stock. Chardan owns 97,429 shares of our common stock.</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18" w:name="page119"/>
    <w:bookmarkEnd w:id="118"/>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NOTICE TO INVESTORS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 Restrictions Outside the United States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225"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6"/>
          <w:szCs w:val="16"/>
          <w:color w:val="auto"/>
        </w:rPr>
        <w:t xml:space="preserve">In relation to each Member State of the European Economic Area which has implemented the Prospectus Directive (each, a </w:t>
      </w:r>
      <w:r>
        <w:rPr>
          <w:rFonts w:ascii="Times New Roman" w:cs="Times New Roman" w:eastAsia="Times New Roman" w:hAnsi="Times New Roman"/>
          <w:sz w:val="16"/>
          <w:szCs w:val="16"/>
          <w:i w:val="1"/>
          <w:iCs w:val="1"/>
          <w:color w:val="auto"/>
        </w:rPr>
        <w:t>Relevant Member State</w:t>
      </w:r>
      <w:r>
        <w:rPr>
          <w:rFonts w:ascii="Times New Roman" w:cs="Times New Roman" w:eastAsia="Times New Roman" w:hAnsi="Times New Roman"/>
          <w:sz w:val="16"/>
          <w:szCs w:val="16"/>
          <w:color w:val="auto"/>
        </w:rPr>
        <w:t>) an offer to the public of any securities which are the subject of the offering contemplated by this prospectus supplement may not be made in that Relevant Member State other than the offers contemplated in this prospectus in name(s) of Member State(s) where prospectus will be approved or passported for the purposes of a non-exempt offer once this prospectus has been approved by the competent authority in such Member State and published and passported in accordance with the Prospectus Directive as implemented in name(s) of relevant Member State(s) except that an offer to the public in that Relevant Member State of any securities may be made at any time under the following exemptions under the Prospectus Directive, if they have been implemented in that Relevant Member State:</w:t>
      </w:r>
    </w:p>
    <w:p>
      <w:pPr>
        <w:spacing w:after="0" w:line="167" w:lineRule="exact"/>
        <w:rPr>
          <w:sz w:val="20"/>
          <w:szCs w:val="20"/>
          <w:color w:val="auto"/>
        </w:rPr>
      </w:pPr>
    </w:p>
    <w:p>
      <w:pPr>
        <w:ind w:left="340" w:right="60" w:firstLine="316"/>
        <w:spacing w:after="0" w:line="275" w:lineRule="auto"/>
        <w:tabs>
          <w:tab w:leader="none" w:pos="90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legal entities which are authorized or regulated to operate in the financial markets or, if not so authorized or regulated, whose corporate purpose is solely to invest in securities;</w:t>
      </w:r>
    </w:p>
    <w:p>
      <w:pPr>
        <w:spacing w:after="0" w:line="173" w:lineRule="exact"/>
        <w:rPr>
          <w:rFonts w:ascii="Times New Roman" w:cs="Times New Roman" w:eastAsia="Times New Roman" w:hAnsi="Times New Roman"/>
          <w:sz w:val="18"/>
          <w:szCs w:val="18"/>
          <w:color w:val="auto"/>
        </w:rPr>
      </w:pPr>
    </w:p>
    <w:p>
      <w:pPr>
        <w:ind w:left="340" w:right="100" w:firstLine="316"/>
        <w:spacing w:after="0" w:line="275" w:lineRule="auto"/>
        <w:tabs>
          <w:tab w:leader="none" w:pos="91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173"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representative to fewer than 100 natural or legal persons (other than qualified investors as defined in the Prospectus Directive); or</w:t>
      </w:r>
    </w:p>
    <w:p>
      <w:pPr>
        <w:spacing w:after="0" w:line="225" w:lineRule="exact"/>
        <w:rPr>
          <w:rFonts w:ascii="Times New Roman" w:cs="Times New Roman" w:eastAsia="Times New Roman" w:hAnsi="Times New Roman"/>
          <w:sz w:val="18"/>
          <w:szCs w:val="18"/>
          <w:color w:val="auto"/>
        </w:rPr>
      </w:pPr>
    </w:p>
    <w:p>
      <w:pPr>
        <w:ind w:left="340" w:right="820" w:firstLine="316"/>
        <w:spacing w:after="0" w:line="275" w:lineRule="auto"/>
        <w:tabs>
          <w:tab w:leader="none" w:pos="91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 provided that no such offer of securities shall result in a requirement for the publication by the Company or any underwriter of a prospectus pursuant to Article 3 of the Prospectus Directive.</w:t>
      </w:r>
    </w:p>
    <w:p>
      <w:pPr>
        <w:spacing w:after="0" w:line="174"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6"/>
          <w:szCs w:val="16"/>
          <w:color w:val="auto"/>
        </w:rPr>
        <w:t>For the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any securities,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underwriters have represented, warranted and agreed that:</w:t>
      </w:r>
    </w:p>
    <w:p>
      <w:pPr>
        <w:spacing w:after="0" w:line="225" w:lineRule="exact"/>
        <w:rPr>
          <w:sz w:val="20"/>
          <w:szCs w:val="20"/>
          <w:color w:val="auto"/>
        </w:rPr>
      </w:pPr>
    </w:p>
    <w:p>
      <w:pPr>
        <w:ind w:left="340" w:right="100" w:firstLine="316"/>
        <w:spacing w:after="0" w:line="262" w:lineRule="auto"/>
        <w:tabs>
          <w:tab w:leader="none" w:pos="90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they have only communicated or caused to be communicated and will only communicate or cause to be communicated any invitation or inducement to engage in investment activity (within the meaning of section 21 of the Financial Services and Markets Act 2000 (the </w:t>
      </w:r>
      <w:r>
        <w:rPr>
          <w:rFonts w:ascii="Times New Roman" w:cs="Times New Roman" w:eastAsia="Times New Roman" w:hAnsi="Times New Roman"/>
          <w:sz w:val="18"/>
          <w:szCs w:val="18"/>
          <w:i w:val="1"/>
          <w:iCs w:val="1"/>
          <w:color w:val="auto"/>
        </w:rPr>
        <w:t>FSMA</w:t>
      </w:r>
      <w:r>
        <w:rPr>
          <w:rFonts w:ascii="Times New Roman" w:cs="Times New Roman" w:eastAsia="Times New Roman" w:hAnsi="Times New Roman"/>
          <w:sz w:val="18"/>
          <w:szCs w:val="18"/>
          <w:color w:val="auto"/>
        </w:rPr>
        <w:t>)) received by them in connection with the issue or sale of any securities in circumstances in which section 21(1) of the FSMA does not apply to the Company; and</w:t>
      </w:r>
    </w:p>
    <w:p>
      <w:pPr>
        <w:spacing w:after="0" w:line="186" w:lineRule="exact"/>
        <w:rPr>
          <w:rFonts w:ascii="Times New Roman" w:cs="Times New Roman" w:eastAsia="Times New Roman" w:hAnsi="Times New Roman"/>
          <w:sz w:val="18"/>
          <w:szCs w:val="18"/>
          <w:color w:val="auto"/>
        </w:rPr>
      </w:pPr>
    </w:p>
    <w:p>
      <w:pPr>
        <w:ind w:left="340" w:right="560" w:firstLine="316"/>
        <w:spacing w:after="0" w:line="275" w:lineRule="auto"/>
        <w:tabs>
          <w:tab w:leader="none" w:pos="91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have complied with and will comply with all applicable provisions of the FSMA with respect to anything done by them in relation to the securities in, from or otherwise involving the United Kingdom.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119" w:name="page120"/>
    <w:bookmarkEnd w:id="119"/>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State of Israel, the securities offered hereby may not be offered to any person or entity other than the following:</w:t>
      </w:r>
    </w:p>
    <w:p>
      <w:pPr>
        <w:spacing w:after="0" w:line="225" w:lineRule="exact"/>
        <w:rPr>
          <w:sz w:val="20"/>
          <w:szCs w:val="20"/>
          <w:color w:val="auto"/>
        </w:rPr>
      </w:pPr>
    </w:p>
    <w:p>
      <w:pPr>
        <w:ind w:left="340" w:right="900" w:firstLine="316"/>
        <w:spacing w:after="0" w:line="275" w:lineRule="auto"/>
        <w:tabs>
          <w:tab w:leader="none" w:pos="90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fund for joint investments in trust (i.e., mutual fund), as such term is defined in the Law for Joint Investments in Trust, 5754-1994, or a management company of such a fund;</w:t>
      </w:r>
    </w:p>
    <w:p>
      <w:pPr>
        <w:spacing w:after="0" w:line="173"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provident fund as defined in Section 47(a)(2) of the Income Tax Ordinance of the State of Israel, or a management company of such a fund;</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insurer, as defined in the Law for Oversight of Insurance Transactions, 5741-1981;</w:t>
      </w:r>
    </w:p>
    <w:p>
      <w:pPr>
        <w:spacing w:after="0" w:line="225" w:lineRule="exact"/>
        <w:rPr>
          <w:rFonts w:ascii="Times New Roman" w:cs="Times New Roman" w:eastAsia="Times New Roman" w:hAnsi="Times New Roman"/>
          <w:sz w:val="18"/>
          <w:szCs w:val="18"/>
          <w:color w:val="auto"/>
        </w:rPr>
      </w:pPr>
    </w:p>
    <w:p>
      <w:pPr>
        <w:ind w:left="340" w:right="60" w:firstLine="316"/>
        <w:spacing w:after="0" w:line="275" w:lineRule="auto"/>
        <w:tabs>
          <w:tab w:leader="none" w:pos="91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entity or satellite entity, as such terms are defined in the Banking Law (Licensing), 5741-1981, other than a joint services company, acting for their own account or for the account of investors of the type listed in Section 15A(b) of the Securities Law 1968;</w:t>
      </w:r>
    </w:p>
    <w:p>
      <w:pPr>
        <w:spacing w:after="0" w:line="173" w:lineRule="exact"/>
        <w:rPr>
          <w:rFonts w:ascii="Times New Roman" w:cs="Times New Roman" w:eastAsia="Times New Roman" w:hAnsi="Times New Roman"/>
          <w:sz w:val="18"/>
          <w:szCs w:val="18"/>
          <w:color w:val="auto"/>
        </w:rPr>
      </w:pPr>
    </w:p>
    <w:p>
      <w:pPr>
        <w:ind w:left="340" w:right="160" w:firstLine="316"/>
        <w:spacing w:after="0" w:line="339" w:lineRule="auto"/>
        <w:tabs>
          <w:tab w:leader="none" w:pos="903"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company that is licensed as a portfolio manager, as such term is defined in Section 8(b) of the Law for the Regulation of Investment Advisors and Portfolio Managers, 5755-1995, acting on its own account or for the account of investors of the type listed in Section 15A(b) of the Securities Law 1968;</w:t>
      </w:r>
    </w:p>
    <w:p>
      <w:pPr>
        <w:spacing w:after="0" w:line="128" w:lineRule="exact"/>
        <w:rPr>
          <w:rFonts w:ascii="Times New Roman" w:cs="Times New Roman" w:eastAsia="Times New Roman" w:hAnsi="Times New Roman"/>
          <w:sz w:val="16"/>
          <w:szCs w:val="16"/>
          <w:color w:val="auto"/>
        </w:rPr>
      </w:pPr>
    </w:p>
    <w:p>
      <w:pPr>
        <w:ind w:left="340" w:right="20" w:firstLine="316"/>
        <w:spacing w:after="0" w:line="275" w:lineRule="auto"/>
        <w:tabs>
          <w:tab w:leader="none" w:pos="88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that is licensed as an investment advisor, as such term is defined in Section 7(c) of the Law for the Regulation of Investment Advisors and Portfolio Managers, 5755-1995, acting on its own account;</w:t>
      </w:r>
    </w:p>
    <w:p>
      <w:pPr>
        <w:spacing w:after="0" w:line="173" w:lineRule="exact"/>
        <w:rPr>
          <w:rFonts w:ascii="Times New Roman" w:cs="Times New Roman" w:eastAsia="Times New Roman" w:hAnsi="Times New Roman"/>
          <w:sz w:val="18"/>
          <w:szCs w:val="18"/>
          <w:color w:val="auto"/>
        </w:rPr>
      </w:pPr>
    </w:p>
    <w:p>
      <w:pPr>
        <w:ind w:left="340" w:right="240" w:firstLine="316"/>
        <w:spacing w:after="0" w:line="275" w:lineRule="auto"/>
        <w:tabs>
          <w:tab w:leader="none" w:pos="91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that is a member of the Tel Aviv Stock Exchange, acting on its own account or for the account of investors of the type listed in Section 15A(b) of the Securities Law 1968;</w:t>
      </w:r>
    </w:p>
    <w:p>
      <w:pPr>
        <w:spacing w:after="0" w:line="173"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underwriter fulfilling the conditions of Section 56(c) of the Securities Law, 5728-1968;</w:t>
      </w:r>
    </w:p>
    <w:p>
      <w:pPr>
        <w:spacing w:after="0" w:line="225" w:lineRule="exact"/>
        <w:rPr>
          <w:rFonts w:ascii="Times New Roman" w:cs="Times New Roman" w:eastAsia="Times New Roman" w:hAnsi="Times New Roman"/>
          <w:sz w:val="18"/>
          <w:szCs w:val="18"/>
          <w:color w:val="auto"/>
        </w:rPr>
      </w:pPr>
    </w:p>
    <w:p>
      <w:pPr>
        <w:ind w:left="340" w:firstLine="316"/>
        <w:spacing w:after="0" w:line="275" w:lineRule="auto"/>
        <w:tabs>
          <w:tab w:leader="none" w:pos="87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venture capital fund (defined as an entity primarily involved in investments in companies which, at the time of investment, (i) are primarily engaged in research and development or manufacture of new technological products or processes and (ii) involve above-average risk);</w:t>
      </w:r>
    </w:p>
    <w:p>
      <w:pPr>
        <w:spacing w:after="0" w:line="173"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primarily engaged in capital markets activities in which all of the equity owners meet one or more of the above criteria; and</w:t>
      </w:r>
    </w:p>
    <w:p>
      <w:pPr>
        <w:spacing w:after="0" w:line="225" w:lineRule="exact"/>
        <w:rPr>
          <w:rFonts w:ascii="Times New Roman" w:cs="Times New Roman" w:eastAsia="Times New Roman" w:hAnsi="Times New Roman"/>
          <w:sz w:val="18"/>
          <w:szCs w:val="18"/>
          <w:color w:val="auto"/>
        </w:rPr>
      </w:pPr>
    </w:p>
    <w:p>
      <w:pPr>
        <w:ind w:left="340" w:right="40" w:firstLine="316"/>
        <w:spacing w:after="0" w:line="262" w:lineRule="auto"/>
        <w:tabs>
          <w:tab w:leader="none" w:pos="91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other than an entity formed for the purpose of purchasing securities in this offering, in which the shareholders equity (including pursuant to foreign accounting rules, international accounting regulations and U.S. generally accepted accounting rules, as defined in the Securities Law Regulations (Preparation of Annual Financial Statements), 1993) is in excess of NIS 50 million.</w:t>
      </w:r>
    </w:p>
    <w:p>
      <w:pPr>
        <w:spacing w:after="0" w:line="18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Any offeree of the securities offered hereby in the State of Israel shall be required to submit written confirmation that it falls within the scope of one of the above criteria. This prospectus will not be distributed or directed to investors in the State of Israel who do not fall within one of the above criteria.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Canada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subject to this offering are not qualified for sale in Canada and may not be offered or sold in Canada, directly or indirectly, on our behalf.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120" w:name="page121"/>
    <w:bookmarkEnd w:id="120"/>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LEGAL MATTERS</w:t>
      </w:r>
    </w:p>
    <w:p>
      <w:pPr>
        <w:spacing w:after="0" w:line="221"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8"/>
          <w:szCs w:val="18"/>
          <w:color w:val="auto"/>
        </w:rPr>
        <w:t>The validity of the securities offered by this prospectus will be passed upon by Disclosure Law Group, a Professional Corporation, San Diego, California (</w:t>
      </w:r>
      <w:r>
        <w:rPr>
          <w:rFonts w:ascii="Times New Roman" w:cs="Times New Roman" w:eastAsia="Times New Roman" w:hAnsi="Times New Roman"/>
          <w:sz w:val="18"/>
          <w:szCs w:val="18"/>
          <w:i w:val="1"/>
          <w:iCs w:val="1"/>
          <w:color w:val="auto"/>
        </w:rPr>
        <w:t>DLG</w:t>
      </w:r>
      <w:r>
        <w:rPr>
          <w:rFonts w:ascii="Times New Roman" w:cs="Times New Roman" w:eastAsia="Times New Roman" w:hAnsi="Times New Roman"/>
          <w:sz w:val="18"/>
          <w:szCs w:val="18"/>
          <w:color w:val="auto"/>
        </w:rPr>
        <w:t>). Partners of DLG beneficially own an aggregate of 84,487 registered and/or restricted shares of our common stock. Lowenstein Sandler LLP, New York, NY, is acting as counsel for the underwriters in connection with this offering.</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EXPERTS</w:t>
      </w:r>
    </w:p>
    <w:p>
      <w:pPr>
        <w:spacing w:after="0" w:line="223" w:lineRule="exact"/>
        <w:rPr>
          <w:sz w:val="20"/>
          <w:szCs w:val="20"/>
          <w:color w:val="auto"/>
        </w:rPr>
      </w:pPr>
    </w:p>
    <w:p>
      <w:pPr>
        <w:jc w:val="both"/>
        <w:ind w:right="320"/>
        <w:spacing w:after="0" w:line="262" w:lineRule="auto"/>
        <w:rPr>
          <w:sz w:val="20"/>
          <w:szCs w:val="20"/>
          <w:color w:val="auto"/>
        </w:rPr>
      </w:pPr>
      <w:r>
        <w:rPr>
          <w:rFonts w:ascii="Times New Roman" w:cs="Times New Roman" w:eastAsia="Times New Roman" w:hAnsi="Times New Roman"/>
          <w:sz w:val="18"/>
          <w:szCs w:val="18"/>
          <w:color w:val="auto"/>
        </w:rPr>
        <w:t>The financial statements as of March 31, 2017 and 2016, and for the years then ended, included in this prospectus, have been audited by OUM &amp; Co.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WHERE YOU CAN FIND MORE INFORMATION</w:t>
      </w:r>
    </w:p>
    <w:p>
      <w:pPr>
        <w:spacing w:after="0" w:line="22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a public company and file annual, quarterly and special reports, proxy statements and other information with the SEC. You may read and copy any document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Our SEC filings are also available, at no charge, to the public at the SEC’s website at http://www.sec.gov.</w:t>
      </w:r>
    </w:p>
    <w:p>
      <w:pPr>
        <w:spacing w:after="0" w:line="1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common stock being offered by us under this prospectus. This prospectus is part of that registration statement. This prospectus does not contain all of the information set forth in the registration statement or the exhibits to the registration statement. For further information with respect to us and the securities we are offering pursuant to this prospectus, you should refer to the registration statement and its exhibits. Statements contained in this prospectus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public reference facilities and Internet site referred to above.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121" w:name="page122"/>
    <w:bookmarkEnd w:id="121"/>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2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4"/>
        </w:trPr>
        <w:tc>
          <w:tcPr>
            <w:tcW w:w="102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for the years ended March 31, 2017 and 2016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260" w:type="dxa"/>
            <w:vAlign w:val="bottom"/>
            <w:gridSpan w:val="10"/>
            <w:shd w:val="clear" w:color="auto" w:fill="CCEEFF"/>
          </w:tcPr>
          <w:p>
            <w:pPr>
              <w:spacing w:after="0" w:line="177" w:lineRule="exact"/>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Report of Independent Registered Public Accounting Firm</w:t>
              </w:r>
            </w:hyperlink>
          </w:p>
        </w:tc>
        <w:tc>
          <w:tcPr>
            <w:tcW w:w="1140" w:type="dxa"/>
            <w:vAlign w:val="bottom"/>
            <w:shd w:val="clear" w:color="auto" w:fill="CCEEFF"/>
          </w:tcPr>
          <w:p>
            <w:pPr>
              <w:jc w:val="center"/>
              <w:ind w:left="12"/>
              <w:spacing w:after="0" w:line="177" w:lineRule="exact"/>
              <w:rPr>
                <w:sz w:val="20"/>
                <w:szCs w:val="20"/>
                <w:color w:val="auto"/>
              </w:rPr>
            </w:pPr>
            <w:r>
              <w:rPr>
                <w:rFonts w:ascii="Times New Roman" w:cs="Times New Roman" w:eastAsia="Times New Roman" w:hAnsi="Times New Roman"/>
                <w:sz w:val="18"/>
                <w:szCs w:val="18"/>
                <w:color w:val="auto"/>
                <w:w w:val="95"/>
              </w:rPr>
              <w:t>F-1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tcBorders>
              <w:top w:val="single" w:sz="8" w:color="0000EE"/>
            </w:tcBorders>
            <w:gridSpan w:val="7"/>
          </w:tcPr>
          <w:p>
            <w:pPr>
              <w:spacing w:after="0" w:line="176" w:lineRule="exact"/>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Consolidated Balance Sheets</w:t>
              </w:r>
            </w:hyperlink>
          </w:p>
        </w:tc>
        <w:tc>
          <w:tcPr>
            <w:tcW w:w="6120" w:type="dxa"/>
            <w:vAlign w:val="bottom"/>
            <w:tcBorders>
              <w:top w:val="single" w:sz="8" w:color="CCEEFF"/>
            </w:tcBorders>
            <w:gridSpan w:val="3"/>
          </w:tcPr>
          <w:p>
            <w:pPr>
              <w:spacing w:after="0"/>
              <w:rPr>
                <w:sz w:val="15"/>
                <w:szCs w:val="15"/>
                <w:color w:val="auto"/>
              </w:rPr>
            </w:pPr>
          </w:p>
        </w:tc>
        <w:tc>
          <w:tcPr>
            <w:tcW w:w="1140" w:type="dxa"/>
            <w:vAlign w:val="bottom"/>
            <w:tcBorders>
              <w:top w:val="single" w:sz="8" w:color="CCEEFF"/>
            </w:tcBorders>
          </w:tcPr>
          <w:p>
            <w:pPr>
              <w:jc w:val="center"/>
              <w:ind w:left="12"/>
              <w:spacing w:after="0" w:line="176" w:lineRule="exact"/>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w w:val="97"/>
              </w:rPr>
            </w:pPr>
            <w:hyperlink w:anchor="page125">
              <w:r>
                <w:rPr>
                  <w:rFonts w:ascii="Times New Roman" w:cs="Times New Roman" w:eastAsia="Times New Roman" w:hAnsi="Times New Roman"/>
                  <w:sz w:val="18"/>
                  <w:szCs w:val="18"/>
                  <w:color w:val="0000EE"/>
                  <w:w w:val="97"/>
                </w:rPr>
                <w:t>Consolidated Statements of Operations and Comprehensive Loss</w:t>
              </w:r>
            </w:hyperlink>
          </w:p>
        </w:tc>
        <w:tc>
          <w:tcPr>
            <w:tcW w:w="5700" w:type="dxa"/>
            <w:vAlign w:val="bottom"/>
            <w:tcBorders>
              <w:bottom w:val="single" w:sz="8" w:color="CCEEFF"/>
            </w:tcBorders>
            <w:gridSpan w:val="2"/>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ind w:left="12"/>
              <w:spacing w:after="0" w:line="176" w:lineRule="exact"/>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10"/>
          </w:tcPr>
          <w:p>
            <w:pPr>
              <w:spacing w:after="0" w:line="176" w:lineRule="exact"/>
              <w:rPr>
                <w:rFonts w:ascii="Times New Roman" w:cs="Times New Roman" w:eastAsia="Times New Roman" w:hAnsi="Times New Roman"/>
                <w:sz w:val="18"/>
                <w:szCs w:val="18"/>
                <w:color w:val="0000EE"/>
              </w:rPr>
            </w:pPr>
            <w:hyperlink w:anchor="page126">
              <w:r>
                <w:rPr>
                  <w:rFonts w:ascii="Times New Roman" w:cs="Times New Roman" w:eastAsia="Times New Roman" w:hAnsi="Times New Roman"/>
                  <w:sz w:val="18"/>
                  <w:szCs w:val="18"/>
                  <w:color w:val="0000EE"/>
                </w:rPr>
                <w:t>Consolidated Statements of Cash Flows</w:t>
              </w:r>
            </w:hyperlink>
          </w:p>
        </w:tc>
        <w:tc>
          <w:tcPr>
            <w:tcW w:w="1140" w:type="dxa"/>
            <w:vAlign w:val="bottom"/>
          </w:tcPr>
          <w:p>
            <w:pPr>
              <w:jc w:val="center"/>
              <w:ind w:left="12"/>
              <w:spacing w:after="0" w:line="176"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8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6"/>
              </w:rPr>
            </w:pPr>
            <w:hyperlink w:anchor="page127">
              <w:r>
                <w:rPr>
                  <w:rFonts w:ascii="Times New Roman" w:cs="Times New Roman" w:eastAsia="Times New Roman" w:hAnsi="Times New Roman"/>
                  <w:sz w:val="18"/>
                  <w:szCs w:val="18"/>
                  <w:color w:val="0000EE"/>
                  <w:w w:val="96"/>
                </w:rPr>
                <w:t>Consolidated Statements of Stockholders' Equity (Deficit)</w:t>
              </w:r>
            </w:hyperlink>
          </w:p>
        </w:tc>
        <w:tc>
          <w:tcPr>
            <w:tcW w:w="6180" w:type="dxa"/>
            <w:vAlign w:val="bottom"/>
            <w:tcBorders>
              <w:bottom w:val="single" w:sz="8" w:color="CCEEFF"/>
            </w:tcBorders>
            <w:gridSpan w:val="4"/>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ind w:left="12"/>
              <w:spacing w:after="0" w:line="17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10"/>
          </w:tcPr>
          <w:p>
            <w:pPr>
              <w:spacing w:after="0" w:line="176" w:lineRule="exact"/>
              <w:rPr>
                <w:rFonts w:ascii="Times New Roman" w:cs="Times New Roman" w:eastAsia="Times New Roman" w:hAnsi="Times New Roman"/>
                <w:sz w:val="18"/>
                <w:szCs w:val="18"/>
                <w:color w:val="0000EE"/>
              </w:rPr>
            </w:pPr>
            <w:hyperlink w:anchor="page129">
              <w:r>
                <w:rPr>
                  <w:rFonts w:ascii="Times New Roman" w:cs="Times New Roman" w:eastAsia="Times New Roman" w:hAnsi="Times New Roman"/>
                  <w:sz w:val="18"/>
                  <w:szCs w:val="18"/>
                  <w:color w:val="0000EE"/>
                </w:rPr>
                <w:t>Notes to Consolidated Financial Statements</w:t>
              </w:r>
            </w:hyperlink>
          </w:p>
        </w:tc>
        <w:tc>
          <w:tcPr>
            <w:tcW w:w="1140" w:type="dxa"/>
            <w:vAlign w:val="bottom"/>
          </w:tcPr>
          <w:p>
            <w:pPr>
              <w:jc w:val="center"/>
              <w:ind w:left="12"/>
              <w:spacing w:after="0" w:line="17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Financial statements for the three- and six-month periods ended September 30, 2017 and 2016 (Unaudited)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Condensed Consolidated Balance Sheets</w:t>
            </w:r>
          </w:p>
        </w:tc>
        <w:tc>
          <w:tcPr>
            <w:tcW w:w="7400" w:type="dxa"/>
            <w:vAlign w:val="bottom"/>
            <w:tcBorders>
              <w:bottom w:val="single" w:sz="8" w:color="CCEEFF"/>
            </w:tcBorders>
            <w:gridSpan w:val="7"/>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ind w:left="12"/>
              <w:spacing w:after="0" w:line="176" w:lineRule="exact"/>
              <w:rPr>
                <w:sz w:val="20"/>
                <w:szCs w:val="20"/>
                <w:color w:val="auto"/>
              </w:rPr>
            </w:pPr>
            <w:r>
              <w:rPr>
                <w:rFonts w:ascii="Times New Roman" w:cs="Times New Roman" w:eastAsia="Times New Roman" w:hAnsi="Times New Roman"/>
                <w:sz w:val="18"/>
                <w:szCs w:val="18"/>
                <w:color w:val="auto"/>
                <w:w w:val="93"/>
              </w:rPr>
              <w:t>F-34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Loss</w:t>
            </w:r>
          </w:p>
        </w:tc>
        <w:tc>
          <w:tcPr>
            <w:tcW w:w="1140" w:type="dxa"/>
            <w:vAlign w:val="bottom"/>
          </w:tcPr>
          <w:p>
            <w:pPr>
              <w:jc w:val="center"/>
              <w:ind w:left="12"/>
              <w:spacing w:after="0" w:line="176" w:lineRule="exact"/>
              <w:rPr>
                <w:sz w:val="20"/>
                <w:szCs w:val="20"/>
                <w:color w:val="auto"/>
              </w:rPr>
            </w:pPr>
            <w:r>
              <w:rPr>
                <w:rFonts w:ascii="Times New Roman" w:cs="Times New Roman" w:eastAsia="Times New Roman" w:hAnsi="Times New Roman"/>
                <w:sz w:val="18"/>
                <w:szCs w:val="18"/>
                <w:color w:val="auto"/>
                <w:w w:val="93"/>
              </w:rPr>
              <w:t>F-35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Condensed Consolidated Statements of Cash Flows</w:t>
            </w:r>
          </w:p>
        </w:tc>
        <w:tc>
          <w:tcPr>
            <w:tcW w:w="6640" w:type="dxa"/>
            <w:vAlign w:val="bottom"/>
            <w:tcBorders>
              <w:bottom w:val="single" w:sz="8" w:color="CCEEFF"/>
            </w:tcBorders>
            <w:gridSpan w:val="5"/>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ind w:left="12"/>
              <w:spacing w:after="0" w:line="176" w:lineRule="exact"/>
              <w:rPr>
                <w:sz w:val="20"/>
                <w:szCs w:val="20"/>
                <w:color w:val="auto"/>
              </w:rPr>
            </w:pPr>
            <w:r>
              <w:rPr>
                <w:rFonts w:ascii="Times New Roman" w:cs="Times New Roman" w:eastAsia="Times New Roman" w:hAnsi="Times New Roman"/>
                <w:sz w:val="18"/>
                <w:szCs w:val="18"/>
                <w:color w:val="auto"/>
                <w:w w:val="93"/>
              </w:rPr>
              <w:t>F-36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w:t>
            </w:r>
          </w:p>
        </w:tc>
        <w:tc>
          <w:tcPr>
            <w:tcW w:w="1140" w:type="dxa"/>
            <w:vAlign w:val="bottom"/>
          </w:tcPr>
          <w:p>
            <w:pPr>
              <w:jc w:val="center"/>
              <w:ind w:left="12"/>
              <w:spacing w:after="0" w:line="176" w:lineRule="exact"/>
              <w:rPr>
                <w:sz w:val="20"/>
                <w:szCs w:val="20"/>
                <w:color w:val="auto"/>
              </w:rPr>
            </w:pPr>
            <w:r>
              <w:rPr>
                <w:rFonts w:ascii="Times New Roman" w:cs="Times New Roman" w:eastAsia="Times New Roman" w:hAnsi="Times New Roman"/>
                <w:sz w:val="18"/>
                <w:szCs w:val="18"/>
                <w:color w:val="auto"/>
                <w:w w:val="93"/>
              </w:rPr>
              <w:t>F-3y</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22" w:name="page123"/>
    <w:bookmarkEnd w:id="122"/>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38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1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VistaGen Therapeutics, Inc. as of March 31, 2017 and 2016 and the related consolidated statements of operations and comprehensive loss, cash flows, and stockholders’ equity (deficit) for each of the two fiscal years in the period ended March 31, 2017. These financial statements are the responsibility of the Company's management. Our responsibility is to express an opinion on these consolidated financial statements based on our audits.</w:t>
      </w:r>
    </w:p>
    <w:p>
      <w:pPr>
        <w:spacing w:after="0" w:line="190"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consolidated financial position of VistaGen Therapeutics, Inc. at March 31, 2017 and 2016, and the consolidated results of its operations and its cash flows for each of the two fiscal years in the period ended March 31, 2017, in conformity with U.S. generally accepted accounting principles.</w:t>
      </w:r>
    </w:p>
    <w:p>
      <w:pPr>
        <w:spacing w:after="0" w:line="1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Company has not yet generated sustainable revenues, has suffered recurring losses and negative cash flows from operations and has minimal stockholders’ equity, all of which raise substantial doubt about its ability to continue as a going concern. The consolidated financial statements do not include any adjustments that might result from the outcome of this uncertainty.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OUM &amp; Co.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07"/>
        </w:trPr>
        <w:tc>
          <w:tcPr>
            <w:tcW w:w="8820" w:type="dxa"/>
            <w:vAlign w:val="bottom"/>
            <w:gridSpan w:val="3"/>
          </w:tcPr>
          <w:p>
            <w:pPr>
              <w:spacing w:after="0"/>
              <w:rPr>
                <w:rFonts w:ascii="Times New Roman" w:cs="Times New Roman" w:eastAsia="Times New Roman" w:hAnsi="Times New Roman"/>
                <w:sz w:val="18"/>
                <w:szCs w:val="18"/>
                <w:i w:val="1"/>
                <w:iCs w:val="1"/>
                <w:color w:val="0000EE"/>
              </w:rPr>
            </w:pPr>
            <w:hyperlink w:anchor="page5">
              <w:r>
                <w:rPr>
                  <w:rFonts w:ascii="Times New Roman" w:cs="Times New Roman" w:eastAsia="Times New Roman" w:hAnsi="Times New Roman"/>
                  <w:sz w:val="18"/>
                  <w:szCs w:val="18"/>
                  <w:i w:val="1"/>
                  <w:iCs w:val="1"/>
                  <w:color w:val="0000EE"/>
                </w:rPr>
                <w:t>Table of Contents</w:t>
              </w:r>
            </w:hyperlink>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7"/>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7580" w:type="dxa"/>
            <w:vAlign w:val="bottom"/>
          </w:tcPr>
          <w:p>
            <w:pPr>
              <w:jc w:val="center"/>
              <w:ind w:left="1292"/>
              <w:spacing w:after="0"/>
              <w:rPr>
                <w:sz w:val="20"/>
                <w:szCs w:val="20"/>
                <w:color w:val="auto"/>
              </w:rPr>
            </w:pPr>
            <w:r>
              <w:rPr>
                <w:rFonts w:ascii="Times New Roman" w:cs="Times New Roman" w:eastAsia="Times New Roman" w:hAnsi="Times New Roman"/>
                <w:sz w:val="18"/>
                <w:szCs w:val="18"/>
                <w:b w:val="1"/>
                <w:bCs w:val="1"/>
                <w:color w:val="auto"/>
                <w:w w:val="97"/>
              </w:rPr>
              <w:t>VISTAGEN THERAPEUTICS, INC.</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80" w:type="dxa"/>
            <w:vAlign w:val="bottom"/>
          </w:tcPr>
          <w:p>
            <w:pPr>
              <w:jc w:val="center"/>
              <w:ind w:left="1292"/>
              <w:spacing w:after="0"/>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80" w:type="dxa"/>
            <w:vAlign w:val="bottom"/>
          </w:tcPr>
          <w:p>
            <w:pPr>
              <w:jc w:val="center"/>
              <w:ind w:left="1272"/>
              <w:spacing w:after="0"/>
              <w:rPr>
                <w:sz w:val="20"/>
                <w:szCs w:val="20"/>
                <w:color w:val="auto"/>
              </w:rPr>
            </w:pPr>
            <w:r>
              <w:rPr>
                <w:rFonts w:ascii="Times New Roman" w:cs="Times New Roman" w:eastAsia="Times New Roman" w:hAnsi="Times New Roman"/>
                <w:sz w:val="18"/>
                <w:szCs w:val="18"/>
                <w:b w:val="1"/>
                <w:bCs w:val="1"/>
                <w:color w:val="auto"/>
                <w:w w:val="97"/>
              </w:rPr>
              <w:t>(Amounts in dollars, except share amounts)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8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456,600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3,377,900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Security deposits and other assets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3,712,200</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867,300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Current portion of notes payable and accrued interest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1,367,500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1,794,700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Notes payable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Accrued dividends on Series B Preferred Stock</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1,577,800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rent liability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1,728,900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2,172,300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3,096,400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at March 31, 2017 and March 31, 2016: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Series A Preferred, 500,000 shares authorized and outstanding at March 31, 2017 and March 31, 2016</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shd w:val="clear" w:color="auto" w:fill="CCEEFF"/>
          </w:tcPr>
          <w:p>
            <w:pPr>
              <w:ind w:left="320"/>
              <w:spacing w:after="0" w:line="201" w:lineRule="exact"/>
              <w:rPr>
                <w:sz w:val="20"/>
                <w:szCs w:val="20"/>
                <w:color w:val="auto"/>
              </w:rPr>
            </w:pPr>
            <w:r>
              <w:rPr>
                <w:rFonts w:ascii="Times New Roman" w:cs="Times New Roman" w:eastAsia="Times New Roman" w:hAnsi="Times New Roman"/>
                <w:sz w:val="18"/>
                <w:szCs w:val="18"/>
                <w:color w:val="auto"/>
              </w:rPr>
              <w:t>Series B Preferred; 4,000,000 shares authorized at March 31, 2017 and March 31, 2016; 1,160,240 shares and</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3,663,077 shares issued and outstanding at March 31, 2017 and March 31, 2016, respectively</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tcPr>
          <w:p>
            <w:pPr>
              <w:ind w:left="480"/>
              <w:spacing w:after="0" w:line="201" w:lineRule="exact"/>
              <w:rPr>
                <w:sz w:val="20"/>
                <w:szCs w:val="20"/>
                <w:color w:val="auto"/>
              </w:rPr>
            </w:pPr>
            <w:r>
              <w:rPr>
                <w:rFonts w:ascii="Times New Roman" w:cs="Times New Roman" w:eastAsia="Times New Roman" w:hAnsi="Times New Roman"/>
                <w:sz w:val="18"/>
                <w:szCs w:val="18"/>
                <w:color w:val="auto"/>
                <w:w w:val="98"/>
              </w:rPr>
              <w:t>Series C Preferred: 3,000,000 shares authorized at March 31, 2017 and March 31, 2017; 2,318,012 shares issued and</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outstanding at March 31, 2017 and March 31, 2016</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Common stock, $0.001 par value; 30,000,000 shares authorized at March 31, 2017 and March 31, 2016;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8,974,386 and 2,623,145 shares issued at March 31, 2017 and March 31, 2016, respectively</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146,569,600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132,725,000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Treasury stock, at cost, 135,665 shares of common stock held at March 31, 2017 and March 31, 2016</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(3,968,100)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(3,968,100)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(141,998,700)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(131,743,200)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(2,977,200)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3,712,200</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24" w:name="page125"/>
    <w:bookmarkEnd w:id="124"/>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dollars, except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Sublicense fees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5,203,700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6,294,800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13,918,600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11,498,500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17,850,200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(10,248,500)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(17,850,200)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warrant liability</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(26,700,200)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(10,253,100)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(47,218,200)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(10,255,500)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(47,220,500)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dividend on Series B Preferred stock</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(2,140,500)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Deemed dividend on Series B Preferred Units</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(111,100)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(2,058,000)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(11,623,600)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(51,419,000)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attributable to common stockholders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 common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computing basic and diluted net loss attributable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common stockholders per common share</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7,531,642</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1,767,957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07"/>
        </w:trPr>
        <w:tc>
          <w:tcPr>
            <w:tcW w:w="8820" w:type="dxa"/>
            <w:vAlign w:val="bottom"/>
            <w:gridSpan w:val="2"/>
          </w:tcPr>
          <w:p>
            <w:pPr>
              <w:spacing w:after="0"/>
              <w:rPr>
                <w:rFonts w:ascii="Times New Roman" w:cs="Times New Roman" w:eastAsia="Times New Roman" w:hAnsi="Times New Roman"/>
                <w:sz w:val="18"/>
                <w:szCs w:val="18"/>
                <w:i w:val="1"/>
                <w:iCs w:val="1"/>
                <w:color w:val="0000EE"/>
              </w:rPr>
            </w:pPr>
            <w:hyperlink w:anchor="page5">
              <w:r>
                <w:rPr>
                  <w:rFonts w:ascii="Times New Roman" w:cs="Times New Roman" w:eastAsia="Times New Roman" w:hAnsi="Times New Roman"/>
                  <w:sz w:val="18"/>
                  <w:szCs w:val="18"/>
                  <w:i w:val="1"/>
                  <w:iCs w:val="1"/>
                  <w:color w:val="0000EE"/>
                </w:rPr>
                <w:t>Table of Contents</w:t>
              </w:r>
            </w:hyperlink>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67"/>
        </w:trPr>
        <w:tc>
          <w:tcPr>
            <w:tcW w:w="1240" w:type="dxa"/>
            <w:vAlign w:val="bottom"/>
            <w:tcBorders>
              <w:top w:val="single" w:sz="8" w:color="0000EE"/>
            </w:tcBorders>
          </w:tcPr>
          <w:p>
            <w:pPr>
              <w:spacing w:after="0"/>
              <w:rPr>
                <w:sz w:val="24"/>
                <w:szCs w:val="24"/>
                <w:color w:val="auto"/>
              </w:rPr>
            </w:pPr>
          </w:p>
        </w:tc>
        <w:tc>
          <w:tcPr>
            <w:tcW w:w="7580" w:type="dxa"/>
            <w:vAlign w:val="bottom"/>
          </w:tcPr>
          <w:p>
            <w:pPr>
              <w:jc w:val="center"/>
              <w:ind w:left="1272"/>
              <w:spacing w:after="0"/>
              <w:rPr>
                <w:sz w:val="20"/>
                <w:szCs w:val="20"/>
                <w:color w:val="auto"/>
              </w:rPr>
            </w:pPr>
            <w:r>
              <w:rPr>
                <w:rFonts w:ascii="Times New Roman" w:cs="Times New Roman" w:eastAsia="Times New Roman" w:hAnsi="Times New Roman"/>
                <w:sz w:val="18"/>
                <w:szCs w:val="18"/>
                <w:b w:val="1"/>
                <w:bCs w:val="1"/>
                <w:color w:val="auto"/>
                <w:w w:val="96"/>
              </w:rPr>
              <w:t>VISTAGEN THERAPEUTICS, INC.</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8"/>
        </w:trPr>
        <w:tc>
          <w:tcPr>
            <w:tcW w:w="1240" w:type="dxa"/>
            <w:vAlign w:val="bottom"/>
          </w:tcPr>
          <w:p>
            <w:pPr>
              <w:spacing w:after="0"/>
              <w:rPr>
                <w:sz w:val="24"/>
                <w:szCs w:val="24"/>
                <w:color w:val="auto"/>
              </w:rPr>
            </w:pPr>
          </w:p>
        </w:tc>
        <w:tc>
          <w:tcPr>
            <w:tcW w:w="7580" w:type="dxa"/>
            <w:vAlign w:val="bottom"/>
          </w:tcPr>
          <w:p>
            <w:pPr>
              <w:jc w:val="center"/>
              <w:ind w:left="1292"/>
              <w:spacing w:after="0"/>
              <w:rPr>
                <w:sz w:val="20"/>
                <w:szCs w:val="20"/>
                <w:color w:val="auto"/>
              </w:rPr>
            </w:pPr>
            <w:r>
              <w:rPr>
                <w:rFonts w:ascii="Times New Roman" w:cs="Times New Roman" w:eastAsia="Times New Roman" w:hAnsi="Times New Roman"/>
                <w:sz w:val="18"/>
                <w:szCs w:val="18"/>
                <w:b w:val="1"/>
                <w:bCs w:val="1"/>
                <w:color w:val="auto"/>
                <w:w w:val="96"/>
              </w:rPr>
              <w:t>CONSOLIDATED STATEMENTS OF CASH FLOWS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7580" w:type="dxa"/>
            <w:vAlign w:val="bottom"/>
          </w:tcPr>
          <w:p>
            <w:pPr>
              <w:jc w:val="center"/>
              <w:ind w:left="1272"/>
              <w:spacing w:after="0"/>
              <w:rPr>
                <w:sz w:val="20"/>
                <w:szCs w:val="20"/>
                <w:color w:val="auto"/>
              </w:rPr>
            </w:pPr>
            <w:r>
              <w:rPr>
                <w:rFonts w:ascii="Times New Roman" w:cs="Times New Roman" w:eastAsia="Times New Roman" w:hAnsi="Times New Roman"/>
                <w:sz w:val="18"/>
                <w:szCs w:val="18"/>
                <w:b w:val="1"/>
                <w:bCs w:val="1"/>
                <w:color w:val="auto"/>
                <w:w w:val="96"/>
              </w:rPr>
              <w:t>(Amounts in dollars)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8"/>
        </w:trPr>
        <w:tc>
          <w:tcPr>
            <w:tcW w:w="12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Fiscal Years Ended</w:t>
            </w:r>
          </w:p>
        </w:tc>
      </w:tr>
      <w:tr>
        <w:trPr>
          <w:trHeight w:val="239"/>
        </w:trPr>
        <w:tc>
          <w:tcPr>
            <w:tcW w:w="124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23"/>
        </w:trPr>
        <w:tc>
          <w:tcPr>
            <w:tcW w:w="124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19"/>
                <w:szCs w:val="19"/>
                <w:color w:val="auto"/>
              </w:rPr>
            </w:pPr>
          </w:p>
        </w:tc>
      </w:tr>
      <w:tr>
        <w:trPr>
          <w:trHeight w:val="215"/>
        </w:trPr>
        <w:tc>
          <w:tcPr>
            <w:tcW w:w="8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7"/>
        </w:trPr>
        <w:tc>
          <w:tcPr>
            <w:tcW w:w="8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(10,255,500)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(47,220,500)</w:t>
            </w:r>
          </w:p>
        </w:tc>
      </w:tr>
      <w:tr>
        <w:trPr>
          <w:trHeight w:val="216"/>
        </w:trPr>
        <w:tc>
          <w:tcPr>
            <w:tcW w:w="8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Amortization of discounts on convertible and promissory notes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 in warrant liability</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1,894,700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4,041,400</w:t>
            </w:r>
          </w:p>
        </w:tc>
        <w:tc>
          <w:tcPr>
            <w:tcW w:w="140" w:type="dxa"/>
            <w:vAlign w:val="bottom"/>
          </w:tcPr>
          <w:p>
            <w:pPr>
              <w:spacing w:after="0"/>
              <w:rPr>
                <w:sz w:val="18"/>
                <w:szCs w:val="18"/>
                <w:color w:val="auto"/>
              </w:rPr>
            </w:pPr>
          </w:p>
        </w:tc>
      </w:tr>
      <w:tr>
        <w:trPr>
          <w:trHeight w:val="202"/>
        </w:trPr>
        <w:tc>
          <w:tcPr>
            <w:tcW w:w="8820" w:type="dxa"/>
            <w:vAlign w:val="bottom"/>
            <w:gridSpan w:val="2"/>
            <w:shd w:val="clear" w:color="auto" w:fill="CCEEFF"/>
          </w:tcPr>
          <w:p>
            <w:pPr>
              <w:ind w:left="500"/>
              <w:spacing w:after="0" w:line="201" w:lineRule="exact"/>
              <w:rPr>
                <w:sz w:val="20"/>
                <w:szCs w:val="20"/>
                <w:color w:val="auto"/>
              </w:rPr>
            </w:pPr>
            <w:r>
              <w:rPr>
                <w:rFonts w:ascii="Times New Roman" w:cs="Times New Roman" w:eastAsia="Times New Roman" w:hAnsi="Times New Roman"/>
                <w:sz w:val="18"/>
                <w:szCs w:val="18"/>
                <w:color w:val="auto"/>
              </w:rPr>
              <w:t>Expense related to modification of warrants, including exchange of warrants  for Series C Preferred and common</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8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427,500</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6,218,000</w:t>
            </w:r>
          </w:p>
        </w:tc>
        <w:tc>
          <w:tcPr>
            <w:tcW w:w="140" w:type="dxa"/>
            <w:vAlign w:val="bottom"/>
            <w:shd w:val="clear" w:color="auto" w:fill="CCEEFF"/>
          </w:tcPr>
          <w:p>
            <w:pPr>
              <w:spacing w:after="0"/>
              <w:rPr>
                <w:sz w:val="20"/>
                <w:szCs w:val="20"/>
                <w:color w:val="auto"/>
              </w:rPr>
            </w:pPr>
          </w:p>
        </w:tc>
      </w:tr>
      <w:tr>
        <w:trPr>
          <w:trHeight w:val="216"/>
        </w:trPr>
        <w:tc>
          <w:tcPr>
            <w:tcW w:w="8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Amortization of deferred rent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(27,500)</w:t>
            </w:r>
          </w:p>
        </w:tc>
      </w:tr>
      <w:tr>
        <w:trPr>
          <w:trHeight w:val="216"/>
        </w:trPr>
        <w:tc>
          <w:tcPr>
            <w:tcW w:w="8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Fair value of common stock granted for services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1,640,100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829,200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Fair value of Series B Preferred stock granted for services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1,382,500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Fair value of warrants granted for services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1,280,800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Gain on currency fluctuation</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(6,400)</w:t>
            </w:r>
          </w:p>
        </w:tc>
      </w:tr>
      <w:tr>
        <w:trPr>
          <w:trHeight w:val="216"/>
        </w:trPr>
        <w:tc>
          <w:tcPr>
            <w:tcW w:w="8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26,700,200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Loss on disposition of fixed assets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Prepaid expenses, security deposit and other current assets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(227,700)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 including accrued interest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(451,700)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(547,200)</w:t>
            </w:r>
          </w:p>
        </w:tc>
      </w:tr>
      <w:tr>
        <w:trPr>
          <w:trHeight w:val="27"/>
        </w:trPr>
        <w:tc>
          <w:tcPr>
            <w:tcW w:w="124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88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(7,262,100)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(4,808,500)</w:t>
            </w:r>
          </w:p>
        </w:tc>
      </w:tr>
      <w:tr>
        <w:trPr>
          <w:trHeight w:val="216"/>
        </w:trPr>
        <w:tc>
          <w:tcPr>
            <w:tcW w:w="12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Purchases of equipment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(239,100)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(26,300)</w:t>
            </w:r>
          </w:p>
        </w:tc>
      </w:tr>
      <w:tr>
        <w:trPr>
          <w:trHeight w:val="27"/>
        </w:trPr>
        <w:tc>
          <w:tcPr>
            <w:tcW w:w="124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8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(239,100)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(26,300)</w:t>
            </w:r>
          </w:p>
        </w:tc>
      </w:tr>
      <w:tr>
        <w:trPr>
          <w:trHeight w:val="216"/>
        </w:trPr>
        <w:tc>
          <w:tcPr>
            <w:tcW w:w="12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proceeds from issuance of common stock and warrants, including Units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9,899,500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Net proceeds from issuance of Series B Preferred Units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5,025,800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Repayment of capital lease obligations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8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Repayment of notes</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(182,200)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(111,500)</w:t>
            </w:r>
          </w:p>
        </w:tc>
      </w:tr>
      <w:tr>
        <w:trPr>
          <w:trHeight w:val="223"/>
        </w:trPr>
        <w:tc>
          <w:tcPr>
            <w:tcW w:w="882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9,994,000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5,193,300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2,492,800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358,500</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2,921,300</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428,500</w:t>
            </w:r>
          </w:p>
        </w:tc>
        <w:tc>
          <w:tcPr>
            <w:tcW w:w="140" w:type="dxa"/>
            <w:vAlign w:val="bottom"/>
          </w:tcPr>
          <w:p>
            <w:pPr>
              <w:spacing w:after="0"/>
              <w:rPr>
                <w:sz w:val="18"/>
                <w:szCs w:val="18"/>
                <w:color w:val="auto"/>
              </w:rPr>
            </w:pPr>
          </w:p>
        </w:tc>
      </w:tr>
      <w:tr>
        <w:trPr>
          <w:trHeight w:val="21"/>
        </w:trPr>
        <w:tc>
          <w:tcPr>
            <w:tcW w:w="12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12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Supplemental disclosure of cash flow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4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Supplemental disclosure of noncash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Senior Secured Notes, Subordinate Convertible Notes, Promissory</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Notes, Accounts payable and other debt into Series B Preferred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18,891,400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 premiums settled by issuing note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dividends on Series B Preferred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1,257,000</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2,140,500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dividends on Series B Preferred settled upon conversion by issuance of common stock</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1,768,800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50,900</w:t>
            </w:r>
          </w:p>
        </w:tc>
        <w:tc>
          <w:tcPr>
            <w:tcW w:w="140" w:type="dxa"/>
            <w:vAlign w:val="bottom"/>
            <w:shd w:val="clear" w:color="auto" w:fill="CCEEFF"/>
          </w:tcPr>
          <w:p>
            <w:pPr>
              <w:spacing w:after="0"/>
              <w:rPr>
                <w:sz w:val="18"/>
                <w:szCs w:val="18"/>
                <w:color w:val="auto"/>
              </w:rPr>
            </w:pPr>
          </w:p>
        </w:tc>
      </w:tr>
      <w:tr>
        <w:trPr>
          <w:trHeight w:val="228"/>
        </w:trPr>
        <w:tc>
          <w:tcPr>
            <w:tcW w:w="8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Acquisition of equipment under capital lease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14,700</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126" w:name="page127"/>
    <w:bookmarkEnd w:id="126"/>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Fiscal Years Ended March 31, 2017 and 2016</w:t>
      </w:r>
    </w:p>
    <w:p>
      <w:pPr>
        <w:spacing w:after="0" w:line="2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(Amounts in dollars, except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Series A Preferred</w:t>
            </w:r>
          </w:p>
        </w:tc>
        <w:tc>
          <w:tcPr>
            <w:tcW w:w="15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Series B Preferred</w:t>
            </w:r>
          </w:p>
        </w:tc>
        <w:tc>
          <w:tcPr>
            <w:tcW w:w="154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Series C Preferred</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8"/>
              </w:rPr>
              <w:t>Stockholders'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Stock</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Stock</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8"/>
                <w:szCs w:val="18"/>
                <w:color w:val="auto"/>
              </w:rPr>
            </w:pPr>
          </w:p>
        </w:tc>
        <w:tc>
          <w:tcPr>
            <w:tcW w:w="72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8"/>
                <w:szCs w:val="18"/>
                <w:color w:val="auto"/>
              </w:rPr>
            </w:pPr>
          </w:p>
        </w:tc>
        <w:tc>
          <w:tcPr>
            <w:tcW w:w="74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8"/>
                <w:szCs w:val="18"/>
                <w:color w:val="auto"/>
              </w:rPr>
            </w:pPr>
          </w:p>
        </w:tc>
        <w:tc>
          <w:tcPr>
            <w:tcW w:w="74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94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March 31,</w:t>
            </w: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2015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500,000</w:t>
            </w:r>
          </w:p>
        </w:tc>
        <w:tc>
          <w:tcPr>
            <w:tcW w:w="3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500</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1,677,126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1,700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$67,945,800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84"/>
              </w:rPr>
              <w:t>$(3,968,100)</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0"/>
              </w:rPr>
              <w:t>$(84,522,700)</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88"/>
              </w:rPr>
              <w:t>$(20,542,800)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Allocated proceeds from</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 of common stock</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Units for cash under</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2014 Unit Private</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Placement, including</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beneficial conversion</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feature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277,200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277,200</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sale of</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Series B Preferred Units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 cash under Series B</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Preferred Unit Private</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Placement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717,978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5,025,100</w:t>
            </w:r>
          </w:p>
        </w:tc>
        <w:tc>
          <w:tcPr>
            <w:tcW w:w="14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5,025,800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expense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4,041,400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4,041,400</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Conversion of Senior</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Secured and subordinate</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promissory notes into</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Series B Preferred stock,</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including recapture of</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beneficial conversion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feature upon conversion</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3,018,917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42,577,100</w:t>
            </w:r>
          </w:p>
        </w:tc>
        <w:tc>
          <w:tcPr>
            <w:tcW w:w="14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42,580,200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Elimination of warrant</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liability resulting from</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modification of PLTG</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4,903,100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4,903,100</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Exchange of common</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 for Series B</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30,000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dividends on</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 Preferred stock</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(2,140,500)</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(2,140,500)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Conversion of Series B</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Preferred stock into</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stock, including</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stock issued in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payment of accrued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dividends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(228,818)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235,655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50,900</w:t>
            </w:r>
          </w:p>
        </w:tc>
        <w:tc>
          <w:tcPr>
            <w:tcW w:w="14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of common</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for Series C</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200,000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200</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(200,000)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Exchange of outstanding</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warrants for Series C</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2,118,012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3,192,800</w:t>
            </w:r>
          </w:p>
        </w:tc>
        <w:tc>
          <w:tcPr>
            <w:tcW w:w="14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3,194,900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of outstanding</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for common</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and other warrant</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modifications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814,989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3,022,300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3,023,100</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common</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 Series B Preferred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 and warrants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 for services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125,000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92,375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3,829,800</w:t>
            </w:r>
          </w:p>
        </w:tc>
        <w:tc>
          <w:tcPr>
            <w:tcW w:w="14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for fiscal year</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(47,220,500)</w:t>
            </w:r>
          </w:p>
        </w:tc>
        <w:tc>
          <w:tcPr>
            <w:tcW w:w="8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6"/>
              </w:rPr>
              <w:t>(47,220,500)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ended March 31, 2016</w:t>
            </w:r>
          </w:p>
        </w:tc>
        <w:tc>
          <w:tcPr>
            <w:tcW w:w="6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3"/>
            <w:vMerge w:val="continue"/>
            <w:shd w:val="clear" w:color="auto" w:fill="CCEEFF"/>
          </w:tcPr>
          <w:p>
            <w:pPr>
              <w:spacing w:after="0"/>
              <w:rPr>
                <w:sz w:val="17"/>
                <w:szCs w:val="17"/>
                <w:color w:val="auto"/>
              </w:rPr>
            </w:pPr>
          </w:p>
        </w:tc>
        <w:tc>
          <w:tcPr>
            <w:tcW w:w="980" w:type="dxa"/>
            <w:vAlign w:val="bottom"/>
            <w:gridSpan w:val="3"/>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March 31,</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2016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500,000</w:t>
            </w:r>
          </w:p>
        </w:tc>
        <w:tc>
          <w:tcPr>
            <w:tcW w:w="3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500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3,663,077</w:t>
            </w:r>
          </w:p>
        </w:tc>
        <w:tc>
          <w:tcPr>
            <w:tcW w:w="2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3,700</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2,318,012</w:t>
            </w:r>
          </w:p>
        </w:tc>
        <w:tc>
          <w:tcPr>
            <w:tcW w:w="2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2,300</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2,623,145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2,600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5"/>
              </w:rPr>
              <w:t>$132,725,000</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84"/>
              </w:rPr>
              <w:t>$(3,968,100)</w:t>
            </w:r>
          </w:p>
        </w:tc>
        <w:tc>
          <w:tcPr>
            <w:tcW w:w="9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w w:val="91"/>
              </w:rPr>
              <w:t>$(131,743,200)</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6"/>
              </w:rPr>
              <w:t>$(2,977,200)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 of</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 Preferred Units</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 cash under Series B</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Unit Private</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Placement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39,714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278,000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278,000</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2,570,040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2,600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9,534,500</w:t>
            </w:r>
          </w:p>
        </w:tc>
        <w:tc>
          <w:tcPr>
            <w:tcW w:w="14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9,537,100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40" w:top="123" w:right="159" w:bottom="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color w:val="auto"/>
        </w:rPr>
        <w:t>Proceeds from sale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stock 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warrants for cash in May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2016 Public Offering</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 of</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and</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for cash in</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private placement</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offerings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124,250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362,300</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Series B Preferred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converted to common</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automatically</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upon consummation of</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2016 Public</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Offering and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voluntarily</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88"/>
              </w:rPr>
              <w:t>(2,542,551)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2,542,551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2,500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issued</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 dividends upon</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 Series B</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453,154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1,768,300</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Accrued dividends on</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Series B Preferred stock</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(1,257,000)</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(1,257,000)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expense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851,300</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Exchange of outstanding</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warrants for common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 and other warrant</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modifications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156,246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427,300</w:t>
            </w:r>
          </w:p>
        </w:tc>
        <w:tc>
          <w:tcPr>
            <w:tcW w:w="14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common</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and warrants</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granted for services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505,000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1,879,900</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Net loss for fiscal year</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(10,255,500)</w:t>
            </w: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96"/>
              </w:rPr>
              <w:t>(10,255,500)</w:t>
            </w:r>
          </w:p>
        </w:tc>
        <w:tc>
          <w:tcPr>
            <w:tcW w:w="0" w:type="dxa"/>
            <w:vAlign w:val="bottom"/>
          </w:tcPr>
          <w:p>
            <w:pPr>
              <w:spacing w:after="0"/>
              <w:rPr>
                <w:sz w:val="1"/>
                <w:szCs w:val="1"/>
                <w:color w:val="auto"/>
              </w:rPr>
            </w:pPr>
          </w:p>
        </w:tc>
      </w:tr>
      <w:tr>
        <w:trPr>
          <w:trHeight w:val="196"/>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ended March 31, 2017</w:t>
            </w:r>
          </w:p>
        </w:tc>
        <w:tc>
          <w:tcPr>
            <w:tcW w:w="6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3"/>
            <w:vMerge w:val="continue"/>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at March 31,</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500,000</w:t>
            </w: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500</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1,160,240</w:t>
            </w: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1,200</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2,318,012</w:t>
            </w:r>
          </w:p>
        </w:tc>
        <w:tc>
          <w:tcPr>
            <w:tcW w:w="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2,300</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8,974,386</w:t>
            </w:r>
          </w:p>
        </w:tc>
        <w:tc>
          <w:tcPr>
            <w:tcW w:w="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9,000</w:t>
            </w: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u w:val="single" w:color="auto"/>
                <w:color w:val="auto"/>
                <w:w w:val="95"/>
              </w:rPr>
              <w:t>$</w:t>
            </w:r>
            <w:r>
              <w:rPr>
                <w:rFonts w:ascii="Times New Roman" w:cs="Times New Roman" w:eastAsia="Times New Roman" w:hAnsi="Times New Roman"/>
                <w:sz w:val="16"/>
                <w:szCs w:val="16"/>
                <w:b w:val="1"/>
                <w:bCs w:val="1"/>
                <w:color w:val="auto"/>
                <w:w w:val="95"/>
              </w:rPr>
              <w:t>146,569,600</w:t>
            </w:r>
          </w:p>
        </w:tc>
        <w:tc>
          <w:tcPr>
            <w:tcW w:w="8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u w:val="single" w:color="auto"/>
                <w:color w:val="auto"/>
                <w:w w:val="91"/>
              </w:rPr>
              <w:t>$</w:t>
            </w:r>
            <w:r>
              <w:rPr>
                <w:rFonts w:ascii="Times New Roman" w:cs="Times New Roman" w:eastAsia="Times New Roman" w:hAnsi="Times New Roman"/>
                <w:sz w:val="16"/>
                <w:szCs w:val="16"/>
                <w:b w:val="1"/>
                <w:bCs w:val="1"/>
                <w:color w:val="auto"/>
                <w:w w:val="91"/>
              </w:rPr>
              <w:t>(3,968,100)</w:t>
            </w:r>
          </w:p>
        </w:tc>
        <w:tc>
          <w:tcPr>
            <w:tcW w:w="9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u w:val="single" w:color="auto"/>
                <w:color w:val="auto"/>
                <w:w w:val="93"/>
              </w:rPr>
              <w:t>$</w:t>
            </w:r>
            <w:r>
              <w:rPr>
                <w:rFonts w:ascii="Times New Roman" w:cs="Times New Roman" w:eastAsia="Times New Roman" w:hAnsi="Times New Roman"/>
                <w:sz w:val="16"/>
                <w:szCs w:val="16"/>
                <w:b w:val="1"/>
                <w:bCs w:val="1"/>
                <w:color w:val="auto"/>
                <w:w w:val="93"/>
              </w:rPr>
              <w:t>(141,998,700)</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615,800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740" w:type="dxa"/>
            <w:vAlign w:val="bottom"/>
            <w:gridSpan w:val="2"/>
          </w:tcPr>
          <w:p>
            <w:pPr>
              <w:spacing w:after="0" w:line="145" w:lineRule="exact"/>
              <w:rPr>
                <w:sz w:val="20"/>
                <w:szCs w:val="20"/>
                <w:color w:val="auto"/>
              </w:rPr>
            </w:pPr>
            <w:r>
              <w:rPr>
                <w:rFonts w:ascii="Times New Roman" w:cs="Times New Roman" w:eastAsia="Times New Roman" w:hAnsi="Times New Roman"/>
                <w:sz w:val="16"/>
                <w:szCs w:val="16"/>
                <w:b w:val="1"/>
                <w:bCs w:val="1"/>
                <w:color w:val="auto"/>
              </w:rPr>
              <w:t>2017</w:t>
            </w:r>
          </w:p>
        </w:tc>
        <w:tc>
          <w:tcPr>
            <w:tcW w:w="60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28" w:name="page129"/>
    <w:bookmarkEnd w:id="128"/>
    <w:p>
      <w:pPr>
        <w:spacing w:after="0" w:line="76"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5"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new generation medicines for depression and other central nervous system (</w:t>
      </w:r>
      <w:r>
        <w:rPr>
          <w:rFonts w:ascii="Times New Roman" w:cs="Times New Roman" w:eastAsia="Times New Roman" w:hAnsi="Times New Roman"/>
          <w:sz w:val="18"/>
          <w:szCs w:val="18"/>
          <w:i w:val="1"/>
          <w:iCs w:val="1"/>
          <w:color w:val="auto"/>
        </w:rPr>
        <w:t>CNS</w:t>
      </w:r>
      <w:r>
        <w:rPr>
          <w:rFonts w:ascii="Times New Roman" w:cs="Times New Roman" w:eastAsia="Times New Roman" w:hAnsi="Times New Roman"/>
          <w:sz w:val="18"/>
          <w:szCs w:val="18"/>
          <w:color w:val="auto"/>
        </w:rPr>
        <w:t>) disorders.</w:t>
      </w:r>
    </w:p>
    <w:p>
      <w:pPr>
        <w:spacing w:after="0" w:line="1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AV-101 is our oral CNS product candidate in Phase 2 clinical development in the United States, initially as a new generation adjunctive treatment for Major Depressive Disorder (</w:t>
      </w:r>
      <w:r>
        <w:rPr>
          <w:rFonts w:ascii="Times New Roman" w:cs="Times New Roman" w:eastAsia="Times New Roman" w:hAnsi="Times New Roman"/>
          <w:sz w:val="18"/>
          <w:szCs w:val="18"/>
          <w:i w:val="1"/>
          <w:iCs w:val="1"/>
          <w:color w:val="auto"/>
        </w:rPr>
        <w:t>MDD</w:t>
      </w:r>
      <w:r>
        <w:rPr>
          <w:rFonts w:ascii="Times New Roman" w:cs="Times New Roman" w:eastAsia="Times New Roman" w:hAnsi="Times New Roman"/>
          <w:sz w:val="18"/>
          <w:szCs w:val="18"/>
          <w:color w:val="auto"/>
        </w:rPr>
        <w:t>) in patients with an inadequate response to standard antidepressants approved by the U.S. Food and Drug Administration (</w:t>
      </w:r>
      <w:r>
        <w:rPr>
          <w:rFonts w:ascii="Times New Roman" w:cs="Times New Roman" w:eastAsia="Times New Roman" w:hAnsi="Times New Roman"/>
          <w:sz w:val="18"/>
          <w:szCs w:val="18"/>
          <w:i w:val="1"/>
          <w:iCs w:val="1"/>
          <w:color w:val="auto"/>
        </w:rPr>
        <w:t>FDA</w:t>
      </w:r>
      <w:r>
        <w:rPr>
          <w:rFonts w:ascii="Times New Roman" w:cs="Times New Roman" w:eastAsia="Times New Roman" w:hAnsi="Times New Roman"/>
          <w:sz w:val="18"/>
          <w:szCs w:val="18"/>
          <w:color w:val="auto"/>
        </w:rPr>
        <w:t>). AV-101’s mechanism of action (</w:t>
      </w:r>
      <w:r>
        <w:rPr>
          <w:rFonts w:ascii="Times New Roman" w:cs="Times New Roman" w:eastAsia="Times New Roman" w:hAnsi="Times New Roman"/>
          <w:sz w:val="18"/>
          <w:szCs w:val="18"/>
          <w:i w:val="1"/>
          <w:iCs w:val="1"/>
          <w:color w:val="auto"/>
        </w:rPr>
        <w:t>MOA</w:t>
      </w:r>
      <w:r>
        <w:rPr>
          <w:rFonts w:ascii="Times New Roman" w:cs="Times New Roman" w:eastAsia="Times New Roman" w:hAnsi="Times New Roman"/>
          <w:sz w:val="18"/>
          <w:szCs w:val="18"/>
          <w:color w:val="auto"/>
        </w:rPr>
        <w:t>) involves both NMDA (N-methyl-D-aspartate) and AMPA (alpha-amino-3-hydroxy-5-methyl-4-isoxazolepropionic acid) receptors in the brain responsible for fast excitatory synaptic activity throughout the CNS. AV-101’s MOA is fundamentally differentiated from all FDA-approved antidepressants, as well as all atypical antipsychotics often used adjunctively to augment them. We believe AV-101 also has potential as a new treatment alternative for several additional indications involving the CNS, including epilepsy, Huntington’s disease, L-DOPA-induced dyskinesia associated with Parkinson’s disease, and neuropathic pain.</w:t>
      </w:r>
    </w:p>
    <w:p>
      <w:pPr>
        <w:spacing w:after="0" w:line="19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Clinical studies conducted at the U.S. National Institute of Mental Health (</w:t>
      </w:r>
      <w:r>
        <w:rPr>
          <w:rFonts w:ascii="Times New Roman" w:cs="Times New Roman" w:eastAsia="Times New Roman" w:hAnsi="Times New Roman"/>
          <w:sz w:val="18"/>
          <w:szCs w:val="18"/>
          <w:i w:val="1"/>
          <w:iCs w:val="1"/>
          <w:color w:val="auto"/>
        </w:rPr>
        <w:t>NIMH</w:t>
      </w:r>
      <w:r>
        <w:rPr>
          <w:rFonts w:ascii="Times New Roman" w:cs="Times New Roman" w:eastAsia="Times New Roman" w:hAnsi="Times New Roman"/>
          <w:sz w:val="18"/>
          <w:szCs w:val="18"/>
          <w:color w:val="auto"/>
        </w:rPr>
        <w:t>), part of the U.S. National Institutes of Health (</w:t>
      </w:r>
      <w:r>
        <w:rPr>
          <w:rFonts w:ascii="Times New Roman" w:cs="Times New Roman" w:eastAsia="Times New Roman" w:hAnsi="Times New Roman"/>
          <w:sz w:val="18"/>
          <w:szCs w:val="18"/>
          <w:i w:val="1"/>
          <w:iCs w:val="1"/>
          <w:color w:val="auto"/>
        </w:rPr>
        <w:t>NIH</w:t>
      </w:r>
      <w:r>
        <w:rPr>
          <w:rFonts w:ascii="Times New Roman" w:cs="Times New Roman" w:eastAsia="Times New Roman" w:hAnsi="Times New Roman"/>
          <w:sz w:val="18"/>
          <w:szCs w:val="18"/>
          <w:color w:val="auto"/>
        </w:rPr>
        <w:t>), by Dr. Carlos Zarate, Jr., Chief of the NIMH’s Experimental Therapeutics &amp; Pathophysiology Branch and its Section on Neurobiology and Treatment of Mood and Anxiety Disorders, have focused on the antidepressant effects of low dose ketamine hydrochloride injection (</w:t>
      </w:r>
      <w:r>
        <w:rPr>
          <w:rFonts w:ascii="Times New Roman" w:cs="Times New Roman" w:eastAsia="Times New Roman" w:hAnsi="Times New Roman"/>
          <w:sz w:val="18"/>
          <w:szCs w:val="18"/>
          <w:i w:val="1"/>
          <w:iCs w:val="1"/>
          <w:color w:val="auto"/>
        </w:rPr>
        <w:t>ketamine</w:t>
      </w:r>
      <w:r>
        <w:rPr>
          <w:rFonts w:ascii="Times New Roman" w:cs="Times New Roman" w:eastAsia="Times New Roman" w:hAnsi="Times New Roman"/>
          <w:sz w:val="18"/>
          <w:szCs w:val="18"/>
          <w:color w:val="auto"/>
        </w:rPr>
        <w:t>), an NMDA receptor antagonist, in MDD patients with inadequate therapeutic responses to multiple standard antidepressants. These NIMH studies, as well as clinical research at Yale University and other academic institutions, have demonstrated robust antidepressant effects in these MDD patients within twenty-four hours of a single sub-anesthetic dose of ketamine administered by intravenous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infusion.</w:t>
      </w:r>
    </w:p>
    <w:p>
      <w:pPr>
        <w:spacing w:after="0" w:line="19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We believe AV-101 may have potential to deliver ketamine-like antidepressant effects without the need for IV administration and ketamine’s psychological and other negative side effects. As published in the October 2015 issue of the peer-reviewed, </w:t>
      </w:r>
      <w:r>
        <w:rPr>
          <w:rFonts w:ascii="Times New Roman" w:cs="Times New Roman" w:eastAsia="Times New Roman" w:hAnsi="Times New Roman"/>
          <w:sz w:val="18"/>
          <w:szCs w:val="18"/>
          <w:i w:val="1"/>
          <w:iCs w:val="1"/>
          <w:color w:val="auto"/>
        </w:rPr>
        <w:t>Journal of Pharmacology and Experimental Therapeutics,</w:t>
      </w:r>
      <w:r>
        <w:rPr>
          <w:rFonts w:ascii="Times New Roman" w:cs="Times New Roman" w:eastAsia="Times New Roman" w:hAnsi="Times New Roman"/>
          <w:sz w:val="18"/>
          <w:szCs w:val="18"/>
          <w:color w:val="auto"/>
        </w:rPr>
        <w:t xml:space="preserve"> in an article titled, </w:t>
      </w:r>
      <w:r>
        <w:rPr>
          <w:rFonts w:ascii="Times New Roman" w:cs="Times New Roman" w:eastAsia="Times New Roman" w:hAnsi="Times New Roman"/>
          <w:sz w:val="18"/>
          <w:szCs w:val="18"/>
          <w:i w:val="1"/>
          <w:iCs w:val="1"/>
          <w:color w:val="auto"/>
        </w:rPr>
        <w:t>The prodrug 4-chlorokynurenine causes ketamine-like antidepressant effects, but not side effects, by NMDA/glycineB-site inhibition,</w:t>
      </w:r>
      <w:r>
        <w:rPr>
          <w:rFonts w:ascii="Times New Roman" w:cs="Times New Roman" w:eastAsia="Times New Roman" w:hAnsi="Times New Roman"/>
          <w:sz w:val="18"/>
          <w:szCs w:val="18"/>
          <w:color w:val="auto"/>
        </w:rPr>
        <w:t xml:space="preserve"> using well-established preclinical models of depression, AV-101 was shown to induce fast-acting, dose-dependent, persistent and 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both inhibiting the GlyB site of the NMDA receptor and activating the AMPA receptor pathway in the brain.</w:t>
      </w:r>
    </w:p>
    <w:p>
      <w:pPr>
        <w:spacing w:after="0" w:line="19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our Cooperative Research and Development Agreement (</w:t>
      </w:r>
      <w:r>
        <w:rPr>
          <w:rFonts w:ascii="Times New Roman" w:cs="Times New Roman" w:eastAsia="Times New Roman" w:hAnsi="Times New Roman"/>
          <w:sz w:val="18"/>
          <w:szCs w:val="18"/>
          <w:i w:val="1"/>
          <w:iCs w:val="1"/>
          <w:color w:val="auto"/>
        </w:rPr>
        <w:t>CRADA</w:t>
      </w:r>
      <w:r>
        <w:rPr>
          <w:rFonts w:ascii="Times New Roman" w:cs="Times New Roman" w:eastAsia="Times New Roman" w:hAnsi="Times New Roman"/>
          <w:sz w:val="18"/>
          <w:szCs w:val="18"/>
          <w:color w:val="auto"/>
        </w:rPr>
        <w:t xml:space="preserve">) with the NIMH, the NIMH is currently funding, and Dr. Zarate, as Principal Investigator, and his team are currently conducting, a small Phase 2 clinical study of AV-101 monotherapy in adult subjects with treatment-resistant MDD (the </w:t>
      </w:r>
      <w:r>
        <w:rPr>
          <w:rFonts w:ascii="Times New Roman" w:cs="Times New Roman" w:eastAsia="Times New Roman" w:hAnsi="Times New Roman"/>
          <w:sz w:val="18"/>
          <w:szCs w:val="18"/>
          <w:i w:val="1"/>
          <w:iCs w:val="1"/>
          <w:color w:val="auto"/>
        </w:rPr>
        <w:t>NIMH AV-101 MDD Phase 2 Monotherapy Study</w:t>
      </w:r>
      <w:r>
        <w:rPr>
          <w:rFonts w:ascii="Times New Roman" w:cs="Times New Roman" w:eastAsia="Times New Roman" w:hAnsi="Times New Roman"/>
          <w:sz w:val="18"/>
          <w:szCs w:val="18"/>
          <w:color w:val="auto"/>
        </w:rPr>
        <w:t>). In October 2017, we received FDA authorization to launch our 180-patient Phase 2 multi-center, multi-dose,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double blind, placebo-controlled efficacy and safety study of AV-101 as a new generation adjunctive treatment of MDD in adult patients with an inadequate therapeutic response to standard, FDA-approved antidepressants (the </w:t>
      </w:r>
      <w:r>
        <w:rPr>
          <w:rFonts w:ascii="Times New Roman" w:cs="Times New Roman" w:eastAsia="Times New Roman" w:hAnsi="Times New Roman"/>
          <w:sz w:val="18"/>
          <w:szCs w:val="18"/>
          <w:i w:val="1"/>
          <w:iCs w:val="1"/>
          <w:color w:val="auto"/>
        </w:rPr>
        <w:t>AV-101 MDD Phase 2 Adjunctive Treatment Study</w:t>
      </w:r>
      <w:r>
        <w:rPr>
          <w:rFonts w:ascii="Times New Roman" w:cs="Times New Roman" w:eastAsia="Times New Roman" w:hAnsi="Times New Roman"/>
          <w:sz w:val="18"/>
          <w:szCs w:val="18"/>
          <w:color w:val="auto"/>
        </w:rPr>
        <w:t>). Subject to completion of this offering, we intend to launch the AV-101 MDD Phase 2 Adjunctive Treatment Study in the first quarter of 2018, with Dr. Maurizio Fava, Professor of Psychiatry at Harvard Medical School and Director, Division of Clinical Research, Massachusetts General Hospital (</w:t>
      </w:r>
      <w:r>
        <w:rPr>
          <w:rFonts w:ascii="Times New Roman" w:cs="Times New Roman" w:eastAsia="Times New Roman" w:hAnsi="Times New Roman"/>
          <w:sz w:val="18"/>
          <w:szCs w:val="18"/>
          <w:i w:val="1"/>
          <w:iCs w:val="1"/>
          <w:color w:val="auto"/>
        </w:rPr>
        <w:t>MGH</w:t>
      </w:r>
      <w:r>
        <w:rPr>
          <w:rFonts w:ascii="Times New Roman" w:cs="Times New Roman" w:eastAsia="Times New Roman" w:hAnsi="Times New Roman"/>
          <w:sz w:val="18"/>
          <w:szCs w:val="18"/>
          <w:color w:val="auto"/>
        </w:rPr>
        <w:t xml:space="preserve">) Research Institute, as the Principal Investigator. Dr. Fava was the co-Principal Investigator with Dr. A. John Rush of the STAR*D study, the largest clinical trial conducted in depression to date, whose findings were published in journals such as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NEJM</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Journal of the American Medical Association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JAMA</w:t>
      </w:r>
      <w:r>
        <w:rPr>
          <w:rFonts w:ascii="Times New Roman" w:cs="Times New Roman" w:eastAsia="Times New Roman" w:hAnsi="Times New Roman"/>
          <w:sz w:val="18"/>
          <w:szCs w:val="18"/>
          <w:color w:val="auto"/>
        </w:rPr>
        <w:t>). We currently anticipate completing our AV-101 MDD Phase 2 Adjunctive Treatment Study by the end of 2018 with top line results available in the first quarter of 2019.</w:t>
      </w:r>
    </w:p>
    <w:p>
      <w:pPr>
        <w:spacing w:after="0" w:line="193"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6"/>
          <w:szCs w:val="16"/>
          <w:color w:val="auto"/>
        </w:rPr>
        <w:t>VistaGen Therapeutics, Inc., a California corporation dba VistaStem Therapeutics (</w:t>
      </w:r>
      <w:r>
        <w:rPr>
          <w:rFonts w:ascii="Times New Roman" w:cs="Times New Roman" w:eastAsia="Times New Roman" w:hAnsi="Times New Roman"/>
          <w:sz w:val="16"/>
          <w:szCs w:val="16"/>
          <w:i w:val="1"/>
          <w:iCs w:val="1"/>
          <w:color w:val="auto"/>
        </w:rPr>
        <w:t>VistaStem</w:t>
      </w:r>
      <w:r>
        <w:rPr>
          <w:rFonts w:ascii="Times New Roman" w:cs="Times New Roman" w:eastAsia="Times New Roman" w:hAnsi="Times New Roman"/>
          <w:sz w:val="16"/>
          <w:szCs w:val="16"/>
          <w:color w:val="auto"/>
        </w:rPr>
        <w:t>), is our wholly owned subsidiary focused on applying human pluripotent stem cell (</w:t>
      </w:r>
      <w:r>
        <w:rPr>
          <w:rFonts w:ascii="Times New Roman" w:cs="Times New Roman" w:eastAsia="Times New Roman" w:hAnsi="Times New Roman"/>
          <w:sz w:val="16"/>
          <w:szCs w:val="16"/>
          <w:i w:val="1"/>
          <w:iCs w:val="1"/>
          <w:color w:val="auto"/>
        </w:rPr>
        <w:t>hPSC</w:t>
      </w:r>
      <w:r>
        <w:rPr>
          <w:rFonts w:ascii="Times New Roman" w:cs="Times New Roman" w:eastAsia="Times New Roman" w:hAnsi="Times New Roman"/>
          <w:sz w:val="16"/>
          <w:szCs w:val="16"/>
          <w:color w:val="auto"/>
        </w:rPr>
        <w:t>) technology, internally and with third-party collaborators, to discover, rescue, develop and commercialize (i) proprietary new chemical entities (</w:t>
      </w:r>
      <w:r>
        <w:rPr>
          <w:rFonts w:ascii="Times New Roman" w:cs="Times New Roman" w:eastAsia="Times New Roman" w:hAnsi="Times New Roman"/>
          <w:sz w:val="16"/>
          <w:szCs w:val="16"/>
          <w:i w:val="1"/>
          <w:iCs w:val="1"/>
          <w:color w:val="auto"/>
        </w:rPr>
        <w:t>NCEs</w:t>
      </w:r>
      <w:r>
        <w:rPr>
          <w:rFonts w:ascii="Times New Roman" w:cs="Times New Roman" w:eastAsia="Times New Roman" w:hAnsi="Times New Roman"/>
          <w:sz w:val="16"/>
          <w:szCs w:val="16"/>
          <w:color w:val="auto"/>
        </w:rPr>
        <w:t xml:space="preserve">), including small molecule NCEs with regenerative potential, for CNS and other diseases and (ii) cellular therapies involving stem cell-derived blood, cartilage, heart and liver cells. Our internal drug rescue programs are designed to utilize </w:t>
      </w:r>
      <w:r>
        <w:rPr>
          <w:rFonts w:ascii="Times New Roman" w:cs="Times New Roman" w:eastAsia="Times New Roman" w:hAnsi="Times New Roman"/>
          <w:sz w:val="16"/>
          <w:szCs w:val="16"/>
          <w:i w:val="1"/>
          <w:iCs w:val="1"/>
          <w:color w:val="auto"/>
        </w:rPr>
        <w:t>CardioSafe 3D</w:t>
      </w:r>
      <w:r>
        <w:rPr>
          <w:rFonts w:ascii="Times New Roman" w:cs="Times New Roman" w:eastAsia="Times New Roman" w:hAnsi="Times New Roman"/>
          <w:sz w:val="16"/>
          <w:szCs w:val="16"/>
          <w:color w:val="auto"/>
        </w:rPr>
        <w:t xml:space="preserve">, our customized cardiac bioassay system, to develop small molecule NCEs for our pipeline. In December 2016, we exclusively sublicensed to BlueRock Therapeutics LP, a next generation regenerative medicine company established by Bayer AG and Versant Ventures, rights to certain proprietary technologies relating to the production of cardiac stem cells for the treatment of heart disease (the </w:t>
      </w:r>
      <w:r>
        <w:rPr>
          <w:rFonts w:ascii="Times New Roman" w:cs="Times New Roman" w:eastAsia="Times New Roman" w:hAnsi="Times New Roman"/>
          <w:sz w:val="16"/>
          <w:szCs w:val="16"/>
          <w:i w:val="1"/>
          <w:iCs w:val="1"/>
          <w:color w:val="auto"/>
        </w:rPr>
        <w:t>BlueRock Agreement</w:t>
      </w:r>
      <w:r>
        <w:rPr>
          <w:rFonts w:ascii="Times New Roman" w:cs="Times New Roman" w:eastAsia="Times New Roman" w:hAnsi="Times New Roman"/>
          <w:sz w:val="16"/>
          <w:szCs w:val="16"/>
          <w:color w:val="auto"/>
        </w:rPr>
        <w:t>). VistaStem may also pursue additional potential regenerative medicine (</w:t>
      </w:r>
      <w:r>
        <w:rPr>
          <w:rFonts w:ascii="Times New Roman" w:cs="Times New Roman" w:eastAsia="Times New Roman" w:hAnsi="Times New Roman"/>
          <w:sz w:val="16"/>
          <w:szCs w:val="16"/>
          <w:i w:val="1"/>
          <w:iCs w:val="1"/>
          <w:color w:val="auto"/>
        </w:rPr>
        <w:t>RM</w:t>
      </w:r>
      <w:r>
        <w:rPr>
          <w:rFonts w:ascii="Times New Roman" w:cs="Times New Roman" w:eastAsia="Times New Roman" w:hAnsi="Times New Roman"/>
          <w:sz w:val="16"/>
          <w:szCs w:val="16"/>
          <w:color w:val="auto"/>
        </w:rPr>
        <w:t>) applications, including using blood, cartilage, and/or liver cells derived from hPSCs for (A) cell-based therapy, (B) cell repair therapy, and/or (C) tissue engineering. In a manner similar to our exclusive sublicense agreement with BlueRock Therapeutics, VistaStem may pursue these additional RM applications in collaboration with third-parties.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5"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Going Concern</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we will continue as a going concern. As a clinical-stage biopharmaceutical company having not yet developed commercial products or achieved sustainable revenues, we have experienced recurring losses and negative cash flows from operations resulting in a deficit of $142.0 million accumulated from inception through March 31, 2017. We expect losses and negative cash flows from operations to continue for the foreseeable future as we engage in further potential development of AV-101, initially as an adjunctive treatment for MDD, and subsequently as a new treatment alternative for other CNS conditions, execute our drug rescue programs, and pursue potential drug development and regenerative medicine opportunities.</w:t>
      </w:r>
    </w:p>
    <w:p>
      <w:pPr>
        <w:spacing w:after="0" w:line="193" w:lineRule="exact"/>
        <w:rPr>
          <w:sz w:val="20"/>
          <w:szCs w:val="20"/>
          <w:color w:val="auto"/>
        </w:rPr>
      </w:pPr>
    </w:p>
    <w:p>
      <w:pPr>
        <w:jc w:val="both"/>
        <w:ind w:right="120"/>
        <w:spacing w:after="0" w:line="301" w:lineRule="auto"/>
        <w:rPr>
          <w:sz w:val="20"/>
          <w:szCs w:val="20"/>
          <w:color w:val="auto"/>
        </w:rPr>
      </w:pPr>
      <w:r>
        <w:rPr>
          <w:rFonts w:ascii="Times New Roman" w:cs="Times New Roman" w:eastAsia="Times New Roman" w:hAnsi="Times New Roman"/>
          <w:sz w:val="16"/>
          <w:szCs w:val="16"/>
          <w:color w:val="auto"/>
        </w:rPr>
        <w:t>Since our inception in May 1998 through March 31, 2017, we have financed our operations and technology acquisitions primarily through the issuance and sale of equity and debt securities, including convertible promissory notes and short-term promissory notes, for cash proceeds of approximately $44.7 million, as well as from an aggregate of approximately $17.6 million of government research grant awards (excluding the fair market value of the NIMH AV-101 MDD Phase 2 Monotherapy Study), strategic collaboration payments, intellectual property sublicensing and other revenues. Additionally, we have issued equity securities with</w:t>
      </w:r>
    </w:p>
    <w:p>
      <w:pPr>
        <w:sectPr>
          <w:pgSz w:w="11900" w:h="16915" w:orient="portrait"/>
          <w:cols w:equalWidth="0" w:num="1">
            <w:col w:w="11400"/>
          </w:cols>
          <w:pgMar w:left="240" w:top="123" w:right="259" w:bottom="0" w:gutter="0" w:footer="0" w:header="0"/>
        </w:sectPr>
      </w:pPr>
    </w:p>
    <w:bookmarkStart w:id="129" w:name="page130"/>
    <w:bookmarkEnd w:id="129"/>
    <w:p>
      <w:pPr>
        <w:spacing w:after="0" w:line="44"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an approximate value at issuance of $30.8 million in non-cash settlements of certain liabilities, including liabilities for professional services rendered to us or as compensation for such services.</w:t>
      </w:r>
    </w:p>
    <w:p>
      <w:pPr>
        <w:spacing w:after="0" w:line="174"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During the first quarter of our fiscal year ended March 31, 2017, we sold to accredited investors Series B Preferred Units consisting of 39,714 unregistered shares of our Series B 10% Convertible Preferred Stock, par value $0.001 per share (</w:t>
      </w:r>
      <w:r>
        <w:rPr>
          <w:rFonts w:ascii="Times New Roman" w:cs="Times New Roman" w:eastAsia="Times New Roman" w:hAnsi="Times New Roman"/>
          <w:sz w:val="18"/>
          <w:szCs w:val="18"/>
          <w:i w:val="1"/>
          <w:iCs w:val="1"/>
          <w:color w:val="auto"/>
        </w:rPr>
        <w:t>Series B Preferred</w:t>
      </w:r>
      <w:r>
        <w:rPr>
          <w:rFonts w:ascii="Times New Roman" w:cs="Times New Roman" w:eastAsia="Times New Roman" w:hAnsi="Times New Roman"/>
          <w:sz w:val="18"/>
          <w:szCs w:val="18"/>
          <w:color w:val="auto"/>
        </w:rPr>
        <w:t>), and five year warrants exercisable at $7.00 per share (</w:t>
      </w:r>
      <w:r>
        <w:rPr>
          <w:rFonts w:ascii="Times New Roman" w:cs="Times New Roman" w:eastAsia="Times New Roman" w:hAnsi="Times New Roman"/>
          <w:sz w:val="18"/>
          <w:szCs w:val="18"/>
          <w:i w:val="1"/>
          <w:iCs w:val="1"/>
          <w:color w:val="auto"/>
        </w:rPr>
        <w:t>Series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Preferred Warrants</w:t>
      </w:r>
      <w:r>
        <w:rPr>
          <w:rFonts w:ascii="Times New Roman" w:cs="Times New Roman" w:eastAsia="Times New Roman" w:hAnsi="Times New Roman"/>
          <w:sz w:val="18"/>
          <w:szCs w:val="18"/>
          <w:color w:val="auto"/>
        </w:rPr>
        <w:t>) to purchase 39,714 shares of our common stock, from which we received cash proceeds of $278,000.</w:t>
      </w:r>
    </w:p>
    <w:p>
      <w:pPr>
        <w:spacing w:after="0" w:line="186"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6"/>
          <w:szCs w:val="16"/>
          <w:color w:val="auto"/>
        </w:rPr>
        <w:t xml:space="preserve">In May 2016, we consummated an underwritten public offering pursuant to which we received net cash proceeds of approximately $9.5 million, after deducting fees and expenses, and ..issued an aggregate of 2,570,040 registered shares of our common stock at the public offering price of $4.24 per share and five-year warrants to purchase up to 2,705,883 registered shares of common stock, with an exercise price of $5.30 per share, at the public offering price of $0.01 per warrant, including shares and warrants issued pursuant to the exercise of the underwriters' over-allotment option (the </w:t>
      </w:r>
      <w:r>
        <w:rPr>
          <w:rFonts w:ascii="Times New Roman" w:cs="Times New Roman" w:eastAsia="Times New Roman" w:hAnsi="Times New Roman"/>
          <w:sz w:val="16"/>
          <w:szCs w:val="16"/>
          <w:i w:val="1"/>
          <w:iCs w:val="1"/>
          <w:color w:val="auto"/>
        </w:rPr>
        <w:t>May 2016 Public Offering</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During the last two quarters of our fiscal year ended March 31, 2017, we sold to accredited investors units consisting of an aggregate of 124,250 unregistered shares of our common stock and three-year and five-year warrants to purchase an aggregate of 45,375 shares of our unregistered common stock. We received cash proceeds of $342,400 from this self-placed private placement.</w:t>
      </w:r>
    </w:p>
    <w:p>
      <w:pPr>
        <w:spacing w:after="0" w:line="1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 March 31, 2017, we had a cash and cash equivalents balance of $2.9 million. This amount was not sufficient to enable us to fund our planned operations, including expected cash expenditures of approximately $12 million for the twelve months following the issuance of these financial statements, including expenditures required to further prepare for, launch and satisfy a significant portion of the projected expenses associated with our proposed AV-101 MDD Phase 2 Adjunctive Treatment Study. However, during the first quarter of our fiscal year ending March 31, 2018 (</w:t>
      </w:r>
      <w:r>
        <w:rPr>
          <w:rFonts w:ascii="Times New Roman" w:cs="Times New Roman" w:eastAsia="Times New Roman" w:hAnsi="Times New Roman"/>
          <w:sz w:val="18"/>
          <w:szCs w:val="18"/>
          <w:i w:val="1"/>
          <w:iCs w:val="1"/>
          <w:color w:val="auto"/>
        </w:rPr>
        <w:t>Fiscal 2018</w:t>
      </w:r>
      <w:r>
        <w:rPr>
          <w:rFonts w:ascii="Times New Roman" w:cs="Times New Roman" w:eastAsia="Times New Roman" w:hAnsi="Times New Roman"/>
          <w:sz w:val="18"/>
          <w:szCs w:val="18"/>
          <w:color w:val="auto"/>
        </w:rPr>
        <w:t xml:space="preserve">), we sold to accredited investors in a self-placed private placement units consisting of an aggregate of 437,751 unregistered shares of our common stock and warrants to purchase an aggregate of 218,875 unregistered shares of our common stock pursuant to which we received $837,300 in cash proceeds, bringing total proceeds for the Spring 2017 Private Placement to approximately $1.0 million (the </w:t>
      </w:r>
      <w:r>
        <w:rPr>
          <w:rFonts w:ascii="Times New Roman" w:cs="Times New Roman" w:eastAsia="Times New Roman" w:hAnsi="Times New Roman"/>
          <w:sz w:val="18"/>
          <w:szCs w:val="18"/>
          <w:i w:val="1"/>
          <w:iCs w:val="1"/>
          <w:color w:val="auto"/>
        </w:rPr>
        <w:t>Spring 2017 Private Placement</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6"/>
          <w:szCs w:val="16"/>
          <w:color w:val="auto"/>
        </w:rPr>
        <w:t xml:space="preserve">Our limited cash position at March 31, 2017 plus subsequent proceeds from the Spring 2017 Private Placement considered with our recurring and anticipated losses and negative cash flows from operations make it probable, in the absence of additional financing, that we will not be able to meet our obligations as they come due within one year from the date of this Report, raising substantial doubt that we can continue as a going concern. However, to alleviate that doubt, we plan, as we have in the past, to raise additional financing when needed, primarily through the sale of our equity securities in one or more public offerings or private placements. On January 23, 2017, we filed a Registration Statement on Form S-3 (Registration No. 333-215671) with the Securities and Exchange Commission (the </w:t>
      </w:r>
      <w:r>
        <w:rPr>
          <w:rFonts w:ascii="Times New Roman" w:cs="Times New Roman" w:eastAsia="Times New Roman" w:hAnsi="Times New Roman"/>
          <w:sz w:val="16"/>
          <w:szCs w:val="16"/>
          <w:i w:val="1"/>
          <w:iCs w:val="1"/>
          <w:color w:val="auto"/>
        </w:rPr>
        <w:t>Commission</w:t>
      </w:r>
      <w:r>
        <w:rPr>
          <w:rFonts w:ascii="Times New Roman" w:cs="Times New Roman" w:eastAsia="Times New Roman" w:hAnsi="Times New Roman"/>
          <w:sz w:val="16"/>
          <w:szCs w:val="16"/>
          <w:color w:val="auto"/>
        </w:rPr>
        <w:t xml:space="preserve">) covering the potential future sale of our equity securities. The Commission declared such Registration Statement effective on May 12, 2017 (the </w:t>
      </w:r>
      <w:r>
        <w:rPr>
          <w:rFonts w:ascii="Times New Roman" w:cs="Times New Roman" w:eastAsia="Times New Roman" w:hAnsi="Times New Roman"/>
          <w:sz w:val="16"/>
          <w:szCs w:val="16"/>
          <w:i w:val="1"/>
          <w:iCs w:val="1"/>
          <w:color w:val="auto"/>
        </w:rPr>
        <w:t>S-3 Registration Statement</w:t>
      </w:r>
      <w:r>
        <w:rPr>
          <w:rFonts w:ascii="Times New Roman" w:cs="Times New Roman" w:eastAsia="Times New Roman" w:hAnsi="Times New Roman"/>
          <w:sz w:val="16"/>
          <w:szCs w:val="16"/>
          <w:color w:val="auto"/>
        </w:rPr>
        <w:t>). As of the date of this Report, we have not yet sold any securities under the S-3 Registration Statement, nor do we have an obligation to do so. At March 31, 2017, we had a limited number of unallocated or unreserved shares of our common stock available for issuance in future offerings or for other purposes. To facilitate a substantial offering of our equity securities to sustain our operations and enable the launch and completion of our AV-101 MDD Phase 2 Adjunctive Treatment Study, our Board of Directors has approved an amendment to our Restated Articles of Incorporation to increase the number of shares of common stock available for issuance thereunder to 100 million shares. Before taking effect, this amendment must be approved by a majority of our stockholders. We plan to present this amendment to our stockholders at our 2017 annual meeting of stockholders to be held in the fall of 2017.</w:t>
      </w:r>
    </w:p>
    <w:p>
      <w:pPr>
        <w:spacing w:after="0" w:line="3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addition to the sale of our equity securities, we may also seek to enter research and development collaborations that could generate revenue or provide funding for development of AV-101 and additional product candidates. We may also seek additional government grant awards or agreements similar to our current CRADA with the NIMH, which provides for the NIMH to fully fund the NIMH AV-101 MDD Phase 2 Monotherapy Study. Such strategic collaborations may provide non-dilutive resources to advance our strategic initiatives while reducing a portion of our future cash outlays and working capital requirements. In a manner similar to the BlueRock Agreement, we may also pursue similar arrangements with third-parties covering other of our intellectual property. Although we may seek additional collaborations that could generate revenue and/or non-dilutive funding for development of AV-101 and other product candidates, as well as new government grant awards and/or agreements similar to our CRADA with NIMH, no assurance can be provided that any such collaborations, awards or agreements will occur in the future.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5"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AV-101 as an adjunctive treatment for MDD and other potential CNS conditions, and various applications of our stem cell technology platform, the availability of, and our ability to obtain, government grant awards and agreements,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public company compliance and other professional services and operating costs.</w:t>
      </w:r>
    </w:p>
    <w:p>
      <w:pPr>
        <w:spacing w:after="0" w:line="1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Notwithstanding the foregoing, there can be no assurance that our stockholders will authorize the issuance of additional shares of our common stock to facilitate further financing opportunities and for other purposes, or that future financing will be available in sufficient amounts, in a timely manner, or on terms acceptable to us, if at all. If we are unable to obtain substantial additional financing on a timely basis when needed later in 2017 and beyond,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these Consolidated Financial Statements do not include any adjustments that might result from the negative outcome of this uncertainty.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7"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but are not limited to, those relating to stock-based compensation, revenue recognition, and the assumptions used to value warrants, warrant modifications and warrant liabilities.</w:t>
      </w:r>
    </w:p>
    <w:p>
      <w:pPr>
        <w:sectPr>
          <w:pgSz w:w="11900" w:h="16882" w:orient="portrait"/>
          <w:cols w:equalWidth="0" w:num="1">
            <w:col w:w="11420"/>
          </w:cols>
          <w:pgMar w:left="240" w:top="125" w:right="239" w:bottom="0" w:gutter="0" w:footer="0" w:header="0"/>
        </w:sectPr>
      </w:pPr>
    </w:p>
    <w:bookmarkStart w:id="130" w:name="page131"/>
    <w:bookmarkEnd w:id="130"/>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Company’s accounts, VistaStem’s accounts and the accounts of VistaStem’s two wholly-owned inactive subsidiaries, Artemis Neurosciences and VistaStem Canada.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are considered to be highly liquid investments with maturities of three months or less at the date of purchase.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Property and equipment is stated at cost. Repairs and maintenance costs are expensed in the period incurred. Depreciation is calculated using the straight-line method over the estimated useful lives of the assets. The estimated useful lives of property and equipment range from five to seven years.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long-lived assets consist of property and equipment. Long-lived assets to be held and used are tested for recoverability whenever events or changes in business circumstances indicate that the carrying amount of the assets may not be fully recoverable. Factors that we consider in deciding when to perform an impairment review include significant underperformance of the business in relation to expectations, significant negative industry or economic trends, and significant changes or planned changes in our use of the assets.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we have not recorded any impairment losses on long-lived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historically generated revenue principally from collaborative research and development arrangements, licensing and technology transfer agreements, including strategic licenses or sublicenses,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5"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18"/>
          <w:szCs w:val="18"/>
          <w:color w:val="auto"/>
        </w:rPr>
        <w:t>We recognize revenue when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86" w:lineRule="exact"/>
        <w:rPr>
          <w:sz w:val="20"/>
          <w:szCs w:val="20"/>
          <w:color w:val="auto"/>
        </w:rPr>
      </w:pPr>
    </w:p>
    <w:p>
      <w:pPr>
        <w:jc w:val="both"/>
        <w:ind w:left="660" w:hanging="328"/>
        <w:spacing w:after="0" w:line="288" w:lineRule="auto"/>
        <w:tabs>
          <w:tab w:leader="none" w:pos="66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Collaborative arrangements typically consist of non-refundable and/or exclusive up front technology access fees, cost reimbursements for specific research and development spending, and future product development milestone and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during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389" w:lineRule="exact"/>
        <w:rPr>
          <w:rFonts w:ascii="Times New Roman" w:cs="Times New Roman" w:eastAsia="Times New Roman" w:hAnsi="Times New Roman"/>
          <w:sz w:val="16"/>
          <w:szCs w:val="16"/>
          <w:color w:val="auto"/>
        </w:rPr>
      </w:pPr>
    </w:p>
    <w:p>
      <w:pPr>
        <w:jc w:val="both"/>
        <w:ind w:left="660" w:hanging="328"/>
        <w:spacing w:after="0" w:line="25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license agreements typically consist of non-refundable upfront license fees, annual minimum access fees, development and/or regulatory milestone payments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 and, in the case of development and/or regulatory milestone payments, when the applicable event triggering such a payment has occurred.</w:t>
      </w:r>
    </w:p>
    <w:p>
      <w:pPr>
        <w:spacing w:after="0" w:line="192" w:lineRule="exact"/>
        <w:rPr>
          <w:rFonts w:ascii="Times New Roman" w:cs="Times New Roman" w:eastAsia="Times New Roman" w:hAnsi="Times New Roman"/>
          <w:sz w:val="18"/>
          <w:szCs w:val="18"/>
          <w:color w:val="auto"/>
        </w:rPr>
      </w:pPr>
    </w:p>
    <w:p>
      <w:pPr>
        <w:ind w:left="660" w:right="20" w:hanging="328"/>
        <w:spacing w:after="0" w:line="275"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grants, which support our research efforts on specific projects, generally provide for reimbursement of approved costs as defined in the terms of grant awards. Grant revenue is recognized when associated project costs are incurred.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260"/>
        <w:spacing w:after="0" w:line="301" w:lineRule="auto"/>
        <w:rPr>
          <w:sz w:val="20"/>
          <w:szCs w:val="20"/>
          <w:color w:val="auto"/>
        </w:rPr>
      </w:pPr>
      <w:r>
        <w:rPr>
          <w:rFonts w:ascii="Times New Roman" w:cs="Times New Roman" w:eastAsia="Times New Roman" w:hAnsi="Times New Roman"/>
          <w:sz w:val="16"/>
          <w:szCs w:val="16"/>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prodrug candidate in clinical development for MDD, sponsored stem cell research and development costs, and costs related to the application and prosecution of patents related to AV-101 and our stem cell technology platform. All such costs are charged to expense as incurred.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We recognize compensation cost for all stock-based awards to employees based on the grant date fair value of the award. We record non-cash, stock-based compensation expense over the period during which the employee is required to perform services in exchange for the award, which generally represents the scheduled vesting period. We have granted no restricted stock awards to employees nor do we have any awards with market or performance conditions. For option grants to non-employees, we re-measure the fair value of the awards as they vest and the resulting value is recognized as an expense during the period over</w:t>
      </w:r>
    </w:p>
    <w:p>
      <w:pPr>
        <w:sectPr>
          <w:pgSz w:w="11900" w:h="16942" w:orient="portrait"/>
          <w:cols w:equalWidth="0" w:num="1">
            <w:col w:w="11420"/>
          </w:cols>
          <w:pgMar w:left="240" w:top="337" w:right="239" w:bottom="0" w:gutter="0" w:footer="0" w:header="0"/>
        </w:sectPr>
      </w:pPr>
    </w:p>
    <w:bookmarkStart w:id="131" w:name="page132"/>
    <w:bookmarkEnd w:id="131"/>
    <w:p>
      <w:pPr>
        <w:ind w:right="160"/>
        <w:spacing w:after="0" w:line="275" w:lineRule="auto"/>
        <w:rPr>
          <w:sz w:val="20"/>
          <w:szCs w:val="20"/>
          <w:color w:val="auto"/>
        </w:rPr>
      </w:pPr>
      <w:r>
        <w:rPr>
          <w:rFonts w:ascii="Times New Roman" w:cs="Times New Roman" w:eastAsia="Times New Roman" w:hAnsi="Times New Roman"/>
          <w:sz w:val="18"/>
          <w:szCs w:val="18"/>
          <w:color w:val="auto"/>
        </w:rPr>
        <w:t>which the services are performed. Compensatory grants of stock to non-employees are generally treated as fully-earned at the time of the grant and the non-cash expense recognized is based on the quoted market price of the stock on the date of grant.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account for income taxes using the asset and liability approach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concentrations of credit risk, consist of cash and cash equivalents. Our investment policies limit any such investments to short-term, low-risk investments. We deposit cash and cash equivalents with quality financial institutions and are insured to the maximum of federal limitations. Balances in these accounts may exceed federally insured limits at times.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5"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Although we did not have a warrant liability at March 31, 2017 or 2016, in conjunction with certain Senior Secured Convertible Promissory Notes that we issued to Platinum Long Term Growth VII, LLC (</w:t>
      </w:r>
      <w:r>
        <w:rPr>
          <w:rFonts w:ascii="Times New Roman" w:cs="Times New Roman" w:eastAsia="Times New Roman" w:hAnsi="Times New Roman"/>
          <w:sz w:val="18"/>
          <w:szCs w:val="18"/>
          <w:i w:val="1"/>
          <w:iCs w:val="1"/>
          <w:color w:val="auto"/>
        </w:rPr>
        <w:t>PLTG</w:t>
      </w:r>
      <w:r>
        <w:rPr>
          <w:rFonts w:ascii="Times New Roman" w:cs="Times New Roman" w:eastAsia="Times New Roman" w:hAnsi="Times New Roman"/>
          <w:sz w:val="18"/>
          <w:szCs w:val="18"/>
          <w:color w:val="auto"/>
        </w:rPr>
        <w:t xml:space="preserve">) between October 2012 and July 2013 and the related warrants, and the contingently issuable Series A Exchange Warrant (collectively, the </w:t>
      </w:r>
      <w:r>
        <w:rPr>
          <w:rFonts w:ascii="Times New Roman" w:cs="Times New Roman" w:eastAsia="Times New Roman" w:hAnsi="Times New Roman"/>
          <w:sz w:val="18"/>
          <w:szCs w:val="18"/>
          <w:i w:val="1"/>
          <w:iCs w:val="1"/>
          <w:color w:val="auto"/>
        </w:rPr>
        <w:t>PLTG Warrants</w:t>
      </w:r>
      <w:r>
        <w:rPr>
          <w:rFonts w:ascii="Times New Roman" w:cs="Times New Roman" w:eastAsia="Times New Roman" w:hAnsi="Times New Roman"/>
          <w:sz w:val="18"/>
          <w:szCs w:val="18"/>
          <w:color w:val="auto"/>
        </w:rPr>
        <w:t>), we determined that the PLTG Warrants included certain exercise price and other adjustment features requiring them to be treated as liabilities. Accordingly, the PLTG Warrants were recorded at their issuance-date estimated fair values and marked to market at each subsequent reporting period, recording the change in the fair value as non-cash expense or non-cash income. The key component in determining the fair value of the PLTG Warrants and the related liability was the market price of our common stock, which is subject to significant fluctuation and is not under our control. The resulting change in the fair value of the warrant liability on our net loss was therefore also subject to significant fluctuation and would have continued to be so until all of the PLTG Warrants were issued and exercised, amended or expired. Assuming all other fair value inputs remained generally constant, we recorded an increase in the warrant liability and non-cash losses when our stock price increased and a decrease in the warrant liability and non-cash income when our stock price decreased.</w:t>
      </w:r>
    </w:p>
    <w:p>
      <w:pPr>
        <w:spacing w:after="0" w:line="19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foregoing, and as disclosed in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xml:space="preserve">, in May 2015, we entered into an agreement with PLTG pursuant to which PLTG agreed to amend the PLTG Warrants to (i) fix the exercise price thereof at $7.00 per share, (ii) eliminate the exercise price reset features and (iii) fix the number of shares of our common stock issuable thereunder. This agreement and the related amendments to the PLTG Warrants resulted in the elimination of the warrant liability with respect to the PLTG Warrants during the quarter ended June 30, 2015 and the recognition of a non-cash loss of $1,874,700 in that quarter, reflecting the change in the fair value of the PLTG Warrants between March 31, 2015 and the date of their amendment. As further disclosed in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the PLTG Warrants, including the right to receive the Series A Exchange Warrant, were cancelled in exchange for our issuance of shares of our Series C Preferred stock to PLTG in January 2016.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We have no components of other comprehensive loss other than net loss, and accordingly our comprehensive loss is equivalent to our net loss for the periods presented.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Common Share Attributable to Common Stockholders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Basic net income (loss) attributable to common stockholders per share of common stock excludes the effect of dilution and is computed by dividing net income (loss) less the accrual for dividends on our Series B Preferred and the deemed dividend attributable to the issuance of our Series B Preferred Units by the weighted-average number of shares of common stock outstanding for the period. Diluted net income (loss) attributable to common stockholders per share of common stock reflects the potential dilution that could occur if securities or other contracts to issue shares of common stock were exercised or converted into shares of common stock. In calculating diluted net income (loss) attributable to common stockholders per share, we have historically adjusted the numerator for the change in the fair value of the warrant liability attributable to any outstanding PLTG Warrants, only if dilutive, and increased the denominator to include the number of potentially dilutive common shares assumed to be outstanding during the period using the treasury stock method. The change in the fair value of the warrant liability, which was last recognized in the first quarter of our fiscal year ended March 31, 2016, had no impact on the diluted net loss per share calculation for that fiscal year.</w:t>
      </w:r>
    </w:p>
    <w:p>
      <w:pPr>
        <w:spacing w:after="0" w:line="197"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As a result of our net loss for both years presented, potentially dilutive securities were excluded from the computation of diluted loss per share, as their effect would be antidilutive.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attributable to common stockholders per share was computed as follows: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41"/>
        </w:trPr>
        <w:tc>
          <w:tcPr>
            <w:tcW w:w="8820" w:type="dxa"/>
            <w:vAlign w:val="bottom"/>
          </w:tcPr>
          <w:p>
            <w:pPr>
              <w:spacing w:after="0"/>
              <w:rPr>
                <w:sz w:val="24"/>
                <w:szCs w:val="24"/>
                <w:color w:val="auto"/>
              </w:rPr>
            </w:pPr>
          </w:p>
        </w:tc>
        <w:tc>
          <w:tcPr>
            <w:tcW w:w="26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r>
      <w:tr>
        <w:trPr>
          <w:trHeight w:val="223"/>
        </w:trPr>
        <w:tc>
          <w:tcPr>
            <w:tcW w:w="88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19"/>
                <w:szCs w:val="19"/>
                <w:color w:val="auto"/>
              </w:rPr>
            </w:pPr>
          </w:p>
        </w:tc>
      </w:tr>
      <w:tr>
        <w:trPr>
          <w:trHeight w:val="215"/>
        </w:trPr>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Numerator:</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8"/>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attributable to common stockholders for basic and diluted earnings per share</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(11,623,600)</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(51,419,000)</w:t>
            </w:r>
          </w:p>
        </w:tc>
      </w:tr>
      <w:tr>
        <w:trPr>
          <w:trHeight w:val="210"/>
        </w:trPr>
        <w:tc>
          <w:tcPr>
            <w:tcW w:w="88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Denominator:</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Weighted average basic and diluted common shares outstanding</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7,531,642</w:t>
            </w:r>
          </w:p>
        </w:tc>
        <w:tc>
          <w:tcPr>
            <w:tcW w:w="2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1,767,957</w:t>
            </w:r>
          </w:p>
        </w:tc>
        <w:tc>
          <w:tcPr>
            <w:tcW w:w="14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25" w:right="239" w:bottom="0" w:gutter="0" w:footer="0" w:header="0"/>
        </w:sectPr>
      </w:pPr>
    </w:p>
    <w:bookmarkStart w:id="132" w:name="page133"/>
    <w:bookmarkEnd w:id="132"/>
    <w:p>
      <w:pPr>
        <w:spacing w:after="0"/>
        <w:tabs>
          <w:tab w:leader="none" w:pos="8740" w:val="left"/>
          <w:tab w:leader="none" w:pos="9480" w:val="left"/>
          <w:tab w:leader="none" w:pos="10120" w:val="left"/>
          <w:tab w:leader="none" w:pos="10760" w:val="left"/>
        </w:tabs>
        <w:rPr>
          <w:sz w:val="20"/>
          <w:szCs w:val="20"/>
          <w:color w:val="auto"/>
        </w:rPr>
      </w:pPr>
      <w:r>
        <w:rPr>
          <w:rFonts w:ascii="Times New Roman" w:cs="Times New Roman" w:eastAsia="Times New Roman" w:hAnsi="Times New Roman"/>
          <w:sz w:val="18"/>
          <w:szCs w:val="18"/>
          <w:color w:val="auto"/>
        </w:rPr>
        <w:t>Basic and diluted net loss attributable to common stockholders per common share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(1.54)</w:t>
        <w:tab/>
        <w:t>$</w:t>
      </w:r>
      <w:r>
        <w:rPr>
          <w:sz w:val="20"/>
          <w:szCs w:val="20"/>
          <w:color w:val="auto"/>
        </w:rPr>
        <w:tab/>
      </w:r>
      <w:r>
        <w:rPr>
          <w:rFonts w:ascii="Times New Roman" w:cs="Times New Roman" w:eastAsia="Times New Roman" w:hAnsi="Times New Roman"/>
          <w:sz w:val="16"/>
          <w:szCs w:val="16"/>
          <w:color w:val="auto"/>
        </w:rPr>
        <w:t>(29.08)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5567045</wp:posOffset>
            </wp:positionH>
            <wp:positionV relativeFrom="paragraph">
              <wp:posOffset>14605</wp:posOffset>
            </wp:positionV>
            <wp:extent cx="156083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60830" cy="3429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29210</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33" w:name="page134"/>
    <w:bookmarkEnd w:id="133"/>
    <w:p>
      <w:pPr>
        <w:spacing w:after="0" w:line="85"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Potentially dilutive securities excluded in determining diluted net loss per common share for the fiscal years ended March 31, 2017 and 2016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0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10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2017</w:t>
            </w:r>
          </w:p>
        </w:tc>
        <w:tc>
          <w:tcPr>
            <w:tcW w:w="136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Series A Preferred stock issued and outstanding </w:t>
            </w:r>
            <w:r>
              <w:rPr>
                <w:rFonts w:ascii="Times New Roman" w:cs="Times New Roman" w:eastAsia="Times New Roman" w:hAnsi="Times New Roman"/>
                <w:sz w:val="24"/>
                <w:szCs w:val="24"/>
                <w:color w:val="auto"/>
                <w:vertAlign w:val="superscript"/>
              </w:rPr>
              <w:t>(1)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Series B Preferred stock issued and outstanding </w:t>
            </w:r>
            <w:r>
              <w:rPr>
                <w:rFonts w:ascii="Times New Roman" w:cs="Times New Roman" w:eastAsia="Times New Roman" w:hAnsi="Times New Roman"/>
                <w:sz w:val="24"/>
                <w:szCs w:val="24"/>
                <w:color w:val="auto"/>
                <w:vertAlign w:val="superscript"/>
              </w:rPr>
              <w:t>(2)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1,160,240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3,663,077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Series C Preferred stock issued and outstanding </w:t>
            </w:r>
            <w:r>
              <w:rPr>
                <w:rFonts w:ascii="Times New Roman" w:cs="Times New Roman" w:eastAsia="Times New Roman" w:hAnsi="Times New Roman"/>
                <w:sz w:val="24"/>
                <w:szCs w:val="24"/>
                <w:color w:val="auto"/>
                <w:vertAlign w:val="superscript"/>
              </w:rPr>
              <w:t>(3)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2,318,012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2,318,012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under the 2016 (formerly 2008) and 1999 Stock Incentive Plans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1,659,324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warrants to purchase common stock</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4,577,631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1,907,221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10,465,207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8,975,297</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100" w:type="dxa"/>
            <w:vAlign w:val="bottom"/>
            <w:tcBorders>
              <w:top w:val="single" w:sz="8" w:color="auto"/>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200" w:hanging="192"/>
        <w:spacing w:after="0"/>
        <w:tabs>
          <w:tab w:leader="none" w:pos="20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Assumes exchange under the terms of the October 11, 2012 Note Exchange and Purchase Agreement with PLTG, as amended</w:t>
      </w:r>
    </w:p>
    <w:p>
      <w:pPr>
        <w:spacing w:after="0" w:line="21" w:lineRule="exact"/>
        <w:rPr>
          <w:rFonts w:ascii="Times New Roman" w:cs="Times New Roman" w:eastAsia="Times New Roman" w:hAnsi="Times New Roman"/>
          <w:sz w:val="12"/>
          <w:szCs w:val="12"/>
          <w:color w:val="auto"/>
        </w:rPr>
      </w:pPr>
    </w:p>
    <w:p>
      <w:pPr>
        <w:ind w:left="340" w:right="180" w:hanging="332"/>
        <w:spacing w:after="0" w:line="250" w:lineRule="auto"/>
        <w:tabs>
          <w:tab w:leader="none" w:pos="203"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Assumes exchange under the terms of the Certificate of Designation of the Relative Rights and Preferences of the Series B 10% Convertible Preferred Stock, effective May 5, 2015</w:t>
      </w:r>
    </w:p>
    <w:p>
      <w:pPr>
        <w:ind w:left="340" w:right="560" w:hanging="332"/>
        <w:spacing w:after="0" w:line="261" w:lineRule="auto"/>
        <w:tabs>
          <w:tab w:leader="none" w:pos="203"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Assumes exchange under the terms of the Certificate of Designation of the Relative Rights and Preferences of the Series C Convertible Preferred Stock, effective January 25, 2016</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We believe the following recent accounting pronouncements or changes in accounting pronouncements are of significance or potential significance to the Company.</w:t>
      </w:r>
    </w:p>
    <w:p>
      <w:pPr>
        <w:spacing w:after="0" w:line="172"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 xml:space="preserve">In May 2014, the Financial Accounting Standards Board (the </w:t>
      </w:r>
      <w:r>
        <w:rPr>
          <w:rFonts w:ascii="Times New Roman" w:cs="Times New Roman" w:eastAsia="Times New Roman" w:hAnsi="Times New Roman"/>
          <w:sz w:val="16"/>
          <w:szCs w:val="16"/>
          <w:i w:val="1"/>
          <w:iCs w:val="1"/>
          <w:color w:val="auto"/>
        </w:rPr>
        <w:t>FASB</w:t>
      </w:r>
      <w:r>
        <w:rPr>
          <w:rFonts w:ascii="Times New Roman" w:cs="Times New Roman" w:eastAsia="Times New Roman" w:hAnsi="Times New Roman"/>
          <w:sz w:val="16"/>
          <w:szCs w:val="16"/>
          <w:color w:val="auto"/>
        </w:rPr>
        <w:t xml:space="preserve">) issued ASU No. 2014-09,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standard creates a five-step model that requires entities to exercise judgment when considering the recognition of revenue, including (1) identifying the contract(s) with the customer, (2) identifying the separate performance obligations in the contract, (3) determining the transaction price, (4) allocating the transaction price to the separate performance obligations, and (5) recognizing revenue as each performance obligation is satisfied. The standard also requires additional disclosure about the nature, amount, timing and uncertainty of revenue and cash flows arising from customer contracts, including qualitative and quantitative information about contracts with customers, significant judgments and changes in judgments and assets recognized with respect to costs incurred to obtain or fulfill a contract. The FASB has continued to issue accounting standards updates to clarify and provide implementation guidance related to Revenue from Contracts with Customers, including ASU 2016-08</w:t>
      </w:r>
      <w:r>
        <w:rPr>
          <w:rFonts w:ascii="Times New Roman" w:cs="Times New Roman" w:eastAsia="Times New Roman" w:hAnsi="Times New Roman"/>
          <w:sz w:val="16"/>
          <w:szCs w:val="16"/>
          <w:i w:val="1"/>
          <w:iCs w:val="1"/>
          <w:color w:val="auto"/>
        </w:rPr>
        <w:t>, Revenue from Contract with Customers: Principal versus Agent Considerations</w:t>
      </w:r>
      <w:r>
        <w:rPr>
          <w:rFonts w:ascii="Times New Roman" w:cs="Times New Roman" w:eastAsia="Times New Roman" w:hAnsi="Times New Roman"/>
          <w:sz w:val="16"/>
          <w:szCs w:val="16"/>
          <w:color w:val="auto"/>
        </w:rPr>
        <w:t xml:space="preserve">, ASU 2016-10, </w:t>
      </w:r>
      <w:r>
        <w:rPr>
          <w:rFonts w:ascii="Times New Roman" w:cs="Times New Roman" w:eastAsia="Times New Roman" w:hAnsi="Times New Roman"/>
          <w:sz w:val="16"/>
          <w:szCs w:val="16"/>
          <w:i w:val="1"/>
          <w:iCs w:val="1"/>
          <w:color w:val="auto"/>
        </w:rPr>
        <w:t>Revenue from Contracts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with Customers: Identifying Performance Obligations and Licensing</w:t>
      </w:r>
      <w:r>
        <w:rPr>
          <w:rFonts w:ascii="Times New Roman" w:cs="Times New Roman" w:eastAsia="Times New Roman" w:hAnsi="Times New Roman"/>
          <w:sz w:val="16"/>
          <w:szCs w:val="16"/>
          <w:color w:val="auto"/>
        </w:rPr>
        <w:t>, and ASU 2016-12,</w:t>
      </w:r>
      <w:r>
        <w:rPr>
          <w:rFonts w:ascii="Times New Roman" w:cs="Times New Roman" w:eastAsia="Times New Roman" w:hAnsi="Times New Roman"/>
          <w:sz w:val="16"/>
          <w:szCs w:val="16"/>
          <w:i w:val="1"/>
          <w:iCs w:val="1"/>
          <w:color w:val="auto"/>
        </w:rPr>
        <w:t xml:space="preserve"> Revenue from Contracts with Customers: Narrow-Scope Improvements and Practical Expedients. </w:t>
      </w:r>
      <w:r>
        <w:rPr>
          <w:rFonts w:ascii="Times New Roman" w:cs="Times New Roman" w:eastAsia="Times New Roman" w:hAnsi="Times New Roman"/>
          <w:sz w:val="16"/>
          <w:szCs w:val="16"/>
          <w:color w:val="auto"/>
        </w:rPr>
        <w:t>These amendments address a number of areas, including a company’s identification of its performance obligations in a contract,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collectability, non-cash consideration, presentation of sales tax and a company’s evaluation of the nature of its promise to grant a license of intellectual property and whether or not that revenue is recognized over time or at a point in time. These new standards will be effective for our fiscal year beginning April 1, 2018, with earlier adoption permitted. We have completed our initial assessment of the new guidance and will be developing an implementation plan to evaluate the accounting and disclosure requirements under the new standards. Based on our assessment to date, we do not believe that adoption of Topic 606 and the related standards will have a material impact on our consolidated financial statements. We have not yet finalized our transition method for adoption of the new standards.</w:t>
      </w:r>
    </w:p>
    <w:p>
      <w:pPr>
        <w:spacing w:after="0" w:line="3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August 2014, the FASB issued ASU No. 2014-15, </w:t>
      </w:r>
      <w:r>
        <w:rPr>
          <w:rFonts w:ascii="Times New Roman" w:cs="Times New Roman" w:eastAsia="Times New Roman" w:hAnsi="Times New Roman"/>
          <w:sz w:val="18"/>
          <w:szCs w:val="18"/>
          <w:i w:val="1"/>
          <w:iCs w:val="1"/>
          <w:color w:val="auto"/>
        </w:rPr>
        <w:t>Presentation of Financial Statements—Going Concern (Subtopic 205-40): Disclosure of Uncertainties about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 Entity’s Ability to Continue as a Going Concern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ASU 2014-15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ASU sets forth a requirement for management to evaluate whether there are conditions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events that raise substantial doubt about an entity’s ability to continue as a going concern by 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or other disclosures when substantial doubt is not alleviated; and (6) require an assessment for a period of one year after the date the financial statements are issued or available to be issued. Substantial doubt about an entity’s ability to continue as a going concern exists when relevant conditions and events, considered in the aggregate, indicate that it is probable (as defined under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that the entity will be unable to meet its obligations as they become due within one year after the date that the financial statements are issued or are available to be issued. If substantial doubt exists, the extent of the required disclosures depends on an evaluation of management’s plans (if any) to mitigate the going concern uncertainty. This evaluation should include consideration of conditions and events that are either known or are reasonably knowable at the date the financial statements are issued or are available to be issued, as well as whether it is probable that management's plans to address the substantial doubt will be implemented and, if so, whether it is probable that the plans will alleviate the substantial doubt. We adopted ASU 2014-15 for our fiscal year ended March 31, 2017 and Note 2, </w:t>
      </w:r>
      <w:r>
        <w:rPr>
          <w:rFonts w:ascii="Times New Roman" w:cs="Times New Roman" w:eastAsia="Times New Roman" w:hAnsi="Times New Roman"/>
          <w:sz w:val="18"/>
          <w:szCs w:val="18"/>
          <w:i w:val="1"/>
          <w:iCs w:val="1"/>
          <w:color w:val="auto"/>
        </w:rPr>
        <w:t>Basis of Presentation and Going Concern</w:t>
      </w:r>
      <w:r>
        <w:rPr>
          <w:rFonts w:ascii="Times New Roman" w:cs="Times New Roman" w:eastAsia="Times New Roman" w:hAnsi="Times New Roman"/>
          <w:sz w:val="18"/>
          <w:szCs w:val="18"/>
          <w:color w:val="auto"/>
        </w:rPr>
        <w:t>, includes our disclosures regarding substantial doubt about our ability to continue as a going concern and the steps we have planned to alleviate such doubt for the twelve months following the date of the issuance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5"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6"/>
          <w:szCs w:val="16"/>
          <w:color w:val="auto"/>
        </w:rPr>
        <w:t xml:space="preserve">In April 2015, the FASB issued ASU No. 2015-03, </w:t>
      </w:r>
      <w:r>
        <w:rPr>
          <w:rFonts w:ascii="Times New Roman" w:cs="Times New Roman" w:eastAsia="Times New Roman" w:hAnsi="Times New Roman"/>
          <w:sz w:val="16"/>
          <w:szCs w:val="16"/>
          <w:i w:val="1"/>
          <w:iCs w:val="1"/>
          <w:color w:val="auto"/>
        </w:rPr>
        <w:t>Interest - Imputation of Interest (Subtopic 835-30): Simplifying the Presentation of Debt Issuance Costs</w:t>
      </w:r>
      <w:r>
        <w:rPr>
          <w:rFonts w:ascii="Times New Roman" w:cs="Times New Roman" w:eastAsia="Times New Roman" w:hAnsi="Times New Roman"/>
          <w:sz w:val="16"/>
          <w:szCs w:val="16"/>
          <w:color w:val="auto"/>
        </w:rPr>
        <w:t>. The amendments in this ASU require that debt issuance costs related to a recognized debt liability be presented in the balance sheet as a direct deduction from the carrying amount of that debt liability, consistent with debt discounts. The amendments in this update are effective for financial statements issued for fiscal years</w:t>
      </w:r>
    </w:p>
    <w:p>
      <w:pPr>
        <w:sectPr>
          <w:pgSz w:w="11900" w:h="16923" w:orient="portrait"/>
          <w:cols w:equalWidth="0" w:num="1">
            <w:col w:w="11420"/>
          </w:cols>
          <w:pgMar w:left="240" w:top="123" w:right="239" w:bottom="0" w:gutter="0" w:footer="0" w:header="0"/>
        </w:sectPr>
      </w:pPr>
    </w:p>
    <w:bookmarkStart w:id="134" w:name="page135"/>
    <w:bookmarkEnd w:id="134"/>
    <w:p>
      <w:pPr>
        <w:spacing w:after="0" w:line="6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ending after December 31, 2015, and interim periods within those fiscal years. We have adopted this ASU effective with our fiscal year beginning April 1, 2016, but have incurred no debt issuance costs since that date.</w:t>
      </w:r>
    </w:p>
    <w:p>
      <w:pPr>
        <w:spacing w:after="0" w:line="172" w:lineRule="exact"/>
        <w:rPr>
          <w:sz w:val="20"/>
          <w:szCs w:val="20"/>
          <w:color w:val="auto"/>
        </w:rPr>
      </w:pPr>
    </w:p>
    <w:p>
      <w:pPr>
        <w:jc w:val="both"/>
        <w:ind w:right="360"/>
        <w:spacing w:after="0" w:line="312" w:lineRule="auto"/>
        <w:rPr>
          <w:sz w:val="20"/>
          <w:szCs w:val="20"/>
          <w:color w:val="auto"/>
        </w:rPr>
      </w:pPr>
      <w:r>
        <w:rPr>
          <w:rFonts w:ascii="Times New Roman" w:cs="Times New Roman" w:eastAsia="Times New Roman" w:hAnsi="Times New Roman"/>
          <w:sz w:val="16"/>
          <w:szCs w:val="16"/>
          <w:color w:val="auto"/>
        </w:rPr>
        <w:t xml:space="preserve">In November 2015, the FASB issued ASU No. 2015-17, </w:t>
      </w:r>
      <w:r>
        <w:rPr>
          <w:rFonts w:ascii="Times New Roman" w:cs="Times New Roman" w:eastAsia="Times New Roman" w:hAnsi="Times New Roman"/>
          <w:sz w:val="16"/>
          <w:szCs w:val="16"/>
          <w:i w:val="1"/>
          <w:iCs w:val="1"/>
          <w:color w:val="auto"/>
        </w:rPr>
        <w:t>Balance Sheet Classification of Deferred Taxes</w:t>
      </w:r>
      <w:r>
        <w:rPr>
          <w:rFonts w:ascii="Times New Roman" w:cs="Times New Roman" w:eastAsia="Times New Roman" w:hAnsi="Times New Roman"/>
          <w:sz w:val="16"/>
          <w:szCs w:val="16"/>
          <w:color w:val="auto"/>
        </w:rPr>
        <w:t>, which amends existing guidance on income taxes to require the classification of all deferred tax assets and liabilities as non-current on the balance sheet. We have adopted this ASU effective with our fiscal year beginning April 1, 2017 on a prospective basis. We do not expect this ASU to have a material impact on our consolidated financial statements</w:t>
      </w:r>
    </w:p>
    <w:p>
      <w:pPr>
        <w:spacing w:after="0" w:line="14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 xml:space="preserve">In January 2016, the FASB issued ASU No. 2016-01, </w:t>
      </w:r>
      <w:r>
        <w:rPr>
          <w:rFonts w:ascii="Times New Roman" w:cs="Times New Roman" w:eastAsia="Times New Roman" w:hAnsi="Times New Roman"/>
          <w:sz w:val="18"/>
          <w:szCs w:val="18"/>
          <w:i w:val="1"/>
          <w:iCs w:val="1"/>
          <w:color w:val="auto"/>
        </w:rPr>
        <w:t>Financial Instruments - Overall: Recognition and Measurement of Financial Assets and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The updated guidance enhances the reporting model for financial instruments, which includes amendments to address aspects of recognition,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presentation and disclosure. The amendment to the standard is effective for financial statements issued for our fiscal year beginning April 1, 2018. We do not believe that this ASU will have a material impact on our consolidated financial statements.</w:t>
      </w:r>
    </w:p>
    <w:p>
      <w:pPr>
        <w:spacing w:after="0" w:line="187"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 xml:space="preserve">In February 2016, the FASB issued ASU 2016-02,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ASC 842</w:t>
      </w:r>
      <w:r>
        <w:rPr>
          <w:rFonts w:ascii="Times New Roman" w:cs="Times New Roman" w:eastAsia="Times New Roman" w:hAnsi="Times New Roman"/>
          <w:sz w:val="16"/>
          <w:szCs w:val="16"/>
          <w:color w:val="auto"/>
        </w:rPr>
        <w:t xml:space="preserve">), which will replace the existing guidance in ASC 840,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and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the current guidance for operating leases. The standard is effective for financial statements issued for fiscal years beginning after December 15, 2018, and interim periods within those fiscal years, with early adoption permitted. We are in the process of evaluating the impact that this new guidance will have on our consolidated financial statements.</w:t>
      </w:r>
    </w:p>
    <w:p>
      <w:pPr>
        <w:spacing w:after="0" w:line="166"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Compensation—Stock Compensation (Topic 718):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which includes multiple provisions intended to simplify several aspects of accounting for share-based payment transactions, including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classification of awards as either equity or liabilities, an option to recognize gross stock compensation expense with actual forfeitures recognized as they occur, as well as certain classifications on the statement of cash flows. The standard is effective for our fiscal year beginning April 1, 2017. We are evaluating the impact of this ASU on our consolidated financial statements.</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Statement of Cash Flows (Topic 230): Classification of Certain Cash Receipts and Cash Payments</w:t>
      </w:r>
      <w:r>
        <w:rPr>
          <w:rFonts w:ascii="Times New Roman" w:cs="Times New Roman" w:eastAsia="Times New Roman" w:hAnsi="Times New Roman"/>
          <w:sz w:val="18"/>
          <w:szCs w:val="18"/>
          <w:color w:val="auto"/>
        </w:rPr>
        <w:t>. The standard reduces the diversity in practice of how certain cash receipts and cash payments are presented and classified in the statement of cash flows. The guidance addresses the following eight specific cash flow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settlement of corporate-owned life insurance policies, including bank-owned life insurance policies, (6) distributions received from equity method investees, (7) beneficial interests in securitization transitions and (8) separately identifiable cash flows and application of predominance principle. The guidance will be effective for our fiscal year beginning April 1, 2018, and early adoption is permitted. The guidance requires retrospective adoption. We are evaluating the impact of this ASU on our consolidated financial statements and related disclosures.</w:t>
      </w:r>
    </w:p>
    <w:p>
      <w:pPr>
        <w:spacing w:after="0" w:line="19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2016, the FASB issued ASU No. 2016-18, </w:t>
      </w:r>
      <w:r>
        <w:rPr>
          <w:rFonts w:ascii="Times New Roman" w:cs="Times New Roman" w:eastAsia="Times New Roman" w:hAnsi="Times New Roman"/>
          <w:sz w:val="18"/>
          <w:szCs w:val="18"/>
          <w:i w:val="1"/>
          <w:iCs w:val="1"/>
          <w:color w:val="auto"/>
        </w:rPr>
        <w:t>Statement of Cash Flows (Topic 230): Restricted Cash</w:t>
      </w:r>
      <w:r>
        <w:rPr>
          <w:rFonts w:ascii="Times New Roman" w:cs="Times New Roman" w:eastAsia="Times New Roman" w:hAnsi="Times New Roman"/>
          <w:sz w:val="18"/>
          <w:szCs w:val="18"/>
          <w:color w:val="auto"/>
        </w:rPr>
        <w:t xml:space="preserve"> that changes the presentation of restricted cash and cash equivalents on the statement of cash flows. Restricted cash and restricted cash equivalents must be included with cash and cash equivalents when reconciling the beginning-of-period and end-of-period total amounts shown on the statement of cash flows. This standard is effective for our fiscal year beginning April 1, 2018, but early adoption is permissible. As we do not currently have nor have we historically had restricted cash or restricted cash equivalents, we do not believe that this ASU will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5"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use derivative instruments for hedging of market risks or for trading or speculative purposes.</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follow the principles of fair value accounting as they relate to our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191" w:lineRule="exact"/>
        <w:rPr>
          <w:sz w:val="20"/>
          <w:szCs w:val="20"/>
          <w:color w:val="auto"/>
        </w:rPr>
      </w:pPr>
    </w:p>
    <w:p>
      <w:pPr>
        <w:ind w:left="660" w:hanging="328"/>
        <w:spacing w:after="0" w:line="277"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(unadjusted) in active markets that are accessible at the measurement date for assets or liabilities. The fair value hierarchy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gives the highest priority to Level 1 inputs.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4"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quoted prices for similar assets or liabilities;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markets that are not active; or other inputs that are observable or can be corroborated by observable market data for substantially the full term of the assets or liabilities.</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64"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w:t>
      </w:r>
      <w:r>
        <w:rPr>
          <w:rFonts w:ascii="Times New Roman" w:cs="Times New Roman" w:eastAsia="Times New Roman" w:hAnsi="Times New Roman"/>
          <w:sz w:val="18"/>
          <w:szCs w:val="18"/>
          <w:i w:val="1"/>
          <w:iCs w:val="1"/>
          <w:color w:val="auto"/>
        </w:rPr>
        <w:t xml:space="preserve">i.e., </w:t>
      </w:r>
      <w:r>
        <w:rPr>
          <w:rFonts w:ascii="Times New Roman" w:cs="Times New Roman" w:eastAsia="Times New Roman" w:hAnsi="Times New Roman"/>
          <w:sz w:val="18"/>
          <w:szCs w:val="18"/>
          <w:color w:val="auto"/>
        </w:rPr>
        <w:t>inputs that reflect the reporting entity’s own assumptions about the assumptions that market participants would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estimating the fair value of an asset or liability) are used when little or no market data is available. The fair value hierarchy gives the lowest priority to Level 3 inputs.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w:t>
      </w:r>
    </w:p>
    <w:p>
      <w:pPr>
        <w:spacing w:after="0" w:line="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measurement. Where quoted prices are available in an active market, securities are classified as Level 1 of the valuation hierarchy. If quoted market prices are not available for the specific financial instrument, then we estimate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ectPr>
          <w:pgSz w:w="11900" w:h="16907" w:orient="portrait"/>
          <w:cols w:equalWidth="0" w:num="1">
            <w:col w:w="11420"/>
          </w:cols>
          <w:pgMar w:left="240" w:top="125" w:right="239" w:bottom="0" w:gutter="0" w:footer="0" w:header="0"/>
        </w:sectPr>
      </w:pPr>
    </w:p>
    <w:bookmarkStart w:id="135" w:name="page136"/>
    <w:bookmarkEnd w:id="135"/>
    <w:p>
      <w:pPr>
        <w:ind w:right="40"/>
        <w:spacing w:after="0" w:line="253" w:lineRule="auto"/>
        <w:rPr>
          <w:sz w:val="20"/>
          <w:szCs w:val="20"/>
          <w:color w:val="auto"/>
        </w:rPr>
      </w:pPr>
      <w:r>
        <w:rPr>
          <w:rFonts w:ascii="Times New Roman" w:cs="Times New Roman" w:eastAsia="Times New Roman" w:hAnsi="Times New Roman"/>
          <w:sz w:val="18"/>
          <w:szCs w:val="18"/>
          <w:color w:val="auto"/>
        </w:rPr>
        <w:t>In conjunction with certain Senior Secured Convertible Promissory Notes that we issued to PLTG between October 2012 and July 2013 and the related PLTG Warrants, and the contingently issuable Series A Exchange Warrant, we determined that the warrants included certain exercise price and other adjustment features requiring the warrants to be treated as liabilities, which were recorded at their issuance-date estimated fair values and marked to market at each subsequent reporting period. We determined the fair value of the warrant liabilities using Level 3 (unobservable) inputs, since there was minimal comparable external market data available. Inputs used to determine fair value included the remaining contractual term of the warrants, risk-free interest rates, expected volatility of the price of the underlying common stock, and the probability of a financing transaction that would trigger a reset in the warrant exercise price, and, in the case of the Series A Exchange Warrant, the probability of PLTG’s exchange of the shares of Series A Preferred it holds into shares of common stock. The change in the fair value of these warrant liabilities between March 31, 2015 and their subsequent elimination (described below) was recognized as a non-cash expense in the Consolidated Statement of Operations and Comprehensive Loss for the fiscal year ended March 31, 2016.</w:t>
      </w:r>
    </w:p>
    <w:p>
      <w:pPr>
        <w:spacing w:after="0" w:line="19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May 2015, we entered into an agreement with PLTG pursuant to which PLTG agreed to amend the PLTG Warrants to (i) fix the exercise price thereof at $7.00 per share, (ii) eliminate the exercise price reset features and (iii) fix the number of shares of our common stock issuable thereunder. This agreement and the related modification of the PLTG Warrants resulted in the elimination of the warrant liability with respect to the PLTG Warrants during the quarter ended June 30, 2015.</w:t>
      </w:r>
    </w:p>
    <w:p>
      <w:pPr>
        <w:spacing w:after="0" w:line="190"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6"/>
          <w:szCs w:val="16"/>
          <w:color w:val="auto"/>
        </w:rPr>
        <w:t>In January 2016, we entered into an Exchange Agreement with PLTG pursuant to which PLTG exchanged all outstanding PLTG Warrants plus the shares issuable pursuant to the Series A Preferred Exchange Warrant for unregistered shares of our Series C Convertible Preferred Stock (</w:t>
      </w:r>
      <w:r>
        <w:rPr>
          <w:rFonts w:ascii="Times New Roman" w:cs="Times New Roman" w:eastAsia="Times New Roman" w:hAnsi="Times New Roman"/>
          <w:sz w:val="16"/>
          <w:szCs w:val="16"/>
          <w:i w:val="1"/>
          <w:iCs w:val="1"/>
          <w:color w:val="auto"/>
        </w:rPr>
        <w:t>Series C Preferred</w:t>
      </w:r>
      <w:r>
        <w:rPr>
          <w:rFonts w:ascii="Times New Roman" w:cs="Times New Roman" w:eastAsia="Times New Roman" w:hAnsi="Times New Roman"/>
          <w:sz w:val="16"/>
          <w:szCs w:val="16"/>
          <w:color w:val="auto"/>
        </w:rPr>
        <w:t>) in the ratio of 0.75 share of Series C Preferred for each warrant share cancelled. As a result of the Exchange Agreement, all warrants previously issued to PLTG have been cancelled.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We carried no assets or liabilities at fair value at March 31, 2017 or 2016.</w:t>
            </w:r>
          </w:p>
        </w:tc>
        <w:tc>
          <w:tcPr>
            <w:tcW w:w="3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tc>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tc>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March 31,</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3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vMerge w:val="continue"/>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37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85,800</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AV-101 materials and services</w:t>
            </w: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Prepaid compensation under financial advisory</w:t>
            </w: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other consulting agreements</w:t>
            </w: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Public offering expenses</w:t>
            </w: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other</w:t>
            </w:r>
          </w:p>
        </w:tc>
        <w:tc>
          <w:tcPr>
            <w:tcW w:w="3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456,600</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5"/>
        </w:trPr>
        <w:tc>
          <w:tcPr>
            <w:tcW w:w="53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2"/>
          </w:tcPr>
          <w:p>
            <w:pPr>
              <w:jc w:val="right"/>
              <w:ind w:right="3092"/>
              <w:spacing w:after="0"/>
              <w:rPr>
                <w:sz w:val="20"/>
                <w:szCs w:val="20"/>
                <w:color w:val="auto"/>
              </w:rPr>
            </w:pPr>
            <w:r>
              <w:rPr>
                <w:rFonts w:ascii="Times New Roman" w:cs="Times New Roman" w:eastAsia="Times New Roman" w:hAnsi="Times New Roman"/>
                <w:sz w:val="18"/>
                <w:szCs w:val="18"/>
                <w:color w:val="auto"/>
              </w:rPr>
              <w:t>F-13</w:t>
            </w: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20" w:type="dxa"/>
            <w:vAlign w:val="bottom"/>
            <w:gridSpan w:val="2"/>
          </w:tcPr>
          <w:p>
            <w:pPr>
              <w:spacing w:after="0"/>
              <w:rPr>
                <w:rFonts w:ascii="Times New Roman" w:cs="Times New Roman" w:eastAsia="Times New Roman" w:hAnsi="Times New Roman"/>
                <w:sz w:val="18"/>
                <w:szCs w:val="18"/>
                <w:i w:val="1"/>
                <w:iCs w:val="1"/>
                <w:color w:val="0000EE"/>
              </w:rPr>
            </w:pPr>
            <w:hyperlink w:anchor="page5">
              <w:r>
                <w:rPr>
                  <w:rFonts w:ascii="Times New Roman" w:cs="Times New Roman" w:eastAsia="Times New Roman" w:hAnsi="Times New Roman"/>
                  <w:sz w:val="18"/>
                  <w:szCs w:val="18"/>
                  <w:i w:val="1"/>
                  <w:iCs w:val="1"/>
                  <w:color w:val="0000EE"/>
                </w:rPr>
                <w:t>Table of Contents</w:t>
              </w:r>
            </w:hyperlink>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tc>
        <w:tc>
          <w:tcPr>
            <w:tcW w:w="240" w:type="dxa"/>
            <w:vAlign w:val="bottom"/>
          </w:tcPr>
          <w:p>
            <w:pPr>
              <w:spacing w:after="0"/>
              <w:rPr>
                <w:sz w:val="24"/>
                <w:szCs w:val="24"/>
                <w:color w:val="auto"/>
              </w:rPr>
            </w:pPr>
          </w:p>
        </w:tc>
        <w:tc>
          <w:tcPr>
            <w:tcW w:w="1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4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vMerge w:val="continue"/>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Laboratory equipment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888,300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Tenant improvements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Computers and network equipment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79,700</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(761,400)</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(711,000)</w:t>
            </w:r>
          </w:p>
        </w:tc>
        <w:tc>
          <w:tcPr>
            <w:tcW w:w="0" w:type="dxa"/>
            <w:vAlign w:val="bottom"/>
          </w:tcPr>
          <w:p>
            <w:pPr>
              <w:spacing w:after="0"/>
              <w:rPr>
                <w:sz w:val="1"/>
                <w:szCs w:val="1"/>
                <w:color w:val="auto"/>
              </w:rPr>
            </w:pPr>
          </w:p>
        </w:tc>
      </w:tr>
      <w:tr>
        <w:trPr>
          <w:trHeight w:val="216"/>
        </w:trPr>
        <w:tc>
          <w:tcPr>
            <w:tcW w:w="1240" w:type="dxa"/>
            <w:vAlign w:val="bottom"/>
            <w:tcBorders>
              <w:top w:val="single" w:sz="8" w:color="CCEEFF"/>
            </w:tcBorders>
          </w:tcPr>
          <w:p>
            <w:pPr>
              <w:spacing w:after="0"/>
              <w:rPr>
                <w:sz w:val="18"/>
                <w:szCs w:val="18"/>
                <w:color w:val="auto"/>
              </w:rPr>
            </w:pPr>
          </w:p>
        </w:tc>
        <w:tc>
          <w:tcPr>
            <w:tcW w:w="75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8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286,500</w:t>
            </w:r>
          </w:p>
        </w:tc>
        <w:tc>
          <w:tcPr>
            <w:tcW w:w="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certain leased office equipment, none of our assets were subject to third party security interests at March 31, 2017 or 2016.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 of:</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March 31,</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vMerge w:val="continue"/>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252"/>
              <w:spacing w:after="0"/>
              <w:rPr>
                <w:sz w:val="20"/>
                <w:szCs w:val="20"/>
                <w:color w:val="auto"/>
              </w:rPr>
            </w:pPr>
            <w:r>
              <w:rPr>
                <w:rFonts w:ascii="Times New Roman" w:cs="Times New Roman" w:eastAsia="Times New Roman" w:hAnsi="Times New Roman"/>
                <w:sz w:val="18"/>
                <w:szCs w:val="18"/>
                <w:color w:val="auto"/>
              </w:rPr>
              <w:t>2017</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2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AV-101 development and related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402,400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443,000</w:t>
            </w:r>
          </w:p>
        </w:tc>
        <w:tc>
          <w:tcPr>
            <w:tcW w:w="26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Notes Payable</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45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notes payable: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March 31, 2017</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March 31, 2016</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1" w:lineRule="exact"/>
              <w:rPr>
                <w:sz w:val="20"/>
                <w:szCs w:val="20"/>
                <w:color w:val="auto"/>
              </w:rPr>
            </w:pPr>
            <w:r>
              <w:rPr>
                <w:rFonts w:ascii="Times New Roman" w:cs="Times New Roman" w:eastAsia="Times New Roman" w:hAnsi="Times New Roman"/>
                <w:sz w:val="18"/>
                <w:szCs w:val="18"/>
                <w:color w:val="auto"/>
                <w:w w:val="98"/>
              </w:rPr>
              <w:t>Principal</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360"/>
              <w:spacing w:after="0" w:line="201" w:lineRule="exact"/>
              <w:rPr>
                <w:sz w:val="20"/>
                <w:szCs w:val="20"/>
                <w:color w:val="auto"/>
              </w:rPr>
            </w:pPr>
            <w:r>
              <w:rPr>
                <w:rFonts w:ascii="Times New Roman" w:cs="Times New Roman" w:eastAsia="Times New Roman" w:hAnsi="Times New Roman"/>
                <w:sz w:val="18"/>
                <w:szCs w:val="18"/>
                <w:color w:val="auto"/>
                <w:w w:val="95"/>
              </w:rPr>
              <w:t>Accrued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220"/>
              <w:spacing w:after="0" w:line="201" w:lineRule="exact"/>
              <w:rPr>
                <w:sz w:val="20"/>
                <w:szCs w:val="20"/>
                <w:color w:val="auto"/>
              </w:rPr>
            </w:pPr>
            <w:r>
              <w:rPr>
                <w:rFonts w:ascii="Times New Roman" w:cs="Times New Roman" w:eastAsia="Times New Roman" w:hAnsi="Times New Roman"/>
                <w:sz w:val="18"/>
                <w:szCs w:val="18"/>
                <w:color w:val="auto"/>
                <w:w w:val="98"/>
              </w:rPr>
              <w:t>Principal</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8"/>
                <w:szCs w:val="18"/>
                <w:color w:val="auto"/>
                <w:w w:val="98"/>
              </w:rPr>
              <w:t>Accrued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Balance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Interest</w:t>
            </w:r>
          </w:p>
        </w:tc>
        <w:tc>
          <w:tcPr>
            <w:tcW w:w="180" w:type="dxa"/>
            <w:vAlign w:val="bottom"/>
          </w:tcPr>
          <w:p>
            <w:pPr>
              <w:spacing w:after="0"/>
              <w:rPr>
                <w:sz w:val="20"/>
                <w:szCs w:val="20"/>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Balance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Interest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8.25% Note payable to insurance</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premium financing company (current)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54,800</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 Note payable to Progressive Medical</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58,800</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(31,600)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(12,000)</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 Note payable - non-current portion</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27,200</w:t>
            </w: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notes payable to unrelated parties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54,800</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58,800</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(54,800)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(54,800)</w:t>
            </w:r>
          </w:p>
        </w:tc>
        <w:tc>
          <w:tcPr>
            <w:tcW w:w="12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(31,600)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(12,000)</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non-current portion</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27,200</w:t>
            </w: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In June 2016, we paid in full the $71,600 then-outstanding balance (principal and accrued but unpaid interest) of the promissory note we issued to Progressive Medical Research (</w:t>
      </w:r>
      <w:r>
        <w:rPr>
          <w:rFonts w:ascii="Times New Roman" w:cs="Times New Roman" w:eastAsia="Times New Roman" w:hAnsi="Times New Roman"/>
          <w:sz w:val="18"/>
          <w:szCs w:val="18"/>
          <w:i w:val="1"/>
          <w:iCs w:val="1"/>
          <w:color w:val="auto"/>
        </w:rPr>
        <w:t>PMR</w:t>
      </w:r>
      <w:r>
        <w:rPr>
          <w:rFonts w:ascii="Times New Roman" w:cs="Times New Roman" w:eastAsia="Times New Roman" w:hAnsi="Times New Roman"/>
          <w:sz w:val="18"/>
          <w:szCs w:val="18"/>
          <w:color w:val="auto"/>
        </w:rPr>
        <w:t>) in connection with our clinical development relationship with PMR.</w:t>
      </w:r>
    </w:p>
    <w:p>
      <w:pPr>
        <w:spacing w:after="0" w:line="17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May 2016, we executed a promissory note in the face amount of $117,500 in connection with certain insurance policy premiums. The note was payable in monthly installments of $12,100, including principal and interest, through March 2017. In February 2017, we executed a promissory note in the face amount of $60,700 in connection with other insurance policy premiums. The note is payable in monthly installments of $6,300, including principal and interest, and has an outstanding balance of $54,800 at March 31, 2017.</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5"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and Promissory Notes and Other Indebtedness Converted into Series B Preferred</w:t>
      </w:r>
    </w:p>
    <w:p>
      <w:pPr>
        <w:spacing w:after="0" w:line="229"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16"/>
          <w:szCs w:val="16"/>
          <w:color w:val="auto"/>
        </w:rPr>
        <w:t xml:space="preserve">Between May 2015 and September 2015, we extinguished outstanding indebtedness having a carrying value of approximately $15.9 million (principal plus unpaid accrued interest less unamortized debt discount), including all of our senior secured promissory notes, all except $58,800 principal of our unsecured promissory notes, and a substantial portion of other indebtedness, and certain adjustments thereto, that were either due and payable or would have become due and payable prior to March 31, 2016, by converting all such indebtedness into shares of our Series B Preferred (as described more completely in Note 9, </w:t>
      </w:r>
      <w:r>
        <w:rPr>
          <w:rFonts w:ascii="Times New Roman" w:cs="Times New Roman" w:eastAsia="Times New Roman" w:hAnsi="Times New Roman"/>
          <w:sz w:val="16"/>
          <w:szCs w:val="16"/>
          <w:i w:val="1"/>
          <w:iCs w:val="1"/>
          <w:color w:val="auto"/>
        </w:rPr>
        <w:t>Capital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Stock</w:t>
      </w:r>
      <w:r>
        <w:rPr>
          <w:rFonts w:ascii="Times New Roman" w:cs="Times New Roman" w:eastAsia="Times New Roman" w:hAnsi="Times New Roman"/>
          <w:sz w:val="16"/>
          <w:szCs w:val="16"/>
          <w:color w:val="auto"/>
        </w:rPr>
        <w:t>, under the caption</w:t>
      </w:r>
      <w:r>
        <w:rPr>
          <w:rFonts w:ascii="Times New Roman" w:cs="Times New Roman" w:eastAsia="Times New Roman" w:hAnsi="Times New Roman"/>
          <w:sz w:val="16"/>
          <w:szCs w:val="16"/>
          <w:i w:val="1"/>
          <w:iCs w:val="1"/>
          <w:color w:val="auto"/>
        </w:rPr>
        <w:t xml:space="preserve"> Series B Preferred Stock). </w:t>
      </w:r>
      <w:r>
        <w:rPr>
          <w:rFonts w:ascii="Times New Roman" w:cs="Times New Roman" w:eastAsia="Times New Roman" w:hAnsi="Times New Roman"/>
          <w:sz w:val="16"/>
          <w:szCs w:val="16"/>
          <w:color w:val="auto"/>
        </w:rPr>
        <w:t>Evaluating each note or debt class separately, we determined that the conversion of each of the notes or other</w:t>
      </w:r>
    </w:p>
    <w:p>
      <w:pPr>
        <w:sectPr>
          <w:pgSz w:w="11900" w:h="16838" w:orient="portrait"/>
          <w:cols w:equalWidth="0" w:num="1">
            <w:col w:w="11420"/>
          </w:cols>
          <w:pgMar w:left="240" w:top="108" w:right="239" w:bottom="0" w:gutter="0" w:footer="0" w:header="0"/>
        </w:sectPr>
      </w:pPr>
    </w:p>
    <w:bookmarkStart w:id="137" w:name="page138"/>
    <w:bookmarkEnd w:id="137"/>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debt instruments into Series B Preferred should be accounted for as an extinguishment of debt. Further, considering the direct exchangeability of the Series B Preferred shares into shares of our common stock, the 10% dividend applicable to the Series B Preferred prior to such exchange, and other factors, we determined that the fair value of a share of Series B Preferred issued pursuant to the conversion of each of the notes or other debt instruments was equal to the market value of a share of our common stock on the conversion date. Because the fair value of the Series B Preferred into which the debt instruments were converted in all cases exceeded the carrying value of the debt, we recorded an aggregate loss on extinguishment of debt of $26,700,200, in the first and second quarters of the fiscal year ended March 31, 2016, as reflected in the accompanying Consolidated Statement of Operations and Comprehensive Loss for that period. The carrying values and components of the loss on extinguishment of our notes and other indebtedness converted into Series B Preferred during our fiscal year ended March 31, 2016 are summarized in a table presented in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xml:space="preserve"> under the caption </w:t>
      </w:r>
      <w:r>
        <w:rPr>
          <w:rFonts w:ascii="Times New Roman" w:cs="Times New Roman" w:eastAsia="Times New Roman" w:hAnsi="Times New Roman"/>
          <w:sz w:val="18"/>
          <w:szCs w:val="18"/>
          <w:i w:val="1"/>
          <w:iCs w:val="1"/>
          <w:color w:val="auto"/>
        </w:rPr>
        <w:t>Conversion of Debt Securities into Series B Preferred and Loss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Extinguishment of Debt.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Capital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227"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8"/>
          <w:szCs w:val="18"/>
          <w:color w:val="auto"/>
        </w:rPr>
        <w:t>In December 2011, our Board of Directors authorized the creation of a series of up to 500,000 shares of Series A Preferred, par value $0.001 (</w:t>
      </w:r>
      <w:r>
        <w:rPr>
          <w:rFonts w:ascii="Times New Roman" w:cs="Times New Roman" w:eastAsia="Times New Roman" w:hAnsi="Times New Roman"/>
          <w:sz w:val="18"/>
          <w:szCs w:val="18"/>
          <w:i w:val="1"/>
          <w:iCs w:val="1"/>
          <w:color w:val="auto"/>
        </w:rPr>
        <w:t>Series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Preferred</w:t>
      </w:r>
      <w:r>
        <w:rPr>
          <w:rFonts w:ascii="Times New Roman" w:cs="Times New Roman" w:eastAsia="Times New Roman" w:hAnsi="Times New Roman"/>
          <w:sz w:val="18"/>
          <w:szCs w:val="18"/>
          <w:color w:val="auto"/>
        </w:rPr>
        <w:t>). Each restricted share of Series A Preferred was initially convertible at the option of the holder into one-half of one restricted share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The Series A Preferred ranks prior to the common stock for purposes of liquidation preference.</w:t>
      </w:r>
    </w:p>
    <w:p>
      <w:pPr>
        <w:spacing w:after="0" w:line="183"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The Series A Preferred has no separate dividend rights, however, whenever the Board of Directors declares a dividend on the common stock, each holder of record of a share of Series A Preferred shall be entitled to receive an amount equal to such dividend declared on one share of common stock multiplied by the number of shares of common stock into which such share of Series A Preferred could be converted on the Record Date.</w:t>
      </w:r>
    </w:p>
    <w:p>
      <w:pPr>
        <w:spacing w:after="0" w:line="186"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Except with respect to transactions upon which the Series A Preferred shall be entitled to vote separately as a class, the Series A Preferred has no voting rights. The restricted common stock into which the Series A Preferred is convertible shall, upon issuance, have all of the same voting rights as other issued and outstanding shares of our common stock.</w:t>
      </w:r>
    </w:p>
    <w:p>
      <w:pPr>
        <w:spacing w:after="0" w:line="186"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6"/>
          <w:szCs w:val="16"/>
          <w:color w:val="auto"/>
        </w:rPr>
        <w:t>In the event of the liquidation, dissolution or winding up of the affairs of the Company, after payment or provision for payment of our debts and other liabilities, the holders of Series A Preferred then outstanding shall be entitled to receive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converted before any payment shall be made or any assets distributed to the holders of the common stock or any other junior stock.</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At March 31, 2017 and 2016, there were 500,000 restricted shares of Series A Preferred outstanding, convertible into 750,000 shares of our common stock at the option of the holder, all held by PLTG or its affiliates and a third party to whom PLTG transferred certain of the shares. PLTG initially acquired the Series A Preferred pursuant to certain transactions with us that occurred between December 2011 and June 2012, the latter of which involved, among other considerations, the exchange of common stock then owned by PLTG for shares of Series A Preferred. The common shares exchanged for shares of Series A Preferred are treated as treasury stock in the accompanying Consolidated Balance Sheets at March 31, 2017 and 2016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229"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In July 2014, our Board of Directors authorized the creation of a class of Series B Preferred Stock. In May 2015, we filed a Certificate of Designation of the Relative Rights and Preferences of the Series B 10% Preferred Stock of VistaGen Therapeutics, Inc. (</w:t>
      </w:r>
      <w:r>
        <w:rPr>
          <w:rFonts w:ascii="Times New Roman" w:cs="Times New Roman" w:eastAsia="Times New Roman" w:hAnsi="Times New Roman"/>
          <w:sz w:val="18"/>
          <w:szCs w:val="18"/>
          <w:i w:val="1"/>
          <w:iCs w:val="1"/>
          <w:color w:val="auto"/>
        </w:rPr>
        <w:t>Certificate of Designation</w:t>
      </w:r>
      <w:r>
        <w:rPr>
          <w:rFonts w:ascii="Times New Roman" w:cs="Times New Roman" w:eastAsia="Times New Roman" w:hAnsi="Times New Roman"/>
          <w:sz w:val="18"/>
          <w:szCs w:val="18"/>
          <w:color w:val="auto"/>
        </w:rPr>
        <w:t>) with the Nevada Secretary of State to designate 4.0 million shares of our authorized preferred stock as Series B Preferred.</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Each share of Series B Preferred is convertible, at the option of the holder (</w:t>
      </w:r>
      <w:r>
        <w:rPr>
          <w:rFonts w:ascii="Times New Roman" w:cs="Times New Roman" w:eastAsia="Times New Roman" w:hAnsi="Times New Roman"/>
          <w:sz w:val="18"/>
          <w:szCs w:val="18"/>
          <w:i w:val="1"/>
          <w:iCs w:val="1"/>
          <w:color w:val="auto"/>
        </w:rPr>
        <w:t>Voluntary Conversion</w:t>
      </w:r>
      <w:r>
        <w:rPr>
          <w:rFonts w:ascii="Times New Roman" w:cs="Times New Roman" w:eastAsia="Times New Roman" w:hAnsi="Times New Roman"/>
          <w:sz w:val="18"/>
          <w:szCs w:val="18"/>
          <w:color w:val="auto"/>
        </w:rPr>
        <w:t>), into one (1) share of our Common Stock, subject to adjustment only for customary stock dividends, reclassifications, splits and similar transactions set forth in the Certificate of Designation. All outstanding shares of Series B Preferred are also convertible automatically on a one-to-one basis into shares of our Common Stock (</w:t>
      </w:r>
      <w:r>
        <w:rPr>
          <w:rFonts w:ascii="Times New Roman" w:cs="Times New Roman" w:eastAsia="Times New Roman" w:hAnsi="Times New Roman"/>
          <w:sz w:val="18"/>
          <w:szCs w:val="18"/>
          <w:i w:val="1"/>
          <w:iCs w:val="1"/>
          <w:color w:val="auto"/>
        </w:rPr>
        <w:t>Automatic Conversion</w:t>
      </w:r>
      <w:r>
        <w:rPr>
          <w:rFonts w:ascii="Times New Roman" w:cs="Times New Roman" w:eastAsia="Times New Roman" w:hAnsi="Times New Roman"/>
          <w:sz w:val="18"/>
          <w:szCs w:val="18"/>
          <w:color w:val="auto"/>
        </w:rPr>
        <w:t xml:space="preserve">) upon the closing or effective date of any of the following transactions or events: (i) a strategic transaction involving AV-101 with an initial up-front cash payment to us of at least $10.0 million; (ii) a registered public offering of our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are subject to certain beneficial ownership blockers as set forth in the Certificate of Designation and/or securities purchase agreements.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5"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6"/>
          <w:szCs w:val="16"/>
          <w:color w:val="auto"/>
        </w:rPr>
        <w:t>Prior to Conversion, shares of Series B Preferred accrue in-kind dividends (payable only in unregistered shares of our common stock) at a rate of 10% per annum (</w:t>
      </w:r>
      <w:r>
        <w:rPr>
          <w:rFonts w:ascii="Times New Roman" w:cs="Times New Roman" w:eastAsia="Times New Roman" w:hAnsi="Times New Roman"/>
          <w:sz w:val="16"/>
          <w:szCs w:val="16"/>
          <w:i w:val="1"/>
          <w:iCs w:val="1"/>
          <w:color w:val="auto"/>
        </w:rPr>
        <w:t>Accrued Dividends</w:t>
      </w:r>
      <w:r>
        <w:rPr>
          <w:rFonts w:ascii="Times New Roman" w:cs="Times New Roman" w:eastAsia="Times New Roman" w:hAnsi="Times New Roman"/>
          <w:sz w:val="16"/>
          <w:szCs w:val="16"/>
          <w:color w:val="auto"/>
        </w:rPr>
        <w:t>). The Accrued Dividends are payable on the date of either a Voluntary Conversion or Automatic Conversion solely in that number of shares of common stock equal to the Accrued Dividends. At March 31, 2017, we have recognized a liability in the amount of $1,577,800 for Accrued Dividends in the accompanying Consolidated Balance Sheet at March 31, 2017, based on the Series B Preferred issued and outstanding, net of conversions to common stock, through that date. We have recognized a deduction from net loss of $1,257,000 and $2,140,500 related to dividends on Series B Preferred in arriving at net loss attributable to common stockholders in the accompanying Consolidated Statement of Operations and Comprehensive Loss for the fiscal years ended March 31, 2017 and 2016, respectively. The liquidation value of the Series B Preferred at March 31, 2017 is approximately $9,699,500.</w:t>
      </w:r>
    </w:p>
    <w:p>
      <w:pPr>
        <w:spacing w:after="0" w:line="167"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6"/>
          <w:szCs w:val="16"/>
          <w:color w:val="auto"/>
        </w:rPr>
        <w:t>Following the completion of the May 2016 Public Offering, which occurred concurrently with and facilitated the listing of our common stock on the NASDAQ Capital Market, approximately 2.4 million shares of Series B Preferred were converted automatically into approximately 2.4 million shares of our common stock pursuant to the Automatic Conversion provision. At March 31, 2017, there were 1,160,240 shares of Series B Preferred outstanding, which shares are currently subject to beneficial ownership blockers and are exchangeable at the option of the respective holders by Voluntary Conversion, or pursuant to Automatic Conversion to the extent not otherwise subject to beneficial ownership blockers, into an aggregate of 1,160,240 shares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Preferred Stock</w:t>
      </w:r>
    </w:p>
    <w:p>
      <w:pPr>
        <w:sectPr>
          <w:pgSz w:w="11900" w:h="16838" w:orient="portrait"/>
          <w:cols w:equalWidth="0" w:num="1">
            <w:col w:w="11400"/>
          </w:cols>
          <w:pgMar w:left="240" w:top="125" w:right="259" w:bottom="63" w:gutter="0" w:footer="0" w:header="0"/>
        </w:sectPr>
      </w:pPr>
    </w:p>
    <w:bookmarkStart w:id="138" w:name="page139"/>
    <w:bookmarkEnd w:id="138"/>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January 2016, our Board authorized the creation of and, accordingly, we filed a Certificate of Designation of the Relative Rights and Preferences of the Series C Convertible Preferred Stock of VistaGen Therapeutics, Inc. (the </w:t>
      </w:r>
      <w:r>
        <w:rPr>
          <w:rFonts w:ascii="Times New Roman" w:cs="Times New Roman" w:eastAsia="Times New Roman" w:hAnsi="Times New Roman"/>
          <w:sz w:val="18"/>
          <w:szCs w:val="18"/>
          <w:i w:val="1"/>
          <w:iCs w:val="1"/>
          <w:color w:val="auto"/>
        </w:rPr>
        <w:t>Series C Preferred Certificate of Designation</w:t>
      </w:r>
      <w:r>
        <w:rPr>
          <w:rFonts w:ascii="Times New Roman" w:cs="Times New Roman" w:eastAsia="Times New Roman" w:hAnsi="Times New Roman"/>
          <w:sz w:val="18"/>
          <w:szCs w:val="18"/>
          <w:color w:val="auto"/>
        </w:rPr>
        <w:t>) with the Nevada Secretary of State to designate 3.0 million shares of our preferred stock, par value $0.001 per share, as Series C Convertible Preferred Stock (</w:t>
      </w:r>
      <w:r>
        <w:rPr>
          <w:rFonts w:ascii="Times New Roman" w:cs="Times New Roman" w:eastAsia="Times New Roman" w:hAnsi="Times New Roman"/>
          <w:sz w:val="18"/>
          <w:szCs w:val="18"/>
          <w:i w:val="1"/>
          <w:iCs w:val="1"/>
          <w:color w:val="auto"/>
        </w:rPr>
        <w:t>Series C Preferred</w:t>
      </w:r>
      <w:r>
        <w:rPr>
          <w:rFonts w:ascii="Times New Roman" w:cs="Times New Roman" w:eastAsia="Times New Roman" w:hAnsi="Times New Roman"/>
          <w:sz w:val="18"/>
          <w:szCs w:val="18"/>
          <w:color w:val="auto"/>
        </w:rPr>
        <w:t>). Upon liquidation, each share of Series C Preferred ranks pari-passu with our Series B Preferred and our Series A Preferred, and is convertible, at the option of the holder into one share of our common stock, subject to certain beneficial ownership limitations as set forth in the Series C Preferred Certificate of Designation. Shares of the Series C Preferred do not accrue dividends, and holders of the Series C Preferred have no voting rights. Each share of Series C Preferred is convertible into one (1) share of our common stock. At March 31, 2017, PLTG or its affiliates held all 2,318,012 outstanding shares of Series C Preferred.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Unit Private Placement</w:t>
      </w:r>
    </w:p>
    <w:p>
      <w:pPr>
        <w:spacing w:after="0" w:line="229"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6"/>
          <w:szCs w:val="16"/>
          <w:color w:val="auto"/>
        </w:rPr>
        <w:t>Between late-March 2014 and May 14, 2015, we entered into securities purchase agreements with accredited investors for the self-placed 2014 Unit Private Placement pursuant to which we sold 2014 Units consisting of (i) promissory notes (</w:t>
      </w:r>
      <w:r>
        <w:rPr>
          <w:rFonts w:ascii="Times New Roman" w:cs="Times New Roman" w:eastAsia="Times New Roman" w:hAnsi="Times New Roman"/>
          <w:sz w:val="16"/>
          <w:szCs w:val="16"/>
          <w:i w:val="1"/>
          <w:iCs w:val="1"/>
          <w:color w:val="auto"/>
        </w:rPr>
        <w:t>2014 Unit Notes</w:t>
      </w:r>
      <w:r>
        <w:rPr>
          <w:rFonts w:ascii="Times New Roman" w:cs="Times New Roman" w:eastAsia="Times New Roman" w:hAnsi="Times New Roman"/>
          <w:sz w:val="16"/>
          <w:szCs w:val="16"/>
          <w:color w:val="auto"/>
        </w:rPr>
        <w:t>) in the aggregate face amount of $3,413,500 due between March 31, 2015 and May 15, 2015 or automatically convertible into securities issuable upon our consummation of a Qualified Financing, as defined in the note;</w:t>
      </w:r>
    </w:p>
    <w:p>
      <w:pPr>
        <w:spacing w:after="0" w:line="1" w:lineRule="exact"/>
        <w:rPr>
          <w:sz w:val="20"/>
          <w:szCs w:val="20"/>
          <w:color w:val="auto"/>
        </w:rPr>
      </w:pPr>
    </w:p>
    <w:p>
      <w:pPr>
        <w:ind w:right="200" w:firstLine="8"/>
        <w:spacing w:after="0" w:line="255" w:lineRule="auto"/>
        <w:tabs>
          <w:tab w:leader="none" w:pos="25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315,850 restricted shares of our common stock; and (iii) warrants exercisable through December 31, 2016 to purchase an aggregate of 307,100 restricted shares of our common stock at an exercise price of $10.00 per share. We received aggregate cash proceeds of $3,413,500 from the 2014 Unit Private Placement. We sold 2014 Units resulting in $280,000 of cash proceeds during our fiscal year ended March 31, 2016.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May 2015 Agreement with PLTG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May 2015, we entered into an Agreement with PLTG (the </w:t>
      </w:r>
      <w:r>
        <w:rPr>
          <w:rFonts w:ascii="Times New Roman" w:cs="Times New Roman" w:eastAsia="Times New Roman" w:hAnsi="Times New Roman"/>
          <w:sz w:val="18"/>
          <w:szCs w:val="18"/>
          <w:i w:val="1"/>
          <w:iCs w:val="1"/>
          <w:color w:val="auto"/>
        </w:rPr>
        <w:t>PLTG Agreement</w:t>
      </w:r>
      <w:r>
        <w:rPr>
          <w:rFonts w:ascii="Times New Roman" w:cs="Times New Roman" w:eastAsia="Times New Roman" w:hAnsi="Times New Roman"/>
          <w:sz w:val="18"/>
          <w:szCs w:val="18"/>
          <w:color w:val="auto"/>
        </w:rPr>
        <w:t>) pursuant to which PLTG:</w:t>
      </w:r>
    </w:p>
    <w:p>
      <w:pPr>
        <w:spacing w:after="0" w:line="227" w:lineRule="exact"/>
        <w:rPr>
          <w:sz w:val="20"/>
          <w:szCs w:val="20"/>
          <w:color w:val="auto"/>
        </w:rPr>
      </w:pPr>
    </w:p>
    <w:p>
      <w:pPr>
        <w:ind w:left="660" w:hanging="328"/>
        <w:spacing w:after="0" w:line="257"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Converted into 641,335 shares of Series B Preferred all of the approximately $4.5 million outstanding balance (principal and accrued but unpaid interest) of the Senior Secured Notes we had previously issued to PLTG;</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in their entirety its security interests in our assets and those of our subsidiaries by terminating the Amended and Restated Security Agreement, IP Security Agreement and Negative Covenant, each of which had been executed in October 2012;</w:t>
      </w:r>
    </w:p>
    <w:p>
      <w:pPr>
        <w:jc w:val="both"/>
        <w:ind w:left="660" w:hanging="328"/>
        <w:spacing w:after="0" w:line="250"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Converted into 240,305 shares of Series B Preferred and five-year warrants to purchase 240,305 shares of our common stock at a fixed exercise price of $7.00 per share (</w:t>
      </w:r>
      <w:r>
        <w:rPr>
          <w:rFonts w:ascii="Times New Roman" w:cs="Times New Roman" w:eastAsia="Times New Roman" w:hAnsi="Times New Roman"/>
          <w:sz w:val="18"/>
          <w:szCs w:val="18"/>
          <w:i w:val="1"/>
          <w:iCs w:val="1"/>
          <w:color w:val="auto"/>
        </w:rPr>
        <w:t>Series B Warrants</w:t>
      </w:r>
      <w:r>
        <w:rPr>
          <w:rFonts w:ascii="Times New Roman" w:cs="Times New Roman" w:eastAsia="Times New Roman" w:hAnsi="Times New Roman"/>
          <w:sz w:val="18"/>
          <w:szCs w:val="18"/>
          <w:color w:val="auto"/>
        </w:rPr>
        <w:t>) all of the approximately $1.3 million outstanding balance (principal and accrued but unpaid interest) of the 2014 Unit Notes that we issued to PLTG;</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81" w:lineRule="auto"/>
        <w:tabs>
          <w:tab w:leader="none" w:pos="6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Purchased approximately $1.5 million (including accrued but unpaid interest thereon) of outstanding 2014 Unit Notes we had previously issued to various accredited investors from the respective holders thereof (</w:t>
      </w:r>
      <w:r>
        <w:rPr>
          <w:rFonts w:ascii="Times New Roman" w:cs="Times New Roman" w:eastAsia="Times New Roman" w:hAnsi="Times New Roman"/>
          <w:sz w:val="16"/>
          <w:szCs w:val="16"/>
          <w:i w:val="1"/>
          <w:iCs w:val="1"/>
          <w:color w:val="auto"/>
        </w:rPr>
        <w:t>Acquired Unit Notes</w:t>
      </w:r>
      <w:r>
        <w:rPr>
          <w:rFonts w:ascii="Times New Roman" w:cs="Times New Roman" w:eastAsia="Times New Roman" w:hAnsi="Times New Roman"/>
          <w:sz w:val="16"/>
          <w:szCs w:val="16"/>
          <w:color w:val="auto"/>
        </w:rPr>
        <w:t>) and converted the entire approximately $1.5 million outstanding balance of the Acquired Unit Notes into 265,699 shares of Series B Preferred and Series B Warrants to purchase 265,699 shares of our common stock;</w:t>
      </w:r>
    </w:p>
    <w:p>
      <w:pPr>
        <w:spacing w:after="0" w:line="2" w:lineRule="exact"/>
        <w:rPr>
          <w:rFonts w:ascii="Times New Roman" w:cs="Times New Roman" w:eastAsia="Times New Roman" w:hAnsi="Times New Roman"/>
          <w:sz w:val="16"/>
          <w:szCs w:val="16"/>
          <w:color w:val="auto"/>
        </w:rPr>
      </w:pPr>
    </w:p>
    <w:p>
      <w:pPr>
        <w:jc w:val="both"/>
        <w:ind w:left="660" w:hanging="328"/>
        <w:spacing w:after="0" w:line="250"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Securities Purchase Agreement (</w:t>
      </w:r>
      <w:r>
        <w:rPr>
          <w:rFonts w:ascii="Times New Roman" w:cs="Times New Roman" w:eastAsia="Times New Roman" w:hAnsi="Times New Roman"/>
          <w:sz w:val="18"/>
          <w:szCs w:val="18"/>
          <w:i w:val="1"/>
          <w:iCs w:val="1"/>
          <w:color w:val="auto"/>
        </w:rPr>
        <w:t>SPA</w:t>
      </w:r>
      <w:r>
        <w:rPr>
          <w:rFonts w:ascii="Times New Roman" w:cs="Times New Roman" w:eastAsia="Times New Roman" w:hAnsi="Times New Roman"/>
          <w:sz w:val="18"/>
          <w:szCs w:val="18"/>
          <w:color w:val="auto"/>
        </w:rPr>
        <w:t>) to purchase from us, in our self-placed private placement, for $1.0 million, a total of 142,857 shares of Series B Preferred and a Series B Warrant to purchase 142,857 shares of our common stock, which purchase was consummated and the shares and warrants issued;</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Amended the PLTG Warrants previously issued to PLTG in connection with the Senior Secured Notes and the Series A Exchange Warrant to (i) fix the exercise price thereof, (ii) eliminate the exercise price reset features; (iii) fix the number of shares of our common stock issuable thereunder, and (iv) eliminate the cashless exercise provisions from the PLTG Warrants, as described in Note 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to refrain from the sale of any shares of our common stock held by PLTG or its affiliates until the earlier to occur of an effective registration statement under the Securities Act of 1933, as amended, relating to resale of certain shares of common stock issuable upon conversion of shares of Series B Preferred held by PLTG, or the closing price of our common stock is at least $15.00 per share.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5"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6"/>
          <w:szCs w:val="16"/>
          <w:color w:val="auto"/>
        </w:rPr>
        <w:t>As additional consideration under the PLTG Agreement, we issued to PLTG 400,000 shares of Series B Preferred (</w:t>
      </w:r>
      <w:r>
        <w:rPr>
          <w:rFonts w:ascii="Times New Roman" w:cs="Times New Roman" w:eastAsia="Times New Roman" w:hAnsi="Times New Roman"/>
          <w:sz w:val="16"/>
          <w:szCs w:val="16"/>
          <w:i w:val="1"/>
          <w:iCs w:val="1"/>
          <w:color w:val="auto"/>
        </w:rPr>
        <w:t>Additional Consideration Shares</w:t>
      </w:r>
      <w:r>
        <w:rPr>
          <w:rFonts w:ascii="Times New Roman" w:cs="Times New Roman" w:eastAsia="Times New Roman" w:hAnsi="Times New Roman"/>
          <w:sz w:val="16"/>
          <w:szCs w:val="16"/>
          <w:color w:val="auto"/>
        </w:rPr>
        <w:t>) and Series B Warrants (</w:t>
      </w:r>
      <w:r>
        <w:rPr>
          <w:rFonts w:ascii="Times New Roman" w:cs="Times New Roman" w:eastAsia="Times New Roman" w:hAnsi="Times New Roman"/>
          <w:sz w:val="16"/>
          <w:szCs w:val="16"/>
          <w:i w:val="1"/>
          <w:iCs w:val="1"/>
          <w:color w:val="auto"/>
        </w:rPr>
        <w:t>Additional Consideration Warrants</w:t>
      </w:r>
      <w:r>
        <w:rPr>
          <w:rFonts w:ascii="Times New Roman" w:cs="Times New Roman" w:eastAsia="Times New Roman" w:hAnsi="Times New Roman"/>
          <w:sz w:val="16"/>
          <w:szCs w:val="16"/>
          <w:color w:val="auto"/>
        </w:rPr>
        <w:t>) to purchase 1.2 million shares of our common stock, and exchanged 30,000 shares of our common stock then beneficially owned or controlled by PLTG for 30,000 shares of Series B Preferred. Considering the exchangeability of the Series B Preferred into our common stock, the dividend applicable to the Series B Preferred prior to such exchange, and other factors, we determined that the fair value of a share of Series B Preferred issued to PLTG pursuant to the PLTG Agreement was equal to the market value of a share of our common stock on the effective date of the PLTG Agreement. Based on the $10.00 per share fair value of the Series B Preferred at the effective date of the PLTG Agreement, we issued Additional Consideration Shares having an aggregate fair value of $4.0 million to PLTG. We valued the Additional Consideration Warrants at an aggregate of $8,270,900 using the Black Scholes option pricing model and the following assumptions: market price per share: $10.00; exercise price per share: $7.00; risk-free interest rate: 1.58%; contractual term: 5.00 years; volatility: 76.5%; expected dividend rate: 0%. We recognized the aggregate fair value of the Additional Consideration Shares and Additional Consideration Warrants, $12,270,900, as a component of loss on debt extinguishment in the second quarter of our fiscal year ended March 31, 2016.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Debt Securities into Series B Preferred and Loss on Extinguishment of Debt</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As described in Note 8,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during the first and second quarters of our fiscal year ended March 31, 2016, we extinguished a substantial portion of our outstanding indebtedness, including all of our senior secured promissory notes issued to PLTG, all except $58,800 principal of our unsecured promissory notes, and a significant portion of outstanding accounts payable and accrued expenses, by converting such indebtedness into shares of our Series B Preferred. In most instances, the consideration given upon conversion was limited to shares of Series B Preferred. In certain instances, as in the case of the Additional Consideration Warrants noted previously, we agreed to issue new warrants or modify outstanding warrants as additional incentive provided to our counterparty to accept the equity for debt settlement offer. Further, with respect to the 2014 Unit Notes, we determined that the Series B Preferred Unit Offering (described below) would be treated as a Qualified Financing with respect to such notes, entitling the 2014 Unit Note holders at the time of conversion to the 25% Qualified Financing conversion premium under the terms of the 2014 Unit Notes. Evaluating each note or debt class separately, we determined that the conversion of each of the notes or other debt instruments into Series B Preferred should be accounted for as an extinguishment of debt. Because, in each instance, the fair value of the consideration given exceeded the carrying value of the debt, we incurred a loss on extinguishment in the settlement of each debt instrument or agreement. Nearly all of the 2014 Unit Notes contained a beneficial conversion feature at the time they were originally issued. We accounted for the repurchase of the beneficial conversion feature at the time of the extinguishment and conversion of the 2014 Unit Notes, an aggregate of $2,237,200, as a reduction to the loss on extinguishment of debt, with a corresponding reduction to additional paid-in capital.</w:t>
      </w:r>
    </w:p>
    <w:p>
      <w:pPr>
        <w:spacing w:after="0" w:line="202" w:lineRule="exact"/>
        <w:rPr>
          <w:sz w:val="20"/>
          <w:szCs w:val="20"/>
          <w:color w:val="auto"/>
        </w:rPr>
      </w:pPr>
    </w:p>
    <w:p>
      <w:pPr>
        <w:ind w:right="460"/>
        <w:spacing w:after="0" w:line="339" w:lineRule="auto"/>
        <w:rPr>
          <w:sz w:val="20"/>
          <w:szCs w:val="20"/>
          <w:color w:val="auto"/>
        </w:rPr>
      </w:pPr>
      <w:r>
        <w:rPr>
          <w:rFonts w:ascii="Times New Roman" w:cs="Times New Roman" w:eastAsia="Times New Roman" w:hAnsi="Times New Roman"/>
          <w:sz w:val="16"/>
          <w:szCs w:val="16"/>
          <w:color w:val="auto"/>
        </w:rPr>
        <w:t>The following table summarizes the carrying value of the debt instruments at the date they were converted into Series B Preferred, the components of the consideration given and the resulting loss on debt extinguishment attributable to each settlement and the number of shares and warrants, if any, issued in the</w:t>
      </w:r>
    </w:p>
    <w:p>
      <w:pPr>
        <w:sectPr>
          <w:pgSz w:w="11900" w:h="16944" w:orient="portrait"/>
          <w:cols w:equalWidth="0" w:num="1">
            <w:col w:w="11420"/>
          </w:cols>
          <w:pgMar w:left="240" w:top="125" w:right="239" w:bottom="0" w:gutter="0" w:footer="0" w:header="0"/>
        </w:sectPr>
      </w:pPr>
    </w:p>
    <w:bookmarkStart w:id="139" w:name="page140"/>
    <w:bookmarkEnd w:id="139"/>
    <w:p>
      <w:pPr>
        <w:ind w:right="40"/>
        <w:spacing w:after="0" w:line="262" w:lineRule="auto"/>
        <w:rPr>
          <w:sz w:val="20"/>
          <w:szCs w:val="20"/>
          <w:color w:val="auto"/>
        </w:rPr>
      </w:pPr>
      <w:r>
        <w:rPr>
          <w:rFonts w:ascii="Times New Roman" w:cs="Times New Roman" w:eastAsia="Times New Roman" w:hAnsi="Times New Roman"/>
          <w:sz w:val="18"/>
          <w:szCs w:val="18"/>
          <w:color w:val="auto"/>
        </w:rPr>
        <w:t>settlement for each debt instrument or class. We recorded the aggregate loss on debt extinguishment, $26,700,200, in the first and second quarters of our fiscal year ended March 31, 2016, as reflected in the accompanying Consolidated Statement of Operations and Comprehensive Loss for the fiscal year ended March 31, 2016.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Carrying</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tcBorders>
              <w:bottom w:val="single" w:sz="8" w:color="auto"/>
            </w:tcBorders>
            <w:gridSpan w:val="6"/>
          </w:tcPr>
          <w:p>
            <w:pPr>
              <w:jc w:val="center"/>
              <w:ind w:left="512"/>
              <w:spacing w:after="0"/>
              <w:rPr>
                <w:sz w:val="20"/>
                <w:szCs w:val="20"/>
                <w:color w:val="auto"/>
              </w:rPr>
            </w:pPr>
            <w:r>
              <w:rPr>
                <w:rFonts w:ascii="Times New Roman" w:cs="Times New Roman" w:eastAsia="Times New Roman" w:hAnsi="Times New Roman"/>
                <w:sz w:val="18"/>
                <w:szCs w:val="18"/>
                <w:color w:val="auto"/>
                <w:w w:val="97"/>
              </w:rPr>
              <w:t>Consideration Given</w:t>
            </w:r>
          </w:p>
        </w:tc>
        <w:tc>
          <w:tcPr>
            <w:tcW w:w="5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Amount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5"/>
              </w:rPr>
              <w:t>(Principal</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Repurchase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3"/>
              </w:rPr>
              <w:t>plus</w:t>
            </w:r>
          </w:p>
        </w:tc>
        <w:tc>
          <w:tcPr>
            <w:tcW w:w="116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w w:val="95"/>
              </w:rPr>
              <w:t>Fair Value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7"/>
              </w:rPr>
              <w:t>Incremental</w:t>
            </w:r>
          </w:p>
        </w:tc>
        <w:tc>
          <w:tcPr>
            <w:tcW w:w="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3"/>
              </w:rPr>
              <w:t>of</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Series B</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Accrued</w:t>
            </w:r>
          </w:p>
        </w:tc>
        <w:tc>
          <w:tcPr>
            <w:tcW w:w="24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Series B</w:t>
            </w:r>
          </w:p>
        </w:tc>
        <w:tc>
          <w:tcPr>
            <w:tcW w:w="1140" w:type="dxa"/>
            <w:vAlign w:val="bottom"/>
            <w:gridSpan w:val="3"/>
          </w:tcPr>
          <w:p>
            <w:pPr>
              <w:jc w:val="center"/>
              <w:ind w:left="132"/>
              <w:spacing w:after="0"/>
              <w:rPr>
                <w:sz w:val="20"/>
                <w:szCs w:val="20"/>
                <w:color w:val="auto"/>
              </w:rPr>
            </w:pPr>
            <w:r>
              <w:rPr>
                <w:rFonts w:ascii="Times New Roman" w:cs="Times New Roman" w:eastAsia="Times New Roman" w:hAnsi="Times New Roman"/>
                <w:sz w:val="18"/>
                <w:szCs w:val="18"/>
                <w:color w:val="auto"/>
                <w:w w:val="95"/>
              </w:rPr>
              <w:t>Fair Value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4"/>
              </w:rPr>
              <w:t>Fair Value</w:t>
            </w:r>
          </w:p>
        </w:tc>
        <w:tc>
          <w:tcPr>
            <w:tcW w:w="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Beneficial</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Loss on</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Preferred</w:t>
            </w:r>
          </w:p>
        </w:tc>
        <w:tc>
          <w:tcPr>
            <w:tcW w:w="2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New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Interest less</w:t>
            </w:r>
          </w:p>
        </w:tc>
        <w:tc>
          <w:tcPr>
            <w:tcW w:w="24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Preferred at</w:t>
            </w:r>
          </w:p>
        </w:tc>
        <w:tc>
          <w:tcPr>
            <w:tcW w:w="22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Warrants at</w:t>
            </w:r>
          </w:p>
        </w:tc>
        <w:tc>
          <w:tcPr>
            <w:tcW w:w="220" w:type="dxa"/>
            <w:vAlign w:val="bottom"/>
          </w:tcPr>
          <w:p>
            <w:pPr>
              <w:spacing w:after="0"/>
              <w:rPr>
                <w:sz w:val="18"/>
                <w:szCs w:val="18"/>
                <w:color w:val="auto"/>
              </w:rPr>
            </w:pPr>
          </w:p>
        </w:tc>
        <w:tc>
          <w:tcPr>
            <w:tcW w:w="11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6"/>
              </w:rPr>
              <w:t>of Warrant</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Conversion</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Extinguishment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2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3"/>
              </w:rPr>
              <w:t>Warrants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5"/>
              </w:rPr>
              <w:t>Discount)</w:t>
            </w:r>
          </w:p>
        </w:tc>
        <w:tc>
          <w:tcPr>
            <w:tcW w:w="24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Issuance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6"/>
              </w:rPr>
              <w:t>Issuance</w:t>
            </w:r>
          </w:p>
        </w:tc>
        <w:tc>
          <w:tcPr>
            <w:tcW w:w="220" w:type="dxa"/>
            <w:vAlign w:val="bottom"/>
          </w:tcPr>
          <w:p>
            <w:pPr>
              <w:spacing w:after="0"/>
              <w:rPr>
                <w:sz w:val="20"/>
                <w:szCs w:val="20"/>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Modifications</w:t>
            </w:r>
          </w:p>
        </w:tc>
        <w:tc>
          <w:tcPr>
            <w:tcW w:w="8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Feature</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of Debt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Issued</w:t>
            </w:r>
          </w:p>
        </w:tc>
        <w:tc>
          <w:tcPr>
            <w:tcW w:w="22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Issued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Senior Secured Convertible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4,489,300</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$ 10,413,400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8,270,800</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$(14,194,900)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1,041,335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PLTG Unit Notes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1,345,700</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1,656,300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(2,713,700)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240,305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Acquired Unit Notes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1,487,900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2,657,000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1,827,200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(514,900)</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(2,481,400)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265,699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 Unit Notes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1,831,200</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1,684,900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(1,722,300)</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(747,500)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327,016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w w:val="99"/>
              </w:rPr>
              <w:t>University Health Network note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628,900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937,800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(308,900)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93,775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Cato Holding Company and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Cato Research Ltd. notes and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1,708,300</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3,285,700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222,700</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(1,800,100)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328,571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Morrison &amp; Foerster Note 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1,191,700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2,359,700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(1,168,000)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192,628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Morrison &amp; Foerster Note B</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accounts payable</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1,510,000</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2,571,400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244,200</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(1,305,600)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257,143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McCarthy Tetrault note and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381,700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829,200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(447,500)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Burr Pilger &amp; Mayer note and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123,100</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(230,500)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Icahn School of Medicine at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Mount Sinai note and accounts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payable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289,500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676,000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(403,100)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National Jewish Health note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(152,900)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Desjardins Securities note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187,400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(262,600)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MicroConstants note and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92,400</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(157,600)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Other service provider accounts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payable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497,900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823,800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(325,900)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15,880,000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$ 30,894,700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13,439,200</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483,500</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(2,237,200)</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(26,700,200)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3,018,917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2,033,020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3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340" w:hanging="332"/>
        <w:spacing w:after="0" w:line="262"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400,000 Series B Preferred shares with fair value of $4,000,000 issued as Additional Consideration Shares and warrants to purchase 1,200,000 shares of common stock with fair value of $8,270,800 issued as Additional Consideration Warrants for the various agreements of PLTG pursuant to the PLTG Agreement in May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5"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Unit Offering</w:t>
      </w:r>
    </w:p>
    <w:p>
      <w:pPr>
        <w:spacing w:after="0" w:line="229"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color w:val="auto"/>
        </w:rPr>
        <w:t xml:space="preserve">Between May 2015 and May 2016, in self-placed private placement transactions, we sold to accredited investors an aggregate of $5,303,800 of units in our Series B Preferred Unit offering, which units consisted of Series B Preferred and Series B Warrants (together </w:t>
      </w:r>
      <w:r>
        <w:rPr>
          <w:rFonts w:ascii="Times New Roman" w:cs="Times New Roman" w:eastAsia="Times New Roman" w:hAnsi="Times New Roman"/>
          <w:sz w:val="16"/>
          <w:szCs w:val="16"/>
          <w:i w:val="1"/>
          <w:iCs w:val="1"/>
          <w:color w:val="auto"/>
        </w:rPr>
        <w:t>Series B Preferred Units</w:t>
      </w:r>
      <w:r>
        <w:rPr>
          <w:rFonts w:ascii="Times New Roman" w:cs="Times New Roman" w:eastAsia="Times New Roman" w:hAnsi="Times New Roman"/>
          <w:sz w:val="16"/>
          <w:szCs w:val="16"/>
          <w:color w:val="auto"/>
        </w:rPr>
        <w:t>), including $2,650,000 to PLTG. We issued 757,692 shares of Series B Preferred and Series B Warrants to purchase 757,692 shares of our common stock. During our fiscal year ended March 31, 2017, we received an aggregate of $278,000 in cash proceeds from our self-placed private placement and sale of the Series B Preferred Units.</w:t>
      </w:r>
    </w:p>
    <w:p>
      <w:pPr>
        <w:spacing w:after="0" w:line="15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allocated the proceeds from the sale of the Series B Preferred Units to the Series B Preferred and the Series B Warrants based on their relative fair values on the dates of the sales. We determined that the fair value of a share of Series B Preferred was equal to the quoted market value of a share of our common stock on the date of a Series B Preferred Unit sale. We calculated the fair value of the Series B Warrants using the Black Scholes Option Pricing Model and the weighted average assumptions indicated in the table below. The table below also presents the aggregate allocation of the Series B Preferred Unit sales proceeds based on the relative fair values of the Series B Preferred and the Series B Warrants as of their respective Series B Preferred Unit sales dates. The difference between the relative fair value per share of the Series B Preferred, approximately $4.14 per share, and its Conversion Price (or stated value) of $7.00 per share represents a deemed dividend to the purchasers of the Series B Preferred Units. Accordingly, we have recognized a deemed dividend in the aggregate amount of $111,100 and $2,058,000 in arriving at net loss attributable to common stockholders in the accompanying Consolidated Statement of Operations and Comprehensive Loss for the fiscal years ended March 31, 2017 and 2016, respectively.</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7"/>
        </w:trPr>
        <w:tc>
          <w:tcPr>
            <w:tcW w:w="7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color w:val="auto"/>
              </w:rPr>
              <w:t>Unit Warrants</w:t>
            </w:r>
          </w:p>
        </w:tc>
        <w:tc>
          <w:tcPr>
            <w:tcW w:w="1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80" w:type="dxa"/>
            <w:vAlign w:val="bottom"/>
          </w:tcPr>
          <w:p>
            <w:pPr>
              <w:jc w:val="center"/>
              <w:ind w:left="12"/>
              <w:spacing w:after="0" w:line="201" w:lineRule="exact"/>
              <w:rPr>
                <w:sz w:val="20"/>
                <w:szCs w:val="20"/>
                <w:color w:val="auto"/>
              </w:rPr>
            </w:pPr>
            <w:r>
              <w:rPr>
                <w:rFonts w:ascii="Times New Roman" w:cs="Times New Roman" w:eastAsia="Times New Roman" w:hAnsi="Times New Roman"/>
                <w:sz w:val="18"/>
                <w:szCs w:val="18"/>
                <w:color w:val="auto"/>
                <w:w w:val="97"/>
              </w:rPr>
              <w:t>Aggregate Allocation of</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Weighted Average Issuance Date Valuation Assumptions</w:t>
            </w: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7"/>
              </w:rPr>
              <w:t>Proceeds Based on</w:t>
            </w:r>
          </w:p>
        </w:tc>
        <w:tc>
          <w:tcPr>
            <w:tcW w:w="0" w:type="dxa"/>
            <w:vAlign w:val="bottom"/>
          </w:tcPr>
          <w:p>
            <w:pPr>
              <w:spacing w:after="0"/>
              <w:rPr>
                <w:sz w:val="1"/>
                <w:szCs w:val="1"/>
                <w:color w:val="auto"/>
              </w:rPr>
            </w:pPr>
          </w:p>
        </w:tc>
      </w:tr>
      <w:tr>
        <w:trPr>
          <w:trHeight w:val="215"/>
        </w:trPr>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20" w:type="dxa"/>
            <w:vAlign w:val="bottom"/>
            <w:tcBorders>
              <w:bottom w:val="single" w:sz="8" w:color="auto"/>
            </w:tcBorders>
            <w:vMerge w:val="continue"/>
          </w:tcPr>
          <w:p>
            <w:pPr>
              <w:spacing w:after="0"/>
              <w:rPr>
                <w:sz w:val="18"/>
                <w:szCs w:val="18"/>
                <w:color w:val="auto"/>
              </w:rPr>
            </w:pPr>
          </w:p>
        </w:tc>
        <w:tc>
          <w:tcPr>
            <w:tcW w:w="1100" w:type="dxa"/>
            <w:vAlign w:val="bottom"/>
          </w:tcPr>
          <w:p>
            <w:pPr>
              <w:jc w:val="center"/>
              <w:ind w:left="32"/>
              <w:spacing w:after="0" w:line="203" w:lineRule="exact"/>
              <w:rPr>
                <w:sz w:val="20"/>
                <w:szCs w:val="20"/>
                <w:color w:val="auto"/>
              </w:rPr>
            </w:pPr>
            <w:r>
              <w:rPr>
                <w:rFonts w:ascii="Times New Roman" w:cs="Times New Roman" w:eastAsia="Times New Roman" w:hAnsi="Times New Roman"/>
                <w:sz w:val="18"/>
                <w:szCs w:val="18"/>
                <w:color w:val="auto"/>
                <w:w w:val="94"/>
              </w:rPr>
              <w:t>Per Share</w:t>
            </w:r>
          </w:p>
        </w:tc>
        <w:tc>
          <w:tcPr>
            <w:tcW w:w="920" w:type="dxa"/>
            <w:vAlign w:val="bottom"/>
          </w:tcPr>
          <w:p>
            <w:pPr>
              <w:ind w:left="160"/>
              <w:spacing w:after="0" w:line="203" w:lineRule="exact"/>
              <w:rPr>
                <w:sz w:val="20"/>
                <w:szCs w:val="20"/>
                <w:color w:val="auto"/>
              </w:rPr>
            </w:pPr>
            <w:r>
              <w:rPr>
                <w:rFonts w:ascii="Times New Roman" w:cs="Times New Roman" w:eastAsia="Times New Roman" w:hAnsi="Times New Roman"/>
                <w:sz w:val="18"/>
                <w:szCs w:val="18"/>
                <w:color w:val="auto"/>
                <w:w w:val="98"/>
              </w:rPr>
              <w:t>Aggregate</w:t>
            </w:r>
          </w:p>
        </w:tc>
        <w:tc>
          <w:tcPr>
            <w:tcW w:w="1120" w:type="dxa"/>
            <w:vAlign w:val="bottom"/>
          </w:tcPr>
          <w:p>
            <w:pPr>
              <w:jc w:val="right"/>
              <w:ind w:right="52"/>
              <w:spacing w:after="0" w:line="203" w:lineRule="exact"/>
              <w:rPr>
                <w:sz w:val="20"/>
                <w:szCs w:val="20"/>
                <w:color w:val="auto"/>
              </w:rPr>
            </w:pPr>
            <w:r>
              <w:rPr>
                <w:rFonts w:ascii="Times New Roman" w:cs="Times New Roman" w:eastAsia="Times New Roman" w:hAnsi="Times New Roman"/>
                <w:sz w:val="18"/>
                <w:szCs w:val="18"/>
                <w:color w:val="auto"/>
              </w:rPr>
              <w:t>Aggregate</w:t>
            </w:r>
          </w:p>
        </w:tc>
        <w:tc>
          <w:tcPr>
            <w:tcW w:w="1880" w:type="dxa"/>
            <w:vAlign w:val="bottom"/>
          </w:tcPr>
          <w:p>
            <w:pPr>
              <w:jc w:val="center"/>
              <w:ind w:left="12"/>
              <w:spacing w:after="0" w:line="203" w:lineRule="exact"/>
              <w:rPr>
                <w:sz w:val="20"/>
                <w:szCs w:val="20"/>
                <w:color w:val="auto"/>
              </w:rPr>
            </w:pPr>
            <w:r>
              <w:rPr>
                <w:rFonts w:ascii="Times New Roman" w:cs="Times New Roman" w:eastAsia="Times New Roman" w:hAnsi="Times New Roman"/>
                <w:sz w:val="18"/>
                <w:szCs w:val="18"/>
                <w:color w:val="auto"/>
                <w:w w:val="96"/>
              </w:rPr>
              <w:t>Relative</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Warrant</w:t>
            </w:r>
          </w:p>
        </w:tc>
        <w:tc>
          <w:tcPr>
            <w:tcW w:w="900" w:type="dxa"/>
            <w:vAlign w:val="bottom"/>
          </w:tcPr>
          <w:p>
            <w:pPr>
              <w:spacing w:after="0"/>
              <w:rPr>
                <w:sz w:val="19"/>
                <w:szCs w:val="19"/>
                <w:color w:val="auto"/>
              </w:rPr>
            </w:pPr>
          </w:p>
        </w:tc>
        <w:tc>
          <w:tcPr>
            <w:tcW w:w="46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Risk free</w:t>
            </w:r>
          </w:p>
        </w:tc>
        <w:tc>
          <w:tcPr>
            <w:tcW w:w="11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rPr>
              <w:t>Fair</w:t>
            </w: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Fair Value</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Proceeds</w:t>
            </w:r>
          </w:p>
        </w:tc>
        <w:tc>
          <w:tcPr>
            <w:tcW w:w="188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5"/>
              </w:rPr>
              <w:t>Fair Value of:</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Market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Exercise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Term</w:t>
            </w: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Interest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5"/>
              </w:rPr>
              <w:t>Dividend</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Value of</w:t>
            </w:r>
          </w:p>
        </w:tc>
        <w:tc>
          <w:tcPr>
            <w:tcW w:w="140" w:type="dxa"/>
            <w:vAlign w:val="bottom"/>
          </w:tcPr>
          <w:p>
            <w:pPr>
              <w:spacing w:after="0"/>
              <w:rPr>
                <w:sz w:val="18"/>
                <w:szCs w:val="18"/>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of Unit</w:t>
            </w:r>
          </w:p>
        </w:tc>
        <w:tc>
          <w:tcPr>
            <w:tcW w:w="9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of Unit</w:t>
            </w:r>
          </w:p>
        </w:tc>
        <w:tc>
          <w:tcPr>
            <w:tcW w:w="10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3"/>
              </w:rPr>
              <w:t>Unit</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Unit</w:t>
            </w:r>
          </w:p>
        </w:tc>
        <w:tc>
          <w:tcPr>
            <w:tcW w:w="0" w:type="dxa"/>
            <w:vAlign w:val="bottom"/>
          </w:tcPr>
          <w:p>
            <w:pPr>
              <w:spacing w:after="0"/>
              <w:rPr>
                <w:sz w:val="1"/>
                <w:szCs w:val="1"/>
                <w:color w:val="auto"/>
              </w:rPr>
            </w:pPr>
          </w:p>
        </w:tc>
      </w:tr>
      <w:tr>
        <w:trPr>
          <w:trHeight w:val="237"/>
        </w:trPr>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Price</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Price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(Years)</w:t>
            </w:r>
          </w:p>
        </w:tc>
        <w:tc>
          <w:tcPr>
            <w:tcW w:w="100" w:type="dxa"/>
            <w:vAlign w:val="bottom"/>
          </w:tcPr>
          <w:p>
            <w:pPr>
              <w:spacing w:after="0"/>
              <w:rPr>
                <w:sz w:val="20"/>
                <w:szCs w:val="20"/>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Rate</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Volatility</w:t>
            </w: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6"/>
              </w:rPr>
              <w:t>Rate</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Warrant</w:t>
            </w:r>
          </w:p>
        </w:tc>
        <w:tc>
          <w:tcPr>
            <w:tcW w:w="140" w:type="dxa"/>
            <w:vAlign w:val="bottom"/>
          </w:tcPr>
          <w:p>
            <w:pPr>
              <w:spacing w:after="0"/>
              <w:rPr>
                <w:sz w:val="20"/>
                <w:szCs w:val="20"/>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Warrants</w:t>
            </w:r>
          </w:p>
        </w:tc>
        <w:tc>
          <w:tcPr>
            <w:tcW w:w="92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4"/>
              </w:rPr>
              <w:t>Sales</w:t>
            </w:r>
          </w:p>
        </w:tc>
        <w:tc>
          <w:tcPr>
            <w:tcW w:w="100" w:type="dxa"/>
            <w:vAlign w:val="bottom"/>
          </w:tcPr>
          <w:p>
            <w:pPr>
              <w:spacing w:after="0"/>
              <w:rPr>
                <w:sz w:val="20"/>
                <w:szCs w:val="20"/>
                <w:color w:val="auto"/>
              </w:rPr>
            </w:pP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Stock</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4"/>
              </w:rPr>
              <w:t>Warrant</w:t>
            </w:r>
          </w:p>
        </w:tc>
        <w:tc>
          <w:tcPr>
            <w:tcW w:w="0" w:type="dxa"/>
            <w:vAlign w:val="bottom"/>
          </w:tcPr>
          <w:p>
            <w:pPr>
              <w:spacing w:after="0"/>
              <w:rPr>
                <w:sz w:val="1"/>
                <w:szCs w:val="1"/>
                <w:color w:val="auto"/>
              </w:rPr>
            </w:pPr>
          </w:p>
        </w:tc>
      </w:tr>
      <w:tr>
        <w:trPr>
          <w:trHeight w:val="216"/>
        </w:trPr>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757,692</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77.36%</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7.27</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$ 5,512,100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$ 5,303,800</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$ 3,134,800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$ 2,169,000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 for Common Stock underlying Series B Preferred and Series B Warrants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securities purchase agreements for the Series B Preferred and Series B Preferred Units executed with PLTG, the holders of the Investor Unit Notes, the holders of our promissory notes and other indebtedness converted into shares of Series B Preferred, initial investors in Series B Preferred Units, and certain others to whom we issued Series B Preferred, contained registration rights requiring that a Registration Statement on Form S-1 (</w:t>
      </w:r>
      <w:r>
        <w:rPr>
          <w:rFonts w:ascii="Times New Roman" w:cs="Times New Roman" w:eastAsia="Times New Roman" w:hAnsi="Times New Roman"/>
          <w:sz w:val="18"/>
          <w:szCs w:val="18"/>
          <w:i w:val="1"/>
          <w:iCs w:val="1"/>
          <w:color w:val="auto"/>
        </w:rPr>
        <w:t>Secondary Registration Statement</w:t>
      </w:r>
      <w:r>
        <w:rPr>
          <w:rFonts w:ascii="Times New Roman" w:cs="Times New Roman" w:eastAsia="Times New Roman" w:hAnsi="Times New Roman"/>
          <w:sz w:val="18"/>
          <w:szCs w:val="18"/>
          <w:color w:val="auto"/>
        </w:rPr>
        <w:t xml:space="preserve">) registering, under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certain shares of common stock underlying the Series B Preferred and the Series B Warrants be declared effective on or before August 30, 2015. We filed the initial Secondary Registration Statement with the SEC on July 21, 2015, which we later amended on August 25, 2015, and which was declared effective by the SEC on August 28, 2015. The Secondary Registration Statement registered an aggregate of 3,992,479 shares of our common stock underlying outstanding Series B Preferred and Series B Warrants. Accordingly, we incurred no cash or in kind penalties under the securities purchase agreements.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Series B Preferred into Common Stock</w:t>
      </w:r>
    </w:p>
    <w:p>
      <w:pPr>
        <w:spacing w:after="0" w:line="229"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Between September 2015 and March 2016, holders of an aggregate of 228,818 shares of Series B Preferred voluntarily converted such shares into an equivalent number of registered shares of our common stock. In connection with these conversions, we issued an aggregate of 6,837 shares of our restricted common stock in payment of $50,900 in accrued dividends on the Series B Preferred that was converted.</w:t>
      </w:r>
    </w:p>
    <w:p>
      <w:pPr>
        <w:spacing w:after="0" w:line="18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During April 2016, holders of an aggregate of 7,500 shares of Series B Preferred voluntarily converted such shares into an equivalent number of registered shares of our common stock. In connection with these conversions, we issued an aggregate of 510 shares of our unregistered common stock as payment in full of $4,000 in accrued dividends on the Series B Preferred that was voluntarily converted.</w:t>
      </w:r>
    </w:p>
    <w:p>
      <w:pPr>
        <w:spacing w:after="0" w:line="18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On May 19, 2016, following the consummation of the May 2016 Public Offering, an aggregate of 2,403,051 shares of Series B Preferred were automatically converted into an aggregate of 2,192,847 registered shares of our common stock and an aggregate of 210,204 shares of our unregistered common stock. Additionally, we issued an aggregate of 416,806 shares of our unregistered common stock as payment in full of $1,642,100 in accrued dividends on the Series B Preferred that was automatically converted on May 19, 2016, at the rate of one share of common stock for each $3.94 of Series B Preferred accrued dividends. On June 15, 2016, pursuant to the underwriters’ exercise of their over-allotment option, an additional 44,500 shares of Series B Preferred were converted into 44,500 shares of our registered common stock. We issued an additional 9,580 shares of our unregistered common stock as payment in full of $37,400 of accrued dividends on the Series B Preferred that was automatically converted on June 15, 2016, at the rate of one share of common stock for each $3.90 in accrued dividends.</w:t>
      </w:r>
    </w:p>
    <w:p>
      <w:pPr>
        <w:spacing w:after="0" w:line="19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August 2016, one of the remaining holders of our Series B Preferred voluntarily converted 87,500 shares of Series B Preferred into an equivalent number of registered shares of our common stock. In connection with this conversion, we issued 26,258 shares of our unregistered common stock as payment in full of $85,300 in accrued dividends on the Series B Preferred that was voluntarily converted, at the rate of one share of common stock for each $3.25 in accrued dividends.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5"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May 2016 Public Offering and Listing of our Common Stock on the NASDAQ Capital Market</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Effective on May 16, 2016, we consummated an underwritten public offering of our securities, pursuant to which we issued units consisting of an aggregate of 2,570,040 registered shares of our common stock at a public sales price of $4.24 per share and five-year warrants exercisable at $5.30 per share to purchase an aggregate of 2,705,883 shares of our common stock at a public sales price of $0.01 per warrant share, including shares and warrants issued in June 2016 pursuant to the exercise of the underwriters’ over-allotment option. We received gross proceeds of approximately $10.9 million and net proceeds of approximately $9.5 million from the May 2016 Public Offering, after deducting underwriters’ commissions and other offering expenses. The warrants issued in the May 2016 Public Offering have no anti-dilution or other exercise price or share reset features, except as is customary with respect to a change in our capital structure in the event of a stock split or dividend, and, accordingly, we have accounted for them as equity warrants.</w:t>
      </w:r>
    </w:p>
    <w:p>
      <w:pPr>
        <w:spacing w:after="0" w:line="195" w:lineRule="exact"/>
        <w:rPr>
          <w:sz w:val="20"/>
          <w:szCs w:val="20"/>
          <w:color w:val="auto"/>
        </w:rPr>
      </w:pPr>
    </w:p>
    <w:p>
      <w:pPr>
        <w:ind w:right="380"/>
        <w:spacing w:after="0" w:line="310" w:lineRule="auto"/>
        <w:rPr>
          <w:sz w:val="20"/>
          <w:szCs w:val="20"/>
          <w:color w:val="auto"/>
        </w:rPr>
      </w:pPr>
      <w:r>
        <w:rPr>
          <w:rFonts w:ascii="Times New Roman" w:cs="Times New Roman" w:eastAsia="Times New Roman" w:hAnsi="Times New Roman"/>
          <w:sz w:val="16"/>
          <w:szCs w:val="16"/>
          <w:color w:val="auto"/>
        </w:rPr>
        <w:t>The securities included in the May 2016 Public Offering were offered, issued and sold under a prospectus filed with the Commission pursuant to an effective registration statement (</w:t>
      </w:r>
      <w:r>
        <w:rPr>
          <w:rFonts w:ascii="Times New Roman" w:cs="Times New Roman" w:eastAsia="Times New Roman" w:hAnsi="Times New Roman"/>
          <w:sz w:val="16"/>
          <w:szCs w:val="16"/>
          <w:i w:val="1"/>
          <w:iCs w:val="1"/>
          <w:color w:val="auto"/>
        </w:rPr>
        <w:t>Primary Registration Statement</w:t>
      </w:r>
      <w:r>
        <w:rPr>
          <w:rFonts w:ascii="Times New Roman" w:cs="Times New Roman" w:eastAsia="Times New Roman" w:hAnsi="Times New Roman"/>
          <w:sz w:val="16"/>
          <w:szCs w:val="16"/>
          <w:color w:val="auto"/>
        </w:rPr>
        <w:t>) filed with the Commission on Form S-1 (File No. 333-210152) pursuant to the Securities Act. The Primary Registration Statement was first filed with the Commission on March 14, 2016, and was declared effective on May 10, 2016.</w:t>
      </w:r>
    </w:p>
    <w:p>
      <w:pPr>
        <w:spacing w:after="0" w:line="151"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In connection with the completion of our May 2016 Public Offering, NASDAQ approved our common stock for listing on the NASDAQ Capital Market. Our common stock began trading on the NASDAQ Capital Market under the symbol “VTGN” on May 11, 2016.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Warrants Issued in Private Placement</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December 2016, in self-placed private transactions, we sold to two individual accredited investors units, at a purchase price of $3.70 per unit, consisting of an aggregate of 67,000 unregistered shares of our common stock and warrants, exercisable through November 30, 2019, to purchase an aggregate of 16,750 unregistered shares of our common stock at an exercise price of $6.00 per share. The purchasers of the units have no registration rights with respect to the shares of common stock, warrants or the shares of common stock issuable upon exercise of the warrants comprising the units sold. We received aggregate cash proceeds of $247,900 in connection with this private placement, the entire amount of which was credited to stockholders’ equity.</w:t>
      </w:r>
    </w:p>
    <w:p>
      <w:pPr>
        <w:spacing w:after="0" w:line="193"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In March 2017, in a self-placed private transaction, we sold to an accredited investor units, at a purchase price of $2.00 per unit, consisting of an aggregate of 57,250 unregistered shares of our common stock and warrants, exercisable through April 2021, to purchase an aggregate of 28,625 unregistered shares of our common stock at an exercise price of $4.00 per share. The purchaser of the units has no registration rights with respect to the shares of common stock, warrants or the shares of common stock issuable upon exercise of the warrants comprising the units sold. We received aggregate cash proceeds of $114,500 in connection</w:t>
      </w:r>
    </w:p>
    <w:p>
      <w:pPr>
        <w:sectPr>
          <w:pgSz w:w="11900" w:h="16838" w:orient="portrait"/>
          <w:cols w:equalWidth="0" w:num="1">
            <w:col w:w="11420"/>
          </w:cols>
          <w:pgMar w:left="240" w:top="125" w:right="239" w:bottom="0" w:gutter="0" w:footer="0" w:header="0"/>
        </w:sectPr>
      </w:pPr>
    </w:p>
    <w:bookmarkStart w:id="141" w:name="page142"/>
    <w:bookmarkEnd w:id="141"/>
    <w:p>
      <w:pPr>
        <w:ind w:right="60"/>
        <w:spacing w:after="0" w:line="277" w:lineRule="auto"/>
        <w:rPr>
          <w:sz w:val="20"/>
          <w:szCs w:val="20"/>
          <w:color w:val="auto"/>
        </w:rPr>
      </w:pPr>
      <w:r>
        <w:rPr>
          <w:rFonts w:ascii="Times New Roman" w:cs="Times New Roman" w:eastAsia="Times New Roman" w:hAnsi="Times New Roman"/>
          <w:sz w:val="18"/>
          <w:szCs w:val="18"/>
          <w:color w:val="auto"/>
        </w:rPr>
        <w:t xml:space="preserve">with this private placement, the entire amount of which was credited to stockholders’ equity. See Note 16,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for disclosure of additional sales of our securities in private placement offerings.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5"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Series B Preferred Stock and Warrants to Professional Services Providers</w:t>
      </w:r>
    </w:p>
    <w:p>
      <w:pPr>
        <w:spacing w:after="0" w:line="229" w:lineRule="exact"/>
        <w:rPr>
          <w:sz w:val="20"/>
          <w:szCs w:val="20"/>
          <w:color w:val="auto"/>
        </w:rPr>
      </w:pPr>
    </w:p>
    <w:p>
      <w:pPr>
        <w:ind w:right="640"/>
        <w:spacing w:after="0" w:line="262" w:lineRule="auto"/>
        <w:rPr>
          <w:sz w:val="20"/>
          <w:szCs w:val="20"/>
          <w:color w:val="auto"/>
        </w:rPr>
      </w:pPr>
      <w:r>
        <w:rPr>
          <w:rFonts w:ascii="Times New Roman" w:cs="Times New Roman" w:eastAsia="Times New Roman" w:hAnsi="Times New Roman"/>
          <w:sz w:val="18"/>
          <w:szCs w:val="18"/>
          <w:color w:val="auto"/>
        </w:rPr>
        <w:t>During our fiscal years ended March 31, 2017 and 2016, we issued the following securities in private placement transactions as compensation for various professional services. Unless otherwise noted, we recorded the related non-cash expense as a component of general and administrative expense in the Consolidated Statement of Operations and Comprehensive Loss for the fiscal years ended March 31, 2017 and 2016, as appropriate.</w:t>
      </w:r>
    </w:p>
    <w:p>
      <w:pPr>
        <w:spacing w:after="0" w:line="186" w:lineRule="exact"/>
        <w:rPr>
          <w:sz w:val="20"/>
          <w:szCs w:val="20"/>
          <w:color w:val="auto"/>
        </w:rPr>
      </w:pPr>
    </w:p>
    <w:p>
      <w:pPr>
        <w:ind w:left="660" w:right="120" w:hanging="328"/>
        <w:spacing w:after="0" w:line="275"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June 30, 2015, we issued an aggregate of 25,000 unregistered shares of our Series B Preferred having a fair value of $250,000 on the date of issuance as compensation for legal services related to our debt restructuring and other corporate finance matters.</w:t>
      </w:r>
    </w:p>
    <w:p>
      <w:pPr>
        <w:spacing w:after="0" w:line="173"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June 30, 2015, we issued an aggregate of 90,000 unregistered shares of our Series B Preferred having an aggregate value on the date of issuance of $1,350,000 as compensation for financial advisory and corporate development service contracts with two independent contractors for services to be performed through June 2016. The value of the Series B Preferred grants was recorded as a prepaid expense at the date of the grant and was expensed ratably over the twelve months ending June 2016, with $337,500 and $1,012,500 expensed during the fiscal years ended March 31, 2017 and 2016, respectively.</w:t>
      </w:r>
    </w:p>
    <w:p>
      <w:pPr>
        <w:spacing w:after="0" w:line="192" w:lineRule="exact"/>
        <w:rPr>
          <w:rFonts w:ascii="Times New Roman" w:cs="Times New Roman" w:eastAsia="Times New Roman" w:hAnsi="Times New Roman"/>
          <w:sz w:val="18"/>
          <w:szCs w:val="18"/>
          <w:color w:val="auto"/>
        </w:rPr>
      </w:pPr>
    </w:p>
    <w:p>
      <w:pPr>
        <w:ind w:left="660" w:right="120" w:hanging="328"/>
        <w:spacing w:after="0" w:line="275"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June 30, 2015, we also issued an aggregate of 50,000 shares of our unregistered common stock having an aggregate fair value on the date of issuance of $500,000, as compensation under two corporate development service contracts.</w:t>
      </w:r>
    </w:p>
    <w:p>
      <w:pPr>
        <w:spacing w:after="0" w:line="173" w:lineRule="exact"/>
        <w:rPr>
          <w:rFonts w:ascii="Times New Roman" w:cs="Times New Roman" w:eastAsia="Times New Roman" w:hAnsi="Times New Roman"/>
          <w:sz w:val="18"/>
          <w:szCs w:val="18"/>
          <w:color w:val="auto"/>
        </w:rPr>
      </w:pPr>
    </w:p>
    <w:p>
      <w:pPr>
        <w:ind w:left="660" w:right="780" w:hanging="328"/>
        <w:spacing w:after="0" w:line="275"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September 30, 2015 we issued to two providers of intellectual property-related legal services an aggregate of 10,000 unregistered shares of our Series B Preferred having an aggregate fair value on the date of issuance of $120,000.</w:t>
      </w:r>
    </w:p>
    <w:p>
      <w:pPr>
        <w:spacing w:after="0" w:line="173" w:lineRule="exact"/>
        <w:rPr>
          <w:rFonts w:ascii="Times New Roman" w:cs="Times New Roman" w:eastAsia="Times New Roman" w:hAnsi="Times New Roman"/>
          <w:sz w:val="18"/>
          <w:szCs w:val="18"/>
          <w:color w:val="auto"/>
        </w:rPr>
      </w:pPr>
    </w:p>
    <w:p>
      <w:pPr>
        <w:ind w:left="660" w:right="200" w:hanging="328"/>
        <w:spacing w:after="0" w:line="275"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December 31, 2015 we issued 15,750 unregistered shares of our common stock having a fair value on the date of issuance of $106,300 as partial compensation for investment banking services.</w:t>
      </w:r>
    </w:p>
    <w:p>
      <w:pPr>
        <w:spacing w:after="0" w:line="173" w:lineRule="exact"/>
        <w:rPr>
          <w:rFonts w:ascii="Times New Roman" w:cs="Times New Roman" w:eastAsia="Times New Roman" w:hAnsi="Times New Roman"/>
          <w:sz w:val="18"/>
          <w:szCs w:val="18"/>
          <w:color w:val="auto"/>
        </w:rPr>
      </w:pPr>
    </w:p>
    <w:p>
      <w:pPr>
        <w:ind w:left="660" w:right="100" w:hanging="328"/>
        <w:spacing w:after="0" w:line="275"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March 31, 2016, we issued an aggregate of 26,625 shares of our unregistered common stock having an aggregate fair value on the dates of issuance of $223,000 in connection with legal ($140,000) and investor relations ($83,000) services.</w:t>
      </w:r>
    </w:p>
    <w:p>
      <w:pPr>
        <w:spacing w:after="0" w:line="173" w:lineRule="exact"/>
        <w:rPr>
          <w:rFonts w:ascii="Times New Roman" w:cs="Times New Roman" w:eastAsia="Times New Roman" w:hAnsi="Times New Roman"/>
          <w:sz w:val="18"/>
          <w:szCs w:val="18"/>
          <w:color w:val="auto"/>
        </w:rPr>
      </w:pPr>
    </w:p>
    <w:p>
      <w:pPr>
        <w:ind w:left="660" w:right="20" w:hanging="328"/>
        <w:spacing w:after="0" w:line="26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September 30, 2016, we issued an aggregate of 170,000 shares of our unregistered common stock having an aggregate fair value on the date of issuance of $737,800 as compensation to various professional services providers. Of that amount, we issued 120,000 shares having a fair value of $520,800 on the date of issuance for services to be rendered from October 2016 to December 2016.</w:t>
      </w:r>
    </w:p>
    <w:p>
      <w:pPr>
        <w:spacing w:after="0" w:line="186" w:lineRule="exact"/>
        <w:rPr>
          <w:rFonts w:ascii="Times New Roman" w:cs="Times New Roman" w:eastAsia="Times New Roman" w:hAnsi="Times New Roman"/>
          <w:sz w:val="18"/>
          <w:szCs w:val="18"/>
          <w:color w:val="auto"/>
        </w:rPr>
      </w:pPr>
    </w:p>
    <w:p>
      <w:pPr>
        <w:ind w:left="660" w:right="380" w:hanging="328"/>
        <w:spacing w:after="0" w:line="275"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December 31, 2016, we issued an aggregate of 135,000 shares of our unregistered common stock having an aggregate fair value on the respective dates of issuance of $479,800 as compensation to various professional services providers.</w:t>
      </w:r>
    </w:p>
    <w:p>
      <w:pPr>
        <w:spacing w:after="0" w:line="173" w:lineRule="exact"/>
        <w:rPr>
          <w:rFonts w:ascii="Times New Roman" w:cs="Times New Roman" w:eastAsia="Times New Roman" w:hAnsi="Times New Roman"/>
          <w:sz w:val="18"/>
          <w:szCs w:val="18"/>
          <w:color w:val="auto"/>
        </w:rPr>
      </w:pPr>
    </w:p>
    <w:p>
      <w:pPr>
        <w:ind w:left="660" w:right="160" w:hanging="328"/>
        <w:spacing w:after="0" w:line="26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March 31, 2017, we issued an aggregate of 200,000 unregistered shares of our common stock, of which 150,000 unregistered shares were issued from our 2016 Stock Plan (defined below), having an aggregate fair value of $422,500 on the dates of issuance to various professional services providers.</w:t>
      </w:r>
    </w:p>
    <w:p>
      <w:pPr>
        <w:spacing w:after="0" w:line="18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During the quarter ended December 31, 2015, we issued warrants to purchase an aggregate of 45,000 shares of our unregistered common stock to four parties as compensation under certain investment banking agreements. In connection with one of the warrant grants, we also issued 15,750 shares of unregistered common stock valued at $106,300 and, in connection with another warrant grant, we made a cash payment of $20,000. In March 2016, we issued warrants to purchase an aggregate of 230,000 shares of our common stock to eleven professional service providers in connection with investment banking, strategic planning and financing, tax, legal and research and development consulting services. We recognized $1,042,400 of general and administrative expense and $127,100 of research and development expense attributable to the March 2016 grants. We valued the warrants granted on the dates indicated using the Black Scholes Option Pricing Model and the following assumptions: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November</w:t>
            </w: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9"/>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40" w:type="dxa"/>
            <w:vAlign w:val="bottom"/>
          </w:tcPr>
          <w:p>
            <w:pPr>
              <w:spacing w:after="0"/>
              <w:rPr>
                <w:sz w:val="20"/>
                <w:szCs w:val="20"/>
                <w:color w:val="auto"/>
              </w:rPr>
            </w:pPr>
          </w:p>
        </w:tc>
        <w:tc>
          <w:tcPr>
            <w:tcW w:w="9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2015</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March 2016</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in years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77.95%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77.88%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per share</w:t>
            </w:r>
          </w:p>
        </w:tc>
        <w:tc>
          <w:tcPr>
            <w:tcW w:w="326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4.22</w:t>
            </w:r>
          </w:p>
        </w:tc>
        <w:tc>
          <w:tcPr>
            <w:tcW w:w="4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2.12</w:t>
            </w:r>
          </w:p>
        </w:tc>
        <w:tc>
          <w:tcPr>
            <w:tcW w:w="3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5.08</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shares granted</w:t>
            </w:r>
          </w:p>
        </w:tc>
        <w:tc>
          <w:tcPr>
            <w:tcW w:w="3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7,500</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37,500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230,000</w:t>
            </w:r>
          </w:p>
        </w:tc>
      </w:tr>
      <w:tr>
        <w:trPr>
          <w:trHeight w:val="228"/>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Expense recognized</w:t>
            </w:r>
          </w:p>
        </w:tc>
        <w:tc>
          <w:tcPr>
            <w:tcW w:w="32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31,700</w:t>
            </w:r>
          </w:p>
        </w:tc>
        <w:tc>
          <w:tcPr>
            <w:tcW w:w="4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79,600</w:t>
            </w:r>
          </w:p>
        </w:tc>
        <w:tc>
          <w:tcPr>
            <w:tcW w:w="3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1,169,500</w:t>
            </w:r>
          </w:p>
        </w:tc>
      </w:tr>
    </w:tbl>
    <w:p>
      <w:pPr>
        <w:spacing w:after="0" w:line="200" w:lineRule="exact"/>
        <w:rPr>
          <w:sz w:val="20"/>
          <w:szCs w:val="20"/>
          <w:color w:val="auto"/>
        </w:rPr>
      </w:pPr>
    </w:p>
    <w:p>
      <w:pPr>
        <w:sectPr>
          <w:pgSz w:w="11900" w:h="16838" w:orient="portrait"/>
          <w:cols w:equalWidth="0" w:num="1">
            <w:col w:w="11420"/>
          </w:cols>
          <w:pgMar w:left="240" w:top="123" w:right="239" w:bottom="676"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676" w:gutter="0" w:footer="0" w:header="0"/>
          <w:type w:val="continuous"/>
        </w:sectPr>
      </w:pPr>
    </w:p>
    <w:bookmarkStart w:id="142" w:name="page143"/>
    <w:bookmarkEnd w:id="142"/>
    <w:p>
      <w:pPr>
        <w:spacing w:after="0" w:line="62"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Exchanges into Series C Preferred and Common Stock</w:t>
      </w:r>
    </w:p>
    <w:p>
      <w:pPr>
        <w:spacing w:after="0" w:line="22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 xml:space="preserve">In January 2016, we entered into an Exchange Agreement (the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with PLTG and Montsant Partners, LLC, an organization affiliated with PLTG (</w:t>
      </w:r>
      <w:r>
        <w:rPr>
          <w:rFonts w:ascii="Times New Roman" w:cs="Times New Roman" w:eastAsia="Times New Roman" w:hAnsi="Times New Roman"/>
          <w:sz w:val="18"/>
          <w:szCs w:val="18"/>
          <w:i w:val="1"/>
          <w:iCs w:val="1"/>
          <w:color w:val="auto"/>
        </w:rPr>
        <w:t>Montsant</w:t>
      </w:r>
      <w:r>
        <w:rPr>
          <w:rFonts w:ascii="Times New Roman" w:cs="Times New Roman" w:eastAsia="Times New Roman" w:hAnsi="Times New Roman"/>
          <w:sz w:val="18"/>
          <w:szCs w:val="18"/>
          <w:color w:val="auto"/>
        </w:rPr>
        <w:t xml:space="preserve"> and, together with PLTG, the </w:t>
      </w:r>
      <w:r>
        <w:rPr>
          <w:rFonts w:ascii="Times New Roman" w:cs="Times New Roman" w:eastAsia="Times New Roman" w:hAnsi="Times New Roman"/>
          <w:sz w:val="18"/>
          <w:szCs w:val="18"/>
          <w:i w:val="1"/>
          <w:iCs w:val="1"/>
          <w:color w:val="auto"/>
        </w:rPr>
        <w:t>Holders</w:t>
      </w:r>
      <w:r>
        <w:rPr>
          <w:rFonts w:ascii="Times New Roman" w:cs="Times New Roman" w:eastAsia="Times New Roman" w:hAnsi="Times New Roman"/>
          <w:sz w:val="18"/>
          <w:szCs w:val="18"/>
          <w:color w:val="auto"/>
        </w:rPr>
        <w:t xml:space="preserve">), pursuant to which (i) 200,000 shares of our common stock held by the Holders were exchanged for 200,000 shares of Series C Preferred; and (ii) the Holders canceled outstanding warrants to purchase an aggregate of 2,368,658 shares of our unregistered common stock (the </w:t>
      </w:r>
      <w:r>
        <w:rPr>
          <w:rFonts w:ascii="Times New Roman" w:cs="Times New Roman" w:eastAsia="Times New Roman" w:hAnsi="Times New Roman"/>
          <w:sz w:val="18"/>
          <w:szCs w:val="18"/>
          <w:i w:val="1"/>
          <w:iCs w:val="1"/>
          <w:color w:val="auto"/>
        </w:rPr>
        <w:t>Outstanding PLTG Warrants</w:t>
      </w:r>
      <w:r>
        <w:rPr>
          <w:rFonts w:ascii="Times New Roman" w:cs="Times New Roman" w:eastAsia="Times New Roman" w:hAnsi="Times New Roman"/>
          <w:sz w:val="18"/>
          <w:szCs w:val="18"/>
          <w:color w:val="auto"/>
        </w:rPr>
        <w:t xml:space="preserve">) in exchange for a total of 1,776,494 shares of Series C Preferred. In addition, PLTG terminated its right under the October 2012 Note Exchange and Purchase Agreement, as amended (the </w:t>
      </w:r>
      <w:r>
        <w:rPr>
          <w:rFonts w:ascii="Times New Roman" w:cs="Times New Roman" w:eastAsia="Times New Roman" w:hAnsi="Times New Roman"/>
          <w:sz w:val="18"/>
          <w:szCs w:val="18"/>
          <w:i w:val="1"/>
          <w:iCs w:val="1"/>
          <w:color w:val="auto"/>
        </w:rPr>
        <w:t>NEPA</w:t>
      </w:r>
      <w:r>
        <w:rPr>
          <w:rFonts w:ascii="Times New Roman" w:cs="Times New Roman" w:eastAsia="Times New Roman" w:hAnsi="Times New Roman"/>
          <w:sz w:val="18"/>
          <w:szCs w:val="18"/>
          <w:color w:val="auto"/>
        </w:rPr>
        <w:t>), to receive the Series A Exchange Warrant to purchase a total of 455,358 shares of our common stock upon conversion of all of its shares of our Series A Preferred, and, as consideration, we issued to PLTG 341,518 shares of Series C Preferred. Upon execution of the Exchange Agreement and the termination of PLTG’s right to receive Series A Exchange Warrants under the NEPA, we issued a Series A Exchange Warrant to purchase a total of 80,357 shares of our common stock to the current holder of shares of Series A Preferred previously held, but subsequently assigned, by PLTG.</w:t>
      </w:r>
    </w:p>
    <w:p>
      <w:pPr>
        <w:spacing w:after="0" w:line="19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During the quarter ended March 31, 2016, we entered into Warrant Exchange Agreements with certain holders of other outstanding warrants (</w:t>
      </w:r>
      <w:r>
        <w:rPr>
          <w:rFonts w:ascii="Times New Roman" w:cs="Times New Roman" w:eastAsia="Times New Roman" w:hAnsi="Times New Roman"/>
          <w:sz w:val="18"/>
          <w:szCs w:val="18"/>
          <w:i w:val="1"/>
          <w:iCs w:val="1"/>
          <w:color w:val="auto"/>
        </w:rPr>
        <w:t>Other Warrants</w:t>
      </w:r>
      <w:r>
        <w:rPr>
          <w:rFonts w:ascii="Times New Roman" w:cs="Times New Roman" w:eastAsia="Times New Roman" w:hAnsi="Times New Roman"/>
          <w:sz w:val="18"/>
          <w:szCs w:val="18"/>
          <w:color w:val="auto"/>
        </w:rPr>
        <w:t>) to purchase an aggregate of 1,086,610 shares of our common stock pursuant to which the holders agreed to the cancellation of such warrants in exchange for our issuance to them of an aggregate of 814,989 shares of our unregistered common stock. In connection with these exchanges, we extended the expiration date of certain warrants by three months.</w:t>
      </w:r>
    </w:p>
    <w:p>
      <w:pPr>
        <w:spacing w:after="0" w:line="18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We accounted for the exchange of the Outstanding PLTG Warrants, the Series A Preferred Exchange Warrant, and the Other Warrants as warrant modifications, determining the fair value of the Outstanding PLTG Warrants and the Other Warrants, and the Series A Preferred Exchange Warrant as if issued on the Exchange Agreement date, as of the respective exchange agreement dates, and comparing that to the fair value of the Series C Preferred or common stock issued. Considering the direct exchangeability of the Series C Preferred shares into shares of our common stock, we determined that the fair value of a share of Series C Preferred issued pursuant to the Exchange Agreement with PLTG was equal to the market value of a share of our common stock on the date of the Exchange Agreement. We calculated the weighted average fair value of the warrants prior to the respective exchanges using the Black Scholes Option Pricing Model and the weighted average assumptions indicated in the table below. We determined the post-modification fair value based on the quoted market price of our common stock on the effective date of each exchange and the number of unregistered shares issued in each exchange, as also indicated in the table below. We recognized the amount of the incremental fair value of the unregistered Series C Preferred or common stock issued in excess of the fair value of the warrants cancelled, $5,608,300, as a component of warrant modification expense, which is included in general and administrative expenses in our accompanying Consolidated Statement of Operations and Comprehensive Loss for the fiscal year ended March 31, 2016.</w:t>
      </w:r>
    </w:p>
    <w:p>
      <w:pPr>
        <w:spacing w:after="0" w:line="19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Warrant Exchanges - FY 2016</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Borders>
              <w:top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160" w:type="dxa"/>
            <w:vAlign w:val="bottom"/>
            <w:tcBorders>
              <w:top w:val="single" w:sz="8" w:color="auto"/>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8"/>
                <w:szCs w:val="18"/>
                <w:color w:val="auto"/>
              </w:rPr>
              <w:t>January 2016</w:t>
            </w: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900" w:type="dxa"/>
            <w:vAlign w:val="bottom"/>
            <w:tcBorders>
              <w:top w:val="single" w:sz="8" w:color="auto"/>
              <w:bottom w:val="single" w:sz="8" w:color="auto"/>
            </w:tcBorders>
            <w:gridSpan w:val="4"/>
          </w:tcPr>
          <w:p>
            <w:pPr>
              <w:jc w:val="center"/>
              <w:ind w:right="72"/>
              <w:spacing w:after="0"/>
              <w:rPr>
                <w:sz w:val="20"/>
                <w:szCs w:val="20"/>
                <w:color w:val="auto"/>
              </w:rPr>
            </w:pPr>
            <w:r>
              <w:rPr>
                <w:rFonts w:ascii="Times New Roman" w:cs="Times New Roman" w:eastAsia="Times New Roman" w:hAnsi="Times New Roman"/>
                <w:sz w:val="18"/>
                <w:szCs w:val="18"/>
                <w:color w:val="auto"/>
                <w:w w:val="97"/>
              </w:rPr>
              <w:t>January - March 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4"/>
          </w:tcPr>
          <w:p>
            <w:pPr>
              <w:ind w:left="700"/>
              <w:spacing w:after="0" w:line="201" w:lineRule="exact"/>
              <w:rPr>
                <w:sz w:val="20"/>
                <w:szCs w:val="20"/>
                <w:color w:val="auto"/>
              </w:rPr>
            </w:pPr>
            <w:r>
              <w:rPr>
                <w:rFonts w:ascii="Times New Roman" w:cs="Times New Roman" w:eastAsia="Times New Roman" w:hAnsi="Times New Roman"/>
                <w:sz w:val="18"/>
                <w:szCs w:val="18"/>
                <w:color w:val="auto"/>
                <w:w w:val="93"/>
              </w:rPr>
              <w:t>PLTG</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5"/>
          </w:tcPr>
          <w:p>
            <w:pPr>
              <w:jc w:val="center"/>
              <w:ind w:right="180"/>
              <w:spacing w:after="0" w:line="201" w:lineRule="exact"/>
              <w:rPr>
                <w:sz w:val="20"/>
                <w:szCs w:val="20"/>
                <w:color w:val="auto"/>
              </w:rPr>
            </w:pPr>
            <w:r>
              <w:rPr>
                <w:rFonts w:ascii="Times New Roman" w:cs="Times New Roman" w:eastAsia="Times New Roman" w:hAnsi="Times New Roman"/>
                <w:sz w:val="18"/>
                <w:szCs w:val="18"/>
                <w:color w:val="auto"/>
                <w:w w:val="95"/>
              </w:rPr>
              <w:t>PLTG Series A</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Other</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5"/>
          </w:tcPr>
          <w:p>
            <w:pPr>
              <w:jc w:val="right"/>
              <w:ind w:right="192"/>
              <w:spacing w:after="0"/>
              <w:rPr>
                <w:sz w:val="20"/>
                <w:szCs w:val="20"/>
                <w:color w:val="auto"/>
              </w:rPr>
            </w:pPr>
            <w:r>
              <w:rPr>
                <w:rFonts w:ascii="Times New Roman" w:cs="Times New Roman" w:eastAsia="Times New Roman" w:hAnsi="Times New Roman"/>
                <w:sz w:val="18"/>
                <w:szCs w:val="18"/>
                <w:color w:val="auto"/>
              </w:rPr>
              <w:t>Outstanding Warrants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6"/>
              </w:rPr>
              <w:t>Exchange Warrant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6"/>
              </w:rPr>
              <w:t>outstanding warrants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ind w:right="500"/>
              <w:spacing w:after="0" w:line="201" w:lineRule="exact"/>
              <w:rPr>
                <w:sz w:val="20"/>
                <w:szCs w:val="20"/>
                <w:color w:val="auto"/>
              </w:rPr>
            </w:pPr>
            <w:r>
              <w:rPr>
                <w:rFonts w:ascii="Times New Roman" w:cs="Times New Roman" w:eastAsia="Times New Roman" w:hAnsi="Times New Roman"/>
                <w:sz w:val="18"/>
                <w:szCs w:val="18"/>
                <w:color w:val="auto"/>
              </w:rPr>
              <w:t>Pre-</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12"/>
              <w:spacing w:after="0" w:line="201" w:lineRule="exact"/>
              <w:rPr>
                <w:sz w:val="20"/>
                <w:szCs w:val="20"/>
                <w:color w:val="auto"/>
              </w:rPr>
            </w:pPr>
            <w:r>
              <w:rPr>
                <w:rFonts w:ascii="Times New Roman" w:cs="Times New Roman" w:eastAsia="Times New Roman" w:hAnsi="Times New Roman"/>
                <w:sz w:val="18"/>
                <w:szCs w:val="18"/>
                <w:color w:val="auto"/>
              </w:rPr>
              <w:t>Post-</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ind w:right="520"/>
              <w:spacing w:after="0" w:line="201" w:lineRule="exact"/>
              <w:rPr>
                <w:sz w:val="20"/>
                <w:szCs w:val="20"/>
                <w:color w:val="auto"/>
              </w:rPr>
            </w:pPr>
            <w:r>
              <w:rPr>
                <w:rFonts w:ascii="Times New Roman" w:cs="Times New Roman" w:eastAsia="Times New Roman" w:hAnsi="Times New Roman"/>
                <w:sz w:val="18"/>
                <w:szCs w:val="18"/>
                <w:color w:val="auto"/>
              </w:rPr>
              <w:t>Pre-</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92"/>
              <w:spacing w:after="0" w:line="201" w:lineRule="exact"/>
              <w:rPr>
                <w:sz w:val="20"/>
                <w:szCs w:val="20"/>
                <w:color w:val="auto"/>
              </w:rPr>
            </w:pPr>
            <w:r>
              <w:rPr>
                <w:rFonts w:ascii="Times New Roman" w:cs="Times New Roman" w:eastAsia="Times New Roman" w:hAnsi="Times New Roman"/>
                <w:sz w:val="18"/>
                <w:szCs w:val="18"/>
                <w:color w:val="auto"/>
              </w:rPr>
              <w:t>Post-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ind w:right="540"/>
              <w:spacing w:after="0" w:line="201" w:lineRule="exact"/>
              <w:rPr>
                <w:sz w:val="20"/>
                <w:szCs w:val="20"/>
                <w:color w:val="auto"/>
              </w:rPr>
            </w:pPr>
            <w:r>
              <w:rPr>
                <w:rFonts w:ascii="Times New Roman" w:cs="Times New Roman" w:eastAsia="Times New Roman" w:hAnsi="Times New Roman"/>
                <w:sz w:val="18"/>
                <w:szCs w:val="18"/>
                <w:color w:val="auto"/>
              </w:rPr>
              <w:t>Pre-</w:t>
            </w: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192"/>
              <w:spacing w:after="0" w:line="201" w:lineRule="exact"/>
              <w:rPr>
                <w:sz w:val="20"/>
                <w:szCs w:val="20"/>
                <w:color w:val="auto"/>
              </w:rPr>
            </w:pPr>
            <w:r>
              <w:rPr>
                <w:rFonts w:ascii="Times New Roman" w:cs="Times New Roman" w:eastAsia="Times New Roman" w:hAnsi="Times New Roman"/>
                <w:sz w:val="18"/>
                <w:szCs w:val="18"/>
                <w:color w:val="auto"/>
              </w:rPr>
              <w:t>Post-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modification</w:t>
            </w:r>
          </w:p>
        </w:tc>
        <w:tc>
          <w:tcPr>
            <w:tcW w:w="6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modification</w:t>
            </w:r>
          </w:p>
        </w:tc>
        <w:tc>
          <w:tcPr>
            <w:tcW w:w="22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modification</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7"/>
              </w:rPr>
              <w:t>modification</w:t>
            </w:r>
          </w:p>
        </w:tc>
        <w:tc>
          <w:tcPr>
            <w:tcW w:w="20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modification</w:t>
            </w: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modification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Contractual term (years)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fair value per share</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shares cancelled and exchanged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2,368,658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1,986,610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Common (Series C Preferred for PLTG Warrants) shares issued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exchange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1,776,494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341,518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814,989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11,797,400</w:t>
            </w:r>
          </w:p>
        </w:tc>
        <w:tc>
          <w:tcPr>
            <w:tcW w:w="18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14,656,100</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2,481,300</w:t>
            </w:r>
          </w:p>
        </w:tc>
        <w:tc>
          <w:tcPr>
            <w:tcW w:w="2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2,817,500</w:t>
            </w:r>
          </w:p>
        </w:tc>
        <w:tc>
          <w:tcPr>
            <w:tcW w:w="2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4,081,600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Incremental fair value recognized as warrant modification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expense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2,858,700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During our fiscal year ended March 31, 2017, we entered into additional Warrant Exchange Agreements with certain other holders of outstanding warrants to purchase an aggregate of 224,693 shares of our common stock pursuant to which the holders agreed to cancel such warrants in exchange for the issuance of an aggregate of 156,246 unregistered shares of common stock.</w:t>
      </w:r>
    </w:p>
    <w:p>
      <w:pPr>
        <w:spacing w:after="0" w:line="186"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We also accounted for the exchanges of these warrants as warrant modifications, comparing the fair value of the warrants immediately prior to the exchanges with the fair value of the unregistered common stock issued, using the same procedures as described previously. We calculated the weighted average fair value of the warrants prior to the respective exchanges using the Black Scholes Option Pricing Model and the weighted average assumptions indicated in the table below. We determined the post-modification fair value based on the quoted market price of our common stock on the effective date of each exchange and the number of unregistered shares issued in the exchange, as also indicated in the table below. We recognized the incremental fair value of the unregistered common stock issued in excess of the fair value of the warrants cancelled, $350,700, as a component of warrant modification expense which is included in general and administrative expenses in our accompanying Consolidated Statement of Operations and Comprehensive Loss for the fiscal year ended March 31, 2017.</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 Exchanges - FY 2017</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20" w:type="dxa"/>
            <w:vAlign w:val="bottom"/>
          </w:tcPr>
          <w:p>
            <w:pPr>
              <w:spacing w:after="0"/>
              <w:rPr>
                <w:sz w:val="20"/>
                <w:szCs w:val="20"/>
                <w:color w:val="auto"/>
              </w:rPr>
            </w:pPr>
          </w:p>
        </w:tc>
        <w:tc>
          <w:tcPr>
            <w:tcW w:w="2300" w:type="dxa"/>
            <w:vAlign w:val="bottom"/>
            <w:tcBorders>
              <w:top w:val="single" w:sz="8" w:color="auto"/>
            </w:tcBorders>
          </w:tcPr>
          <w:p>
            <w:pPr>
              <w:spacing w:after="0"/>
              <w:rPr>
                <w:sz w:val="20"/>
                <w:szCs w:val="20"/>
                <w:color w:val="auto"/>
              </w:rPr>
            </w:pPr>
          </w:p>
        </w:tc>
        <w:tc>
          <w:tcPr>
            <w:tcW w:w="2080" w:type="dxa"/>
            <w:vAlign w:val="bottom"/>
            <w:tcBorders>
              <w:top w:val="single" w:sz="8" w:color="auto"/>
              <w:bottom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color w:val="auto"/>
              </w:rPr>
              <w:t>April - May 2016</w:t>
            </w:r>
          </w:p>
        </w:tc>
        <w:tc>
          <w:tcPr>
            <w:tcW w:w="200" w:type="dxa"/>
            <w:vAlign w:val="bottom"/>
            <w:tcBorders>
              <w:top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60" w:type="dxa"/>
            <w:vAlign w:val="bottom"/>
            <w:tcBorders>
              <w:top w:val="single" w:sz="8" w:color="auto"/>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August 2016</w:t>
            </w:r>
          </w:p>
        </w:tc>
        <w:tc>
          <w:tcPr>
            <w:tcW w:w="220" w:type="dxa"/>
            <w:vAlign w:val="bottom"/>
            <w:tcBorders>
              <w:top w:val="single" w:sz="8" w:color="auto"/>
            </w:tcBorders>
          </w:tcPr>
          <w:p>
            <w:pPr>
              <w:spacing w:after="0"/>
              <w:rPr>
                <w:sz w:val="20"/>
                <w:szCs w:val="20"/>
                <w:color w:val="auto"/>
              </w:rPr>
            </w:pPr>
          </w:p>
        </w:tc>
        <w:tc>
          <w:tcPr>
            <w:tcW w:w="2040" w:type="dxa"/>
            <w:vAlign w:val="bottom"/>
            <w:tcBorders>
              <w:top w:val="single" w:sz="8" w:color="auto"/>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color w:val="auto"/>
              </w:rPr>
              <w:t>October 2016</w:t>
            </w:r>
          </w:p>
        </w:tc>
        <w:tc>
          <w:tcPr>
            <w:tcW w:w="220" w:type="dxa"/>
            <w:vAlign w:val="bottom"/>
            <w:tcBorders>
              <w:top w:val="single" w:sz="8" w:color="auto"/>
            </w:tcBorders>
          </w:tcPr>
          <w:p>
            <w:pPr>
              <w:spacing w:after="0"/>
              <w:rPr>
                <w:sz w:val="20"/>
                <w:szCs w:val="20"/>
                <w:color w:val="auto"/>
              </w:rPr>
            </w:pPr>
          </w:p>
        </w:tc>
        <w:tc>
          <w:tcPr>
            <w:tcW w:w="2060" w:type="dxa"/>
            <w:vAlign w:val="bottom"/>
            <w:tcBorders>
              <w:top w:val="single" w:sz="8" w:color="auto"/>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color w:val="auto"/>
              </w:rPr>
              <w:t>December 2016</w:t>
            </w:r>
          </w:p>
        </w:tc>
        <w:tc>
          <w:tcPr>
            <w:tcW w:w="100" w:type="dxa"/>
            <w:vAlign w:val="bottom"/>
          </w:tcPr>
          <w:p>
            <w:pPr>
              <w:spacing w:after="0"/>
              <w:rPr>
                <w:sz w:val="20"/>
                <w:szCs w:val="20"/>
                <w:color w:val="auto"/>
              </w:rPr>
            </w:pPr>
          </w:p>
        </w:tc>
      </w:tr>
      <w:tr>
        <w:trPr>
          <w:trHeight w:val="202"/>
        </w:trPr>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3"/>
              </w:rPr>
              <w:t>Pre-</w:t>
            </w:r>
          </w:p>
        </w:tc>
        <w:tc>
          <w:tcPr>
            <w:tcW w:w="24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Post-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Pre-</w:t>
            </w:r>
          </w:p>
        </w:tc>
        <w:tc>
          <w:tcPr>
            <w:tcW w:w="22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Post-</w:t>
            </w:r>
          </w:p>
        </w:tc>
        <w:tc>
          <w:tcPr>
            <w:tcW w:w="22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Pre-</w:t>
            </w:r>
          </w:p>
        </w:tc>
        <w:tc>
          <w:tcPr>
            <w:tcW w:w="22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Post-</w:t>
            </w:r>
          </w:p>
        </w:tc>
        <w:tc>
          <w:tcPr>
            <w:tcW w:w="22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3"/>
              </w:rPr>
              <w:t>Pre-</w:t>
            </w:r>
          </w:p>
        </w:tc>
        <w:tc>
          <w:tcPr>
            <w:tcW w:w="22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Post-</w:t>
            </w:r>
          </w:p>
        </w:tc>
        <w:tc>
          <w:tcPr>
            <w:tcW w:w="100" w:type="dxa"/>
            <w:vAlign w:val="bottom"/>
          </w:tcPr>
          <w:p>
            <w:pPr>
              <w:spacing w:after="0"/>
              <w:rPr>
                <w:sz w:val="17"/>
                <w:szCs w:val="17"/>
                <w:color w:val="auto"/>
              </w:rPr>
            </w:pPr>
          </w:p>
        </w:tc>
      </w:tr>
      <w:tr>
        <w:trPr>
          <w:trHeight w:val="237"/>
        </w:trPr>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modification</w:t>
            </w:r>
          </w:p>
        </w:tc>
        <w:tc>
          <w:tcPr>
            <w:tcW w:w="2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modification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modification</w:t>
            </w:r>
          </w:p>
        </w:tc>
        <w:tc>
          <w:tcPr>
            <w:tcW w:w="2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modification</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modification</w:t>
            </w:r>
          </w:p>
        </w:tc>
        <w:tc>
          <w:tcPr>
            <w:tcW w:w="2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modification</w:t>
            </w:r>
          </w:p>
        </w:tc>
        <w:tc>
          <w:tcPr>
            <w:tcW w:w="2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modification</w:t>
            </w:r>
          </w:p>
        </w:tc>
        <w:tc>
          <w:tcPr>
            <w:tcW w:w="22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modification</w:t>
            </w:r>
          </w:p>
        </w:tc>
      </w:tr>
      <w:tr>
        <w:trPr>
          <w:trHeight w:val="216"/>
        </w:trPr>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ectPr>
          <w:pgSz w:w="11900" w:h="16900" w:orient="portrait"/>
          <w:cols w:equalWidth="0" w:num="1">
            <w:col w:w="11420"/>
          </w:cols>
          <w:pgMar w:left="240" w:top="123" w:right="239" w:bottom="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3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8.44</w:t>
            </w:r>
          </w:p>
        </w:tc>
        <w:tc>
          <w:tcPr>
            <w:tcW w:w="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8.45</w:t>
            </w:r>
          </w:p>
        </w:tc>
        <w:tc>
          <w:tcPr>
            <w:tcW w:w="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3.33</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3.33</w:t>
            </w:r>
          </w:p>
        </w:tc>
        <w:tc>
          <w:tcPr>
            <w:tcW w:w="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4.05</w:t>
            </w:r>
          </w:p>
        </w:tc>
        <w:tc>
          <w:tcPr>
            <w:tcW w:w="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4.05</w:t>
            </w:r>
          </w:p>
        </w:tc>
        <w:tc>
          <w:tcPr>
            <w:tcW w:w="3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3.73</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7.37</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8.00</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8.15</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(years)</w:t>
            </w:r>
          </w:p>
        </w:tc>
        <w:tc>
          <w:tcPr>
            <w:tcW w:w="30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4.77</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4.58</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2.40</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0.003</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w w:val="99"/>
              </w:rPr>
              <w:t>Weighted average fair value per</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5.37</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1.64</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Warrant shares cancelled and</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exchanged</w:t>
            </w:r>
          </w:p>
        </w:tc>
        <w:tc>
          <w:tcPr>
            <w:tcW w:w="30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41,649</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20,000</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113,944</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49,100</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Common shares issued in</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31,238</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15,000</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85,458</w:t>
            </w: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24,550</w:t>
            </w: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Fair Value</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223,700</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264,000</w:t>
            </w:r>
          </w:p>
        </w:tc>
        <w:tc>
          <w:tcPr>
            <w:tcW w:w="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32,900</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50,000</w:t>
            </w: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144,400</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346,100</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Incremental fair value</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recognized as warrant</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modification expense</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40,300</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17,100</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201,700</w:t>
            </w: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91,600</w:t>
            </w:r>
          </w:p>
        </w:tc>
        <w:tc>
          <w:tcPr>
            <w:tcW w:w="0" w:type="dxa"/>
            <w:vAlign w:val="bottom"/>
          </w:tcPr>
          <w:p>
            <w:pPr>
              <w:spacing w:after="0"/>
              <w:rPr>
                <w:sz w:val="1"/>
                <w:szCs w:val="1"/>
                <w:color w:val="auto"/>
              </w:rPr>
            </w:pPr>
          </w:p>
        </w:tc>
      </w:tr>
      <w:tr>
        <w:trPr>
          <w:trHeight w:val="900"/>
        </w:trPr>
        <w:tc>
          <w:tcPr>
            <w:tcW w:w="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F-21</w:t>
            </w: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44" w:name="page145"/>
    <w:bookmarkEnd w:id="144"/>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Warrant Modifications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to warrants modified in connection with conversions of certain of our outstanding promissory notes into Series B Preferred during the first and second quarters of our fiscal year ended March 31, 2016, as described earlier in this note, the incremental fair value of which modifications was included in the determination of loss on extinguishment of debt, and the warrants modified in connection with the various warrant exchange transactions described immediately above, we modified other outstanding warrants during our fiscal years ended March 31, 2017 and 2016.</w:t>
      </w:r>
    </w:p>
    <w:p>
      <w:pPr>
        <w:spacing w:after="0" w:line="19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June 2015, we modified certain outstanding warrants to purchase an aggregate of 54,576 shares of our common stock to reduce their exercise price. We calculated the fair value of the modified warrants immediately before and after the modifications and determined that the fair value of the warrants increased by an aggregate of $122,300, which we recognized as a component of warrant modification expense which is included in general and administrative expense in the accompanying Consolidated Statement of Operations and Comprehensive Loss for the fiscal year ended March 31, 2016. The warrants subject to the exercise price modifications were valued using the Black-Scholes Option Pricing Model and the following assumptions: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Pre-</w:t>
            </w: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Post-</w:t>
            </w:r>
          </w:p>
        </w:tc>
        <w:tc>
          <w:tcPr>
            <w:tcW w:w="0" w:type="dxa"/>
            <w:vAlign w:val="bottom"/>
          </w:tcPr>
          <w:p>
            <w:pPr>
              <w:spacing w:after="0"/>
              <w:rPr>
                <w:sz w:val="1"/>
                <w:szCs w:val="1"/>
                <w:color w:val="auto"/>
              </w:rPr>
            </w:pPr>
          </w:p>
        </w:tc>
      </w:tr>
      <w:tr>
        <w:trPr>
          <w:trHeight w:val="239"/>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3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modification</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 (weighted average)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28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(weighted average)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Remaining contractual term in years (weighted average)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(weighted average)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per share (weighted average)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280" w:type="dxa"/>
            <w:vAlign w:val="bottom"/>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In November 2015, our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authorized the modification of outstanding warrants to purchase an aggregate of 1,123,533 shares of our common stock, including warrants to purchase an aggregate of 600,000 shares granted in September 2015 to company officers, independent members of the Board and a key scientific advisor to reduce the exercise prices thereof to $7.00 per share and to extend through March 19, 2019 the expiration date of such warrants to purchase an aggregate of 10,803 shares of our unregistered common stock otherwise scheduled to expire during calendar 2016. We calculated the fair value of the modified warrants immediately before and after the modifications and determined that the fair value of the warrants increased by an aggregate of $492,600. We recognized $357,500 of such increase as a component of general and administrative expense in the accompanying Consolidated Statement of Operations and Comprehensive Loss for the fiscal year ended March 31, 2016, and the remaining $135,100 as a component of research and development expense in the same period. The warrants subject to the exercise price modifications were valued using the Black-Scholes Option Pricing Model and the following assumptions: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Pre-</w:t>
            </w: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Post-</w:t>
            </w:r>
          </w:p>
        </w:tc>
        <w:tc>
          <w:tcPr>
            <w:tcW w:w="0" w:type="dxa"/>
            <w:vAlign w:val="bottom"/>
          </w:tcPr>
          <w:p>
            <w:pPr>
              <w:spacing w:after="0"/>
              <w:rPr>
                <w:sz w:val="1"/>
                <w:szCs w:val="1"/>
                <w:color w:val="auto"/>
              </w:rPr>
            </w:pPr>
          </w:p>
        </w:tc>
      </w:tr>
      <w:tr>
        <w:trPr>
          <w:trHeight w:val="239"/>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3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modification</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 (weighted average)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8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(weighted average)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Remaining contractual term in years (weighted average)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(weighted average)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per share (weighted average)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280" w:type="dxa"/>
            <w:vAlign w:val="bottom"/>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noted with respect to the exchange of the Other Warrants into shares of our common stock, in January 2016, we extended the term of certain warrants to purchase an aggregate of 91,230 unregistered shares of our common stock otherwise due to expire between January 31, 2016 and June 11, 2016 by three months. We calculated the fair value of the extended warrants immediately before and after the extension and determined that the fair value of the warrants increased by an aggregate of $45,700, which we treated as an additional component of warrant modification expense for the fiscal year ended March 31, 2016 in the accompanying Consolidated Statement of Operations and Comprehensive Loss. The warrants subject to the term extension were valued using the Black-Scholes Option Pricing Model and the following weighted average assumptions: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modification</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0.28%</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Remaining contractual term in years</w:t>
            </w: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91.2%</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5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5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per share</w:t>
            </w:r>
          </w:p>
        </w:tc>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0.30</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20"/>
        <w:spacing w:after="0" w:line="275" w:lineRule="auto"/>
        <w:rPr>
          <w:sz w:val="20"/>
          <w:szCs w:val="20"/>
          <w:color w:val="auto"/>
        </w:rPr>
      </w:pPr>
      <w:r>
        <w:rPr>
          <w:rFonts w:ascii="Times New Roman" w:cs="Times New Roman" w:eastAsia="Times New Roman" w:hAnsi="Times New Roman"/>
          <w:sz w:val="18"/>
          <w:szCs w:val="18"/>
          <w:color w:val="auto"/>
        </w:rPr>
        <w:t>For warrants which were extended and subsequently exchanged, the pre-modification fair value used in the warrant exchange calculation was the post-modification term extension fair value, since those warrants were treated as having been modified twice in a twelve-month period.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5"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ectPr>
          <w:pgSz w:w="11900" w:h="16838" w:orient="portrait"/>
          <w:cols w:equalWidth="0" w:num="1">
            <w:col w:w="11420"/>
          </w:cols>
          <w:pgMar w:left="240" w:top="123" w:right="239" w:bottom="196" w:gutter="0" w:footer="0" w:header="0"/>
        </w:sectPr>
      </w:pPr>
    </w:p>
    <w:bookmarkStart w:id="145" w:name="page146"/>
    <w:bookmarkEnd w:id="145"/>
    <w:p>
      <w:pPr>
        <w:ind w:right="140"/>
        <w:spacing w:after="0" w:line="256" w:lineRule="auto"/>
        <w:rPr>
          <w:sz w:val="20"/>
          <w:szCs w:val="20"/>
          <w:color w:val="auto"/>
        </w:rPr>
      </w:pPr>
      <w:r>
        <w:rPr>
          <w:rFonts w:ascii="Times New Roman" w:cs="Times New Roman" w:eastAsia="Times New Roman" w:hAnsi="Times New Roman"/>
          <w:sz w:val="18"/>
          <w:szCs w:val="18"/>
          <w:color w:val="auto"/>
        </w:rPr>
        <w:t>In December 2016, the Board authorized the modification of an outstanding warrant to both alter the exercise terms and increase the number of shares for which the warrant was exercisable. We calculated the fair value of the warrant immediately before and after the modification using the Black Scholes Option Pricing Model and the assumptions indicated in the table below. We recognized the additional fair value, $76,900, as warrant modification expense, included as a component of general and administrative expenses, in our Consolidated Statement of Operations and Comprehensive Loss for the fiscal year ended March 31, 2017.</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Pre-</w:t>
            </w: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Post-</w:t>
            </w:r>
          </w:p>
        </w:tc>
        <w:tc>
          <w:tcPr>
            <w:tcW w:w="0" w:type="dxa"/>
            <w:vAlign w:val="bottom"/>
          </w:tcPr>
          <w:p>
            <w:pPr>
              <w:spacing w:after="0"/>
              <w:rPr>
                <w:sz w:val="1"/>
                <w:szCs w:val="1"/>
                <w:color w:val="auto"/>
              </w:rPr>
            </w:pPr>
          </w:p>
        </w:tc>
      </w:tr>
      <w:tr>
        <w:trPr>
          <w:trHeight w:val="239"/>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3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modification</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8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Remaining contractual term in years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Number of warrant shares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fair value per share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Outstanding</w:t>
      </w:r>
    </w:p>
    <w:p>
      <w:pPr>
        <w:spacing w:after="0" w:line="227"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The following table summarizes outstanding warrants to purchase shares of our common stock as of March 31, 2017. The weighted average exercise price of outstanding warrants at March 31, 2017 was $6.29 per share.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jc w:val="center"/>
              <w:ind w:right="472"/>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580" w:type="dxa"/>
            <w:vAlign w:val="bottom"/>
          </w:tcPr>
          <w:p>
            <w:pPr>
              <w:spacing w:after="0"/>
              <w:rPr>
                <w:sz w:val="18"/>
                <w:szCs w:val="18"/>
                <w:color w:val="auto"/>
              </w:rPr>
            </w:pPr>
          </w:p>
        </w:tc>
        <w:tc>
          <w:tcPr>
            <w:tcW w:w="25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Shares Subject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center"/>
              <w:ind w:left="492"/>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jc w:val="center"/>
              <w:ind w:right="452"/>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580" w:type="dxa"/>
            <w:vAlign w:val="bottom"/>
          </w:tcPr>
          <w:p>
            <w:pPr>
              <w:spacing w:after="0"/>
              <w:rPr>
                <w:sz w:val="18"/>
                <w:szCs w:val="18"/>
                <w:color w:val="auto"/>
              </w:rPr>
            </w:pPr>
          </w:p>
        </w:tc>
        <w:tc>
          <w:tcPr>
            <w:tcW w:w="256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to Purchase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center"/>
              <w:ind w:left="492"/>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4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6"/>
              </w:rPr>
              <w:t>Expiration</w:t>
            </w:r>
          </w:p>
        </w:tc>
        <w:tc>
          <w:tcPr>
            <w:tcW w:w="1720" w:type="dxa"/>
            <w:vAlign w:val="bottom"/>
          </w:tcPr>
          <w:p>
            <w:pPr>
              <w:jc w:val="center"/>
              <w:ind w:right="452"/>
              <w:spacing w:after="0"/>
              <w:rPr>
                <w:sz w:val="20"/>
                <w:szCs w:val="20"/>
                <w:color w:val="auto"/>
              </w:rPr>
            </w:pPr>
            <w:r>
              <w:rPr>
                <w:rFonts w:ascii="Times New Roman" w:cs="Times New Roman" w:eastAsia="Times New Roman" w:hAnsi="Times New Roman"/>
                <w:sz w:val="18"/>
                <w:szCs w:val="18"/>
                <w:b w:val="1"/>
                <w:bCs w:val="1"/>
                <w:color w:val="auto"/>
                <w:w w:val="97"/>
              </w:rPr>
              <w:t>Remaining</w:t>
            </w:r>
          </w:p>
        </w:tc>
        <w:tc>
          <w:tcPr>
            <w:tcW w:w="580" w:type="dxa"/>
            <w:vAlign w:val="bottom"/>
          </w:tcPr>
          <w:p>
            <w:pPr>
              <w:spacing w:after="0"/>
              <w:rPr>
                <w:sz w:val="18"/>
                <w:szCs w:val="18"/>
                <w:color w:val="auto"/>
              </w:rPr>
            </w:pPr>
          </w:p>
        </w:tc>
        <w:tc>
          <w:tcPr>
            <w:tcW w:w="25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March 31,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center"/>
              <w:ind w:left="492"/>
              <w:spacing w:after="0"/>
              <w:rPr>
                <w:sz w:val="20"/>
                <w:szCs w:val="20"/>
                <w:color w:val="auto"/>
              </w:rPr>
            </w:pPr>
            <w:r>
              <w:rPr>
                <w:rFonts w:ascii="Times New Roman" w:cs="Times New Roman" w:eastAsia="Times New Roman" w:hAnsi="Times New Roman"/>
                <w:sz w:val="18"/>
                <w:szCs w:val="18"/>
                <w:b w:val="1"/>
                <w:bCs w:val="1"/>
                <w:color w:val="auto"/>
                <w:w w:val="95"/>
              </w:rPr>
              <w:t>per Share</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4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720" w:type="dxa"/>
            <w:vAlign w:val="bottom"/>
          </w:tcPr>
          <w:p>
            <w:pPr>
              <w:jc w:val="center"/>
              <w:ind w:right="452"/>
              <w:spacing w:after="0"/>
              <w:rPr>
                <w:sz w:val="20"/>
                <w:szCs w:val="20"/>
                <w:color w:val="auto"/>
              </w:rPr>
            </w:pPr>
            <w:r>
              <w:rPr>
                <w:rFonts w:ascii="Times New Roman" w:cs="Times New Roman" w:eastAsia="Times New Roman" w:hAnsi="Times New Roman"/>
                <w:sz w:val="18"/>
                <w:szCs w:val="18"/>
                <w:b w:val="1"/>
                <w:bCs w:val="1"/>
                <w:color w:val="auto"/>
                <w:w w:val="93"/>
              </w:rPr>
              <w:t>Term (Years)</w:t>
            </w:r>
          </w:p>
        </w:tc>
        <w:tc>
          <w:tcPr>
            <w:tcW w:w="1920" w:type="dxa"/>
            <w:vAlign w:val="bottom"/>
            <w:gridSpan w:val="2"/>
          </w:tcPr>
          <w:p>
            <w:pPr>
              <w:jc w:val="center"/>
              <w:ind w:left="1432"/>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gridSpan w:val="2"/>
            <w:shd w:val="clear" w:color="auto" w:fill="CCEEFF"/>
          </w:tcPr>
          <w:p>
            <w:pPr>
              <w:jc w:val="right"/>
              <w:ind w:right="15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00" w:type="dxa"/>
            <w:vAlign w:val="bottom"/>
            <w:shd w:val="clear" w:color="auto" w:fill="CCEEFF"/>
          </w:tcPr>
          <w:p>
            <w:pPr>
              <w:jc w:val="center"/>
              <w:ind w:right="452"/>
              <w:spacing w:after="0"/>
              <w:rPr>
                <w:sz w:val="20"/>
                <w:szCs w:val="20"/>
                <w:color w:val="auto"/>
              </w:rPr>
            </w:pPr>
            <w:r>
              <w:rPr>
                <w:rFonts w:ascii="Times New Roman" w:cs="Times New Roman" w:eastAsia="Times New Roman" w:hAnsi="Times New Roman"/>
                <w:sz w:val="18"/>
                <w:szCs w:val="18"/>
                <w:color w:val="auto"/>
                <w:w w:val="97"/>
              </w:rPr>
              <w:t>12/31/2021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jc w:val="right"/>
              <w:ind w:right="15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jc w:val="center"/>
              <w:ind w:right="452"/>
              <w:spacing w:after="0"/>
              <w:rPr>
                <w:sz w:val="20"/>
                <w:szCs w:val="20"/>
                <w:color w:val="auto"/>
              </w:rPr>
            </w:pPr>
            <w:r>
              <w:rPr>
                <w:rFonts w:ascii="Times New Roman" w:cs="Times New Roman" w:eastAsia="Times New Roman" w:hAnsi="Times New Roman"/>
                <w:sz w:val="18"/>
                <w:szCs w:val="18"/>
                <w:color w:val="auto"/>
                <w:w w:val="98"/>
              </w:rPr>
              <w:t>4/30/2021</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28,625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jc w:val="right"/>
              <w:ind w:right="15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00" w:type="dxa"/>
            <w:vAlign w:val="bottom"/>
            <w:shd w:val="clear" w:color="auto" w:fill="CCEEFF"/>
          </w:tcPr>
          <w:p>
            <w:pPr>
              <w:jc w:val="center"/>
              <w:ind w:right="452"/>
              <w:spacing w:after="0"/>
              <w:rPr>
                <w:sz w:val="20"/>
                <w:szCs w:val="20"/>
                <w:color w:val="auto"/>
              </w:rPr>
            </w:pPr>
            <w:r>
              <w:rPr>
                <w:rFonts w:ascii="Times New Roman" w:cs="Times New Roman" w:eastAsia="Times New Roman" w:hAnsi="Times New Roman"/>
                <w:sz w:val="18"/>
                <w:szCs w:val="18"/>
                <w:color w:val="auto"/>
                <w:w w:val="98"/>
              </w:rPr>
              <w:t>9/26/2019</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jc w:val="right"/>
              <w:ind w:right="15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jc w:val="center"/>
              <w:ind w:right="452"/>
              <w:spacing w:after="0"/>
              <w:rPr>
                <w:sz w:val="20"/>
                <w:szCs w:val="20"/>
                <w:color w:val="auto"/>
              </w:rPr>
            </w:pPr>
            <w:r>
              <w:rPr>
                <w:rFonts w:ascii="Times New Roman" w:cs="Times New Roman" w:eastAsia="Times New Roman" w:hAnsi="Times New Roman"/>
                <w:sz w:val="18"/>
                <w:szCs w:val="18"/>
                <w:color w:val="auto"/>
                <w:w w:val="98"/>
              </w:rPr>
              <w:t>5/16/2021</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2,705,883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jc w:val="right"/>
              <w:ind w:right="15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140" w:type="dxa"/>
            <w:vAlign w:val="bottom"/>
            <w:gridSpan w:val="3"/>
            <w:shd w:val="clear" w:color="auto" w:fill="CCEEFF"/>
          </w:tcPr>
          <w:p>
            <w:pPr>
              <w:jc w:val="center"/>
              <w:ind w:right="1380"/>
              <w:spacing w:after="0"/>
              <w:rPr>
                <w:sz w:val="20"/>
                <w:szCs w:val="20"/>
                <w:color w:val="auto"/>
              </w:rPr>
            </w:pPr>
            <w:r>
              <w:rPr>
                <w:rFonts w:ascii="Times New Roman" w:cs="Times New Roman" w:eastAsia="Times New Roman" w:hAnsi="Times New Roman"/>
                <w:sz w:val="18"/>
                <w:szCs w:val="18"/>
                <w:color w:val="auto"/>
                <w:w w:val="96"/>
              </w:rPr>
              <w:t>9/26/2019 to 11/30/2019</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jc w:val="right"/>
              <w:ind w:right="15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4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w w:val="97"/>
              </w:rPr>
              <w:t>12/11/2018 to 3/3/2023</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1,346,931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jc w:val="right"/>
              <w:ind w:right="15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00" w:type="dxa"/>
            <w:vAlign w:val="bottom"/>
            <w:shd w:val="clear" w:color="auto" w:fill="CCEEFF"/>
          </w:tcPr>
          <w:p>
            <w:pPr>
              <w:jc w:val="center"/>
              <w:ind w:right="452"/>
              <w:spacing w:after="0"/>
              <w:rPr>
                <w:sz w:val="20"/>
                <w:szCs w:val="20"/>
                <w:color w:val="auto"/>
              </w:rPr>
            </w:pPr>
            <w:r>
              <w:rPr>
                <w:rFonts w:ascii="Times New Roman" w:cs="Times New Roman" w:eastAsia="Times New Roman" w:hAnsi="Times New Roman"/>
                <w:sz w:val="18"/>
                <w:szCs w:val="18"/>
                <w:color w:val="auto"/>
                <w:w w:val="98"/>
              </w:rPr>
              <w:t>3/25/2021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jc w:val="right"/>
              <w:ind w:right="15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4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w w:val="96"/>
              </w:rPr>
              <w:t>11/15/2017 to 1/11/2020</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24,394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jc w:val="right"/>
              <w:ind w:right="15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00" w:type="dxa"/>
            <w:vAlign w:val="bottom"/>
            <w:shd w:val="clear" w:color="auto" w:fill="CCEEFF"/>
          </w:tcPr>
          <w:p>
            <w:pPr>
              <w:jc w:val="center"/>
              <w:ind w:right="452"/>
              <w:spacing w:after="0"/>
              <w:rPr>
                <w:sz w:val="20"/>
                <w:szCs w:val="20"/>
                <w:color w:val="auto"/>
              </w:rPr>
            </w:pPr>
            <w:r>
              <w:rPr>
                <w:rFonts w:ascii="Times New Roman" w:cs="Times New Roman" w:eastAsia="Times New Roman" w:hAnsi="Times New Roman"/>
                <w:sz w:val="18"/>
                <w:szCs w:val="18"/>
                <w:color w:val="auto"/>
                <w:w w:val="98"/>
              </w:rPr>
              <w:t>9/15/2019</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jc w:val="right"/>
              <w:ind w:right="15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jc w:val="center"/>
              <w:ind w:right="452"/>
              <w:spacing w:after="0"/>
              <w:rPr>
                <w:sz w:val="20"/>
                <w:szCs w:val="20"/>
                <w:color w:val="auto"/>
              </w:rPr>
            </w:pPr>
            <w:r>
              <w:rPr>
                <w:rFonts w:ascii="Times New Roman" w:cs="Times New Roman" w:eastAsia="Times New Roman" w:hAnsi="Times New Roman"/>
                <w:sz w:val="18"/>
                <w:szCs w:val="18"/>
                <w:color w:val="auto"/>
                <w:w w:val="97"/>
              </w:rPr>
              <w:t>11/20/2017</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4,577,631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Reserved Shares</w:t>
            </w: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200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At March 31, 2017, we have reserved shares of our common stock for future issuance as follows:</w:t>
            </w: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3420" w:type="dxa"/>
            <w:vAlign w:val="bottom"/>
            <w:gridSpan w:val="4"/>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8"/>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w w:val="97"/>
              </w:rPr>
              <w:t xml:space="preserve">Upon exchange of all shares of Series A Preferred Stock currently issued and outstanding </w:t>
            </w:r>
            <w:r>
              <w:rPr>
                <w:rFonts w:ascii="Times New Roman" w:cs="Times New Roman" w:eastAsia="Times New Roman" w:hAnsi="Times New Roman"/>
                <w:sz w:val="24"/>
                <w:szCs w:val="24"/>
                <w:color w:val="auto"/>
                <w:w w:val="97"/>
                <w:vertAlign w:val="superscript"/>
              </w:rPr>
              <w:t>(1)</w:t>
            </w:r>
          </w:p>
        </w:tc>
        <w:tc>
          <w:tcPr>
            <w:tcW w:w="1720" w:type="dxa"/>
            <w:vAlign w:val="bottom"/>
            <w:shd w:val="clear" w:color="auto" w:fill="CCEEFF"/>
          </w:tcPr>
          <w:p>
            <w:pPr>
              <w:spacing w:after="0"/>
              <w:rPr>
                <w:sz w:val="18"/>
                <w:szCs w:val="18"/>
                <w:color w:val="auto"/>
              </w:rPr>
            </w:pPr>
          </w:p>
        </w:tc>
        <w:tc>
          <w:tcPr>
            <w:tcW w:w="3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3420" w:type="dxa"/>
            <w:vAlign w:val="bottom"/>
            <w:gridSpan w:val="4"/>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8"/>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w w:val="97"/>
              </w:rPr>
              <w:t xml:space="preserve">Upon exchange of all shares of Series B Preferred Stock currently issued and outstanding </w:t>
            </w:r>
            <w:r>
              <w:rPr>
                <w:rFonts w:ascii="Times New Roman" w:cs="Times New Roman" w:eastAsia="Times New Roman" w:hAnsi="Times New Roman"/>
                <w:sz w:val="24"/>
                <w:szCs w:val="24"/>
                <w:color w:val="auto"/>
                <w:w w:val="97"/>
                <w:vertAlign w:val="superscript"/>
              </w:rPr>
              <w:t>(2)</w:t>
            </w:r>
          </w:p>
        </w:tc>
        <w:tc>
          <w:tcPr>
            <w:tcW w:w="1720" w:type="dxa"/>
            <w:vAlign w:val="bottom"/>
            <w:shd w:val="clear" w:color="auto" w:fill="CCEEFF"/>
          </w:tcPr>
          <w:p>
            <w:pPr>
              <w:spacing w:after="0"/>
              <w:rPr>
                <w:sz w:val="18"/>
                <w:szCs w:val="18"/>
                <w:color w:val="auto"/>
              </w:rPr>
            </w:pPr>
          </w:p>
        </w:tc>
        <w:tc>
          <w:tcPr>
            <w:tcW w:w="3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1,823,700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3420" w:type="dxa"/>
            <w:vAlign w:val="bottom"/>
            <w:gridSpan w:val="4"/>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Upon exchange of all shares of Series C Preferred Stock currently issued and outstanding</w:t>
            </w:r>
          </w:p>
        </w:tc>
        <w:tc>
          <w:tcPr>
            <w:tcW w:w="1720" w:type="dxa"/>
            <w:vAlign w:val="bottom"/>
            <w:shd w:val="clear" w:color="auto" w:fill="CCEEFF"/>
          </w:tcPr>
          <w:p>
            <w:pPr>
              <w:spacing w:after="0"/>
              <w:rPr>
                <w:sz w:val="18"/>
                <w:szCs w:val="18"/>
                <w:color w:val="auto"/>
              </w:rPr>
            </w:pPr>
          </w:p>
        </w:tc>
        <w:tc>
          <w:tcPr>
            <w:tcW w:w="3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2,318,012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Pursuant to warrants to purchase common stock:</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Subject to outstanding warrants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4,577,631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Pursuant to stock incentive plans: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9"/>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Subject to outstanding options under the Amended and Restated 2016 and 1999 Stock Incentive Plans</w:t>
            </w:r>
          </w:p>
        </w:tc>
        <w:tc>
          <w:tcPr>
            <w:tcW w:w="3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Available for future grants under the Amended and Restated 2016 Stock Incentive Plan</w:t>
            </w:r>
          </w:p>
        </w:tc>
        <w:tc>
          <w:tcPr>
            <w:tcW w:w="1720" w:type="dxa"/>
            <w:vAlign w:val="bottom"/>
          </w:tcPr>
          <w:p>
            <w:pPr>
              <w:spacing w:after="0"/>
              <w:rPr>
                <w:sz w:val="19"/>
                <w:szCs w:val="19"/>
                <w:color w:val="auto"/>
              </w:rPr>
            </w:pPr>
          </w:p>
        </w:tc>
        <w:tc>
          <w:tcPr>
            <w:tcW w:w="1920" w:type="dxa"/>
            <w:vAlign w:val="bottom"/>
            <w:gridSpan w:val="2"/>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1,134,911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2,794,235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gridSpan w:val="2"/>
          </w:tcPr>
          <w:p>
            <w:pPr>
              <w:spacing w:after="0"/>
              <w:rPr>
                <w:sz w:val="19"/>
                <w:szCs w:val="19"/>
                <w:color w:val="auto"/>
              </w:rPr>
            </w:pPr>
          </w:p>
        </w:tc>
        <w:tc>
          <w:tcPr>
            <w:tcW w:w="1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12,263,578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00" w:type="dxa"/>
            <w:vAlign w:val="bottom"/>
            <w:gridSpan w:val="3"/>
            <w:vMerge w:val="continue"/>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400" w:hanging="392"/>
        <w:spacing w:after="0"/>
        <w:tabs>
          <w:tab w:leader="none" w:pos="400" w:val="left"/>
        </w:tabs>
        <w:numPr>
          <w:ilvl w:val="0"/>
          <w:numId w:val="7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assumes exchange under the terms of the October 11, 2012 Note Exchange and Purchase Agreement with PLTG</w:t>
      </w:r>
    </w:p>
    <w:p>
      <w:pPr>
        <w:spacing w:after="0" w:line="7" w:lineRule="exact"/>
        <w:rPr>
          <w:rFonts w:ascii="Times New Roman" w:cs="Times New Roman" w:eastAsia="Times New Roman" w:hAnsi="Times New Roman"/>
          <w:sz w:val="25"/>
          <w:szCs w:val="25"/>
          <w:color w:val="auto"/>
          <w:vertAlign w:val="superscript"/>
        </w:rPr>
      </w:pPr>
    </w:p>
    <w:p>
      <w:pPr>
        <w:ind w:left="400" w:hanging="392"/>
        <w:spacing w:after="0" w:line="181" w:lineRule="auto"/>
        <w:tabs>
          <w:tab w:leader="none" w:pos="400" w:val="left"/>
        </w:tabs>
        <w:numPr>
          <w:ilvl w:val="0"/>
          <w:numId w:val="7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includes 663,460 common shares issuable in payment of an estimated $1,658,600 in accrued dividends through April 30, 2017 at $2.50 per share</w:t>
      </w:r>
    </w:p>
    <w:p>
      <w:pPr>
        <w:sectPr>
          <w:pgSz w:w="11900" w:h="16838" w:orient="portrait"/>
          <w:cols w:equalWidth="0" w:num="1">
            <w:col w:w="11420"/>
          </w:cols>
          <w:pgMar w:left="240" w:top="125" w:right="239" w:bottom="11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163" w:gutter="0" w:footer="0" w:header="0"/>
          <w:type w:val="continuous"/>
        </w:sectPr>
      </w:pPr>
    </w:p>
    <w:bookmarkStart w:id="146" w:name="page147"/>
    <w:bookmarkEnd w:id="146"/>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Research and Development Expenses</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recorded research and development expenses of approximately $5.2 million and $3.9 million in the fiscal years ended March 31, 2017 and 2016, respectively. Research and development expense is composed primarily of employee compensation expenses, including stock–based compensation, direct project expenses, particularly in Fiscal 2017 related to our preparations for our AV-101 MDD Phase 2 Adjunctive Treatment Study, and costs to maintain and prosecute our intellectual property suite, including new patent applications for AV-101 for various indications.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7"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The provision for income taxes for the periods presented in the Consolidated Statements of Operations and Comprehensive Loss represents minimum California franchise taxes. Income tax expense differed from the amounts computed by applying the U.S. federal income tax rate of 34% to pretax losses as a result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Computed expected tax benefit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(34.00)%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loss on debt extinguishment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warrant modifications</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Warrant Liability mark to market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losses not benefitted</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32.58%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Deferred income taxes reflect the net tax effect of temporary differences between the carrying amounts of assets and liabilities for financial reporting purposes and the amounts used for income tax purposes. Significant components of our deferred tax assets are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operating loss carryovers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Basis differences in fixed assets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Accruals and reserves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(34,782)</w:t>
            </w:r>
          </w:p>
        </w:tc>
        <w:tc>
          <w:tcPr>
            <w:tcW w:w="2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(31,215)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Realization of deferred tax assets is dependent upon future earnings, if any, the timing and amount of which are uncertain. Accordingly, the deferred tax assets have been fully offset by a valuation allowance. The valuation allowance increased by $3,567,000 and $5,443,000 during the fiscal years ended March 31, 2017 and 2016, respectively. When realized, deferred tax assets related to employee stock options will be credited to additional paid-in capital.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31, 2017, we had U.S. federal net operating loss carryforwards of approximately $77.1 million, which will expire in fiscal years 2020 through 2037.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2017, we had state net operating loss carryforwards of approximately $67.6 million, which will expire in fiscal years 2018 through 2037.</w:t>
      </w:r>
    </w:p>
    <w:p>
      <w:pPr>
        <w:spacing w:after="0" w:line="213" w:lineRule="exact"/>
        <w:rPr>
          <w:sz w:val="20"/>
          <w:szCs w:val="20"/>
          <w:color w:val="auto"/>
        </w:rPr>
      </w:pPr>
    </w:p>
    <w:p>
      <w:pPr>
        <w:ind w:right="540"/>
        <w:spacing w:after="0" w:line="262" w:lineRule="auto"/>
        <w:rPr>
          <w:sz w:val="20"/>
          <w:szCs w:val="20"/>
          <w:color w:val="auto"/>
        </w:rPr>
      </w:pPr>
      <w:r>
        <w:rPr>
          <w:rFonts w:ascii="Times New Roman" w:cs="Times New Roman" w:eastAsia="Times New Roman" w:hAnsi="Times New Roman"/>
          <w:sz w:val="18"/>
          <w:szCs w:val="18"/>
          <w:color w:val="auto"/>
        </w:rPr>
        <w:t>U.S. federal and state tax laws include substantial restrictions on the utilization of net operating loss carryforwards in the event of an ownership change of a corporation. We have not performed a change in ownership analysis since our inception in 1998 and accordingly some or all of our net operating loss carryforwards may not be available to offset future taxable income, if any.</w:t>
      </w:r>
    </w:p>
    <w:p>
      <w:pPr>
        <w:spacing w:after="0" w:line="186"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We file income tax returns in the U.S. federal and Canadian jurisdictions and California and Maryland state jurisdictions. We are subject to U.S. federal and state income tax examinations by tax authorities for tax years 2000 through 2017 due to net operating losses that are being carried forward for tax purposes, but we are not currently under examination by tax authorities in any jurisdiction.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Our unrecognized tax benefits at March 31, 2017 and 2016 relate entirely to research and development tax credits. The total amount of unrecognized tax benefits at March 31, 2017 and 2016 is $290,500 and $142,400, respectively. If recognized, none of the unrecognized tax benefits would impact our effective tax rate. The following table summarizes the activity related to our unrecognized tax benefits.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benefit -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142,400</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tax position increases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period tax position increases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benefit - end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290,500</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80"/>
          </w:cols>
          <w:pgMar w:left="240" w:top="123" w:right="179" w:bottom="0" w:gutter="0" w:footer="0" w:header="0"/>
        </w:sectPr>
      </w:pPr>
    </w:p>
    <w:bookmarkStart w:id="147" w:name="page148"/>
    <w:bookmarkEnd w:id="147"/>
    <w:p>
      <w:pPr>
        <w:ind w:right="40"/>
        <w:spacing w:after="0" w:line="262" w:lineRule="auto"/>
        <w:rPr>
          <w:sz w:val="20"/>
          <w:szCs w:val="20"/>
          <w:color w:val="auto"/>
        </w:rPr>
      </w:pPr>
      <w:r>
        <w:rPr>
          <w:rFonts w:ascii="Times New Roman" w:cs="Times New Roman" w:eastAsia="Times New Roman" w:hAnsi="Times New Roman"/>
          <w:sz w:val="18"/>
          <w:szCs w:val="18"/>
          <w:color w:val="auto"/>
        </w:rPr>
        <w:t>Our policy is to recognize interest and penalties related to income taxes as components of interest expense and other expense, respectively. We incurred no interest or penalties related to unrecognized tax benefits in the years ended March 31, 2017 or 2016. We do not anticipate any significant changes of our uncertain tax positions within twelve months of this reporting date.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5"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Licensing, Sublicensing and Collaborative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BlueRock Therapeutics Sublicense Agreement</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December 2016, we entered into an Exclusive License and Sublicense Agreement (</w:t>
      </w:r>
      <w:r>
        <w:rPr>
          <w:rFonts w:ascii="Times New Roman" w:cs="Times New Roman" w:eastAsia="Times New Roman" w:hAnsi="Times New Roman"/>
          <w:sz w:val="18"/>
          <w:szCs w:val="18"/>
          <w:i w:val="1"/>
          <w:iCs w:val="1"/>
          <w:color w:val="auto"/>
        </w:rPr>
        <w:t>BlueRock Therapeutics Agreement</w:t>
      </w:r>
      <w:r>
        <w:rPr>
          <w:rFonts w:ascii="Times New Roman" w:cs="Times New Roman" w:eastAsia="Times New Roman" w:hAnsi="Times New Roman"/>
          <w:sz w:val="18"/>
          <w:szCs w:val="18"/>
          <w:color w:val="auto"/>
        </w:rPr>
        <w:t>) with BlueRock Therapeutics, LP, a next generation regenerative medicine company established in December 2016 by Bayer AG and Versant Ventures (</w:t>
      </w:r>
      <w:r>
        <w:rPr>
          <w:rFonts w:ascii="Times New Roman" w:cs="Times New Roman" w:eastAsia="Times New Roman" w:hAnsi="Times New Roman"/>
          <w:sz w:val="18"/>
          <w:szCs w:val="18"/>
          <w:i w:val="1"/>
          <w:iCs w:val="1"/>
          <w:color w:val="auto"/>
        </w:rPr>
        <w:t>BlueRock Therapeutics</w:t>
      </w:r>
      <w:r>
        <w:rPr>
          <w:rFonts w:ascii="Times New Roman" w:cs="Times New Roman" w:eastAsia="Times New Roman" w:hAnsi="Times New Roman"/>
          <w:sz w:val="18"/>
          <w:szCs w:val="18"/>
          <w:color w:val="auto"/>
        </w:rPr>
        <w:t>), pursuant to which BlueRock received exclusive rights to utilize certain technologies exclusively licensed by us from University Health Network (</w:t>
      </w:r>
      <w:r>
        <w:rPr>
          <w:rFonts w:ascii="Times New Roman" w:cs="Times New Roman" w:eastAsia="Times New Roman" w:hAnsi="Times New Roman"/>
          <w:sz w:val="18"/>
          <w:szCs w:val="18"/>
          <w:i w:val="1"/>
          <w:iCs w:val="1"/>
          <w:color w:val="auto"/>
        </w:rPr>
        <w:t>UHN</w:t>
      </w:r>
      <w:r>
        <w:rPr>
          <w:rFonts w:ascii="Times New Roman" w:cs="Times New Roman" w:eastAsia="Times New Roman" w:hAnsi="Times New Roman"/>
          <w:sz w:val="18"/>
          <w:szCs w:val="18"/>
          <w:color w:val="auto"/>
        </w:rPr>
        <w:t>) for the production of cardiac stem cells for the treatment of heart disease. We retained rights to cardiac stem cell technology licensed from UHN related to small molecule, protein and antibody drug discovery, drug rescue and drug development, including small molecules with cardiac regenerative potential, as well as small molecule, protein and antibody testing involving cardiac cells.</w:t>
      </w:r>
    </w:p>
    <w:p>
      <w:pPr>
        <w:spacing w:after="0" w:line="19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Under the BlueRock Therapeutics Agreement, we received an upfront payment of $1.25 million and we have the potential to receive additional milestone payments and royalties in the future, in the event certain performance-based milestones and commercial sales are achieved. At December 31, 2016, we had no further obligations under the BlueRock Therapeutics Agreement and, accordingly, we recorded a receivable for the $1.25 million upfront payment with a corresponding recognition of the sublicense revenue. We received the $1.25 million cash payment due under the BlueRock Therapeutics Agreement in January 2017 and have recognized $1.25 million in sublicense revenue in the accompanying Consolidated Statement of Operations and Comprehensive Loss for the fiscal year ended March 31, 2017.</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National Institutes of Health</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During fiscal years 2006 through 2008, the NIH awarded a $4.2 million grant to the Company to support preclinical development of AV-101 for pain. In June 2009, the NIH further awarded the Company a $4.2 million grant to support the Phase I clinical development of AV-101, which amount was subsequently increased to a total of $4.6 million in July 2010. The grant expired in the ordinary course on June 30, 2012 and all funds had been expended. AV-101, our orally available prodrug candidate is currently in Phase 2 development, initially for the adjunctive treatment of MDD in patients with an inadequate response to standard antidepressants. In February 2015, we entered into the CRADA with the NIMH to collaborate on an NIH-sponsored Phase 2 clinical study of the efficacy and safety of AV-101 in subjects with MDD. The first patient in the NIMH AV-101 MDD Phase 2 Monotherapy Study was dosed in November 2015 and we currently anticipate that the NIMH will complete the study in 2017, with top line results in the first half of 2018. We believe AV-101 may also have broad therapeutic utility with multiple near term central nervous system pipeline expansion opportunities, including chronic neuropathic pain, epilepsy, Huntington’s disease and Parkinson’s disease.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Cato Research Ltd.</w:t>
      </w:r>
    </w:p>
    <w:p>
      <w:pPr>
        <w:spacing w:after="0" w:line="22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We have built a strategic development relationship with Cato Research Ltd. (</w:t>
      </w:r>
      <w:r>
        <w:rPr>
          <w:rFonts w:ascii="Times New Roman" w:cs="Times New Roman" w:eastAsia="Times New Roman" w:hAnsi="Times New Roman"/>
          <w:sz w:val="18"/>
          <w:szCs w:val="18"/>
          <w:i w:val="1"/>
          <w:iCs w:val="1"/>
          <w:color w:val="auto"/>
        </w:rPr>
        <w:t>CRL</w:t>
      </w:r>
      <w:r>
        <w:rPr>
          <w:rFonts w:ascii="Times New Roman" w:cs="Times New Roman" w:eastAsia="Times New Roman" w:hAnsi="Times New Roman"/>
          <w:sz w:val="18"/>
          <w:szCs w:val="18"/>
          <w:color w:val="auto"/>
        </w:rPr>
        <w:t>), a global contract research and development organization, or CRO, and an affiliate of one of our largest institutional stockholders. CRL has provided us with access to essential CRO services and regulatory expertise supporting our AV-101 preclinical and clinical development programs and other projects. We recorded research and development expenses for CRO services provided by CRL in the amounts of $254,600 and $52,600 for the fiscal years ended March 31, 2017 and 2016,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University Health Network</w:t>
      </w:r>
    </w:p>
    <w:p>
      <w:pPr>
        <w:spacing w:after="0" w:line="227"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6"/>
          <w:szCs w:val="16"/>
          <w:color w:val="auto"/>
        </w:rPr>
        <w:t>In September 2007, we entered into a Sponsored Research Collaboration Agreement (</w:t>
      </w:r>
      <w:r>
        <w:rPr>
          <w:rFonts w:ascii="Times New Roman" w:cs="Times New Roman" w:eastAsia="Times New Roman" w:hAnsi="Times New Roman"/>
          <w:sz w:val="16"/>
          <w:szCs w:val="16"/>
          <w:i w:val="1"/>
          <w:iCs w:val="1"/>
          <w:color w:val="auto"/>
        </w:rPr>
        <w:t>SRCA</w:t>
      </w:r>
      <w:r>
        <w:rPr>
          <w:rFonts w:ascii="Times New Roman" w:cs="Times New Roman" w:eastAsia="Times New Roman" w:hAnsi="Times New Roman"/>
          <w:sz w:val="16"/>
          <w:szCs w:val="16"/>
          <w:color w:val="auto"/>
        </w:rPr>
        <w:t>) with University Health Network to develop certain stem cell technologies for drug discovery, development and rescue technologies. Under the terms of the SRCA, we have acquired exclusive worldwide rights to patent applications in the U.S. and foreign countries on multiple inventions arising from studies we have sponsored, under pre-negotiated license terms. Those license terms provide for royalty payments based on product sales that incorporate the licensed technology and milestone payments based on the achievement of certain events. Any drug rescue new chemical entity that we develop will not incorporate the licensed technology and, therefore, will not require any royalty payments. To the extent we incur royalty payment obligations from other business activities, the royalty payments will be subject to anti-stacking provisions, which reduce our payments by a percentage of any royalty payments paid to third parties who have licensed necessary intellectual property to us. These licenses will remain in force for so long as we have an obligation to make royalty or milestone payments to UHN, but may be terminated earlier upon mutual consent, by us at any time, or by UHN for our breach of any material provision of the license agreement that is not cured within 90 days. The SRCA with UHN, as amended, had a term of ten years, ending in September 2017, but was terminated in December 2016, as described below.</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December 2016, we entered into a series of agreements with UHN pursuant to which we (i) executed two new exclusive patent license agreements related 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cardiac stem cell technologies discovered by Dr. Gordon Keller, Director of UHN's McEwen Centre for Regenerative Medicine, under the SRCA;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amended two exclusive cardiac stem cell technology patent license agreements previously entered into between us and UHN under the SRCA; (iii) terminated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SRCA to facilitate the BlueRock Therapeutics Agreement, described above; and (iv) agreed to make a sublicense consideration payment to UHN with respect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upfront payment we received under the BlueRock Therapeutics Agreement. All financial obligations related to these agreements with UHN, aggregating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$233,400, are reflected in research and development expense in the accompanying Consolidated Statement of Operations and Comprehensive Loss for the fiscal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March 31, 2017.</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5"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ectPr>
          <w:pgSz w:w="11900" w:h="16838" w:orient="portrait"/>
          <w:cols w:equalWidth="0" w:num="1">
            <w:col w:w="11420"/>
          </w:cols>
          <w:pgMar w:left="240" w:top="341" w:right="239" w:bottom="169"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13. Stock Option Plans and 401(k)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the following share-based compensation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2016 Stock Incentive Plan</w:t>
      </w:r>
    </w:p>
    <w:p>
      <w:pPr>
        <w:spacing w:after="0" w:line="22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Our Board unanimously approved the Company’s Amended and Restated 2016 Equity Incentive Plan (“</w:t>
      </w:r>
      <w:r>
        <w:rPr>
          <w:rFonts w:ascii="Times New Roman" w:cs="Times New Roman" w:eastAsia="Times New Roman" w:hAnsi="Times New Roman"/>
          <w:sz w:val="18"/>
          <w:szCs w:val="18"/>
          <w:i w:val="1"/>
          <w:iCs w:val="1"/>
          <w:color w:val="auto"/>
        </w:rPr>
        <w:t>2016 Plan</w:t>
      </w:r>
      <w:r>
        <w:rPr>
          <w:rFonts w:ascii="Times New Roman" w:cs="Times New Roman" w:eastAsia="Times New Roman" w:hAnsi="Times New Roman"/>
          <w:sz w:val="18"/>
          <w:szCs w:val="18"/>
          <w:color w:val="auto"/>
        </w:rPr>
        <w:t xml:space="preserve">”), formerly titled the 2008 Equity Incentive Plan, on July 26, 2016. Our stockholders approved the 2016 Plan on September 26, 2016. The 2008 Stock Incentive Plan (the </w:t>
      </w:r>
      <w:r>
        <w:rPr>
          <w:rFonts w:ascii="Times New Roman" w:cs="Times New Roman" w:eastAsia="Times New Roman" w:hAnsi="Times New Roman"/>
          <w:sz w:val="18"/>
          <w:szCs w:val="18"/>
          <w:i w:val="1"/>
          <w:iCs w:val="1"/>
          <w:color w:val="auto"/>
        </w:rPr>
        <w:t>2008 Plan</w:t>
      </w:r>
      <w:r>
        <w:rPr>
          <w:rFonts w:ascii="Times New Roman" w:cs="Times New Roman" w:eastAsia="Times New Roman" w:hAnsi="Times New Roman"/>
          <w:sz w:val="18"/>
          <w:szCs w:val="18"/>
          <w:color w:val="auto"/>
        </w:rPr>
        <w:t>) was adopted by the shareholders of VistaGen California in December 2018 and we assumed it in connection with our going-public transaction. The maximum number of shares of common stock issuable under the 2016 Plan is 3.0 million shares, subject to adjustments for stock splits, stock dividends or other similar changes in our common stock or our capital structure.</w:t>
      </w:r>
    </w:p>
    <w:p>
      <w:pPr>
        <w:spacing w:after="0" w:line="190"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16"/>
          <w:szCs w:val="16"/>
          <w:color w:val="auto"/>
        </w:rPr>
        <w:t xml:space="preserve">Board-approved amendments to the 2016 Plan included increasing the number of shares of our common stock authorized for issuance from 1.0 million to 3.0 million, increasing the maximum number of shares of common stock that may be granted to a Grantee (as such term is defined in the 2016 Plan) in any calendar year from 125,000 to 300,000 shares (350,000 shares if the grant is issued in connection with the commencement of service to the Company), extending the expiration date of the 2016 Plan to July 26, 2026, and removing certain provisions that only pertained to the Company or the plan before the Company became a publicly traded entity. The 2016 Plan delegates the authority to administer the plan to the Board’s Compensation Committee (the </w:t>
      </w:r>
      <w:r>
        <w:rPr>
          <w:rFonts w:ascii="Times New Roman" w:cs="Times New Roman" w:eastAsia="Times New Roman" w:hAnsi="Times New Roman"/>
          <w:sz w:val="16"/>
          <w:szCs w:val="16"/>
          <w:i w:val="1"/>
          <w:iCs w:val="1"/>
          <w:color w:val="auto"/>
        </w:rPr>
        <w:t>Committee</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1999 Stock Incentive Plan</w:t>
      </w:r>
    </w:p>
    <w:p>
      <w:pPr>
        <w:spacing w:after="0" w:line="22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 xml:space="preserve">Our 1999 Stock Incentive Plan (the </w:t>
      </w:r>
      <w:r>
        <w:rPr>
          <w:rFonts w:ascii="Times New Roman" w:cs="Times New Roman" w:eastAsia="Times New Roman" w:hAnsi="Times New Roman"/>
          <w:sz w:val="18"/>
          <w:szCs w:val="18"/>
          <w:i w:val="1"/>
          <w:iCs w:val="1"/>
          <w:color w:val="auto"/>
        </w:rPr>
        <w:t>1999 Plan</w:t>
      </w:r>
      <w:r>
        <w:rPr>
          <w:rFonts w:ascii="Times New Roman" w:cs="Times New Roman" w:eastAsia="Times New Roman" w:hAnsi="Times New Roman"/>
          <w:sz w:val="18"/>
          <w:szCs w:val="18"/>
          <w:color w:val="auto"/>
        </w:rPr>
        <w:t>) was adopted by the shareholders of VistaStem on December 6, 1999 and we assumed it in connection with our going-public transaction. We initially reserved 45,000 shares for the issuance of awards under the 1999 Plan. The 1999 Plan has terminated under its own terms and, as a result, no awards may currently be granted under the 1999 Plan. The unexpired options and awards that have already been granted pursuant to the 1999 Plan remain operative.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2016 Plan</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2016 Plan provides for the grant of stock options, restricted shares of common stock, stock appreciation rights and dividend equivalent rights, collectively referred to as “Awards”. Stock options granted under the 2016 Plan may be either incentive stock options or non-qualified stock options. We may grant incentive stock options only to employees of the Company or any parent or subsidiary of the Company. Awards other than incentive stock options may be granted to employees, directors and consultants.</w:t>
      </w:r>
    </w:p>
    <w:p>
      <w:pPr>
        <w:spacing w:after="0" w:line="19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Committee administers the 2016 Plan, including selecting the Award recipients, determining the number of shares to be subject to each Award, the exercise or purchase price of each Award and the vesting and exercise periods of each Award.</w:t>
      </w:r>
    </w:p>
    <w:p>
      <w:pPr>
        <w:spacing w:after="0" w:line="174"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6"/>
          <w:szCs w:val="16"/>
          <w:color w:val="auto"/>
        </w:rPr>
        <w:t>The exercise price of all incentive stock options granted under the 2016 Plan must be at least equal to 100% of the fair market value of the shares on the date of grant. If, however, incentive stock options are granted to an employee who owns stock possessing more than 10% of the voting power of all classes of our stock or the stock of any of our subsidiaries, the exercise price of any incentive stock option granted may not be less than 110% of the fair market value on the grant date. The maximum term of incentive stock options granted to employees who own stock possessing more than 10% of the voting power of all classes of our stock or the stock of any of our subsidiaries may not exceed five years. The maximum term of an incentive stock option granted to any other participant may not exceed 10 years. The Committee determines the term and exercise or purchase price of all other Awards granted under the 2016 Plan.</w:t>
      </w:r>
    </w:p>
    <w:p>
      <w:pPr>
        <w:spacing w:after="0" w:line="165" w:lineRule="exact"/>
        <w:rPr>
          <w:sz w:val="20"/>
          <w:szCs w:val="20"/>
          <w:color w:val="auto"/>
        </w:rPr>
      </w:pPr>
    </w:p>
    <w:p>
      <w:pPr>
        <w:ind w:right="100"/>
        <w:spacing w:after="0" w:line="339" w:lineRule="auto"/>
        <w:rPr>
          <w:sz w:val="20"/>
          <w:szCs w:val="20"/>
          <w:color w:val="auto"/>
        </w:rPr>
      </w:pPr>
      <w:r>
        <w:rPr>
          <w:rFonts w:ascii="Times New Roman" w:cs="Times New Roman" w:eastAsia="Times New Roman" w:hAnsi="Times New Roman"/>
          <w:sz w:val="16"/>
          <w:szCs w:val="16"/>
          <w:color w:val="auto"/>
        </w:rPr>
        <w:t>Under the 2016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28"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and by the laws of descent and distribution; and</w:t>
      </w:r>
    </w:p>
    <w:p>
      <w:pPr>
        <w:spacing w:after="0" w:line="225" w:lineRule="exact"/>
        <w:rPr>
          <w:rFonts w:ascii="Times New Roman" w:cs="Times New Roman" w:eastAsia="Times New Roman" w:hAnsi="Times New Roman"/>
          <w:sz w:val="18"/>
          <w:szCs w:val="18"/>
          <w:color w:val="auto"/>
        </w:rPr>
      </w:pPr>
    </w:p>
    <w:p>
      <w:pPr>
        <w:ind w:left="660" w:right="300" w:hanging="328"/>
        <w:spacing w:after="0" w:line="275"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lifetime of the participant, to the extent and in the manner authorized by the Committee by gift or pursuant to a domestic relations order to members of the participant’s Immediate Family (as defined in the 2016 Plan).</w:t>
      </w:r>
    </w:p>
    <w:p>
      <w:pPr>
        <w:spacing w:after="0" w:line="1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maximum number of shares with respect to which options, restricted stock, restricted shares of common stock or stock appreciation rights may be granted to any participant in any calendar year will be 300,000 shares of common stock. In connection with a participant’s commencement of service with the Company, a participant may be granted options, restricted stock or stock appreciation rights for up to an additional 50,000 shares that will not count against the foregoing limitation. In addition, for Awards of restricted stock and restricted shares of common stock that are intended to be “performance-based compensation” (within the meaning of Section 162(m) of the Code), the maximum number of shares with respect to which such Awards may be granted to any participant in any calendar year will be 300,000 shares of common stock. The limits described in this paragraph are subject to adjustment in the event of any change in our capital structure as described below.</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5"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ind w:right="120"/>
        <w:spacing w:after="0" w:line="310" w:lineRule="auto"/>
        <w:rPr>
          <w:sz w:val="20"/>
          <w:szCs w:val="20"/>
          <w:color w:val="auto"/>
        </w:rPr>
      </w:pPr>
      <w:r>
        <w:rPr>
          <w:rFonts w:ascii="Times New Roman" w:cs="Times New Roman" w:eastAsia="Times New Roman" w:hAnsi="Times New Roman"/>
          <w:sz w:val="16"/>
          <w:szCs w:val="16"/>
          <w:color w:val="auto"/>
        </w:rPr>
        <w:t>The terms and conditions of Awards are determined by the Committee, including the vesting schedule and any forfeiture provisions. Awards under the 2016 Plan may vest upon the passage of time or upon the attainment of certain performance criteria. Although we do not currently have any Awards outstanding that vest upon the attainment of performance criteria, the Committee may establish criteria based on any one of, or combination of, a number of financial measurements.</w:t>
      </w:r>
    </w:p>
    <w:p>
      <w:pPr>
        <w:spacing w:after="0" w:line="151"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6"/>
          <w:szCs w:val="16"/>
          <w:color w:val="auto"/>
        </w:rPr>
        <w:t>Effective upon the consummation of a Corporate Transaction (as defined below), all outstanding Awards under the 2016 Plan will terminate unless the acquirer assumes or replaces such Awards. The Committee has the authority, exercisable either in advance of any actual or anticipated Corporate Transaction or Change in Control (as defined below) or at the time of an actual Corporate Transaction or Change in Control and exercisable at the time of the grant of an Award under the 2016 Plan or any time while an Award remains outstanding, to provide for the full or partial automatic vesting and exercisability of one or more outstanding unvested Awards under the 2016 Plan and the release from restrictions on transfer and repurchase or forfeiture rights of such Awards in connection with a Corporate Transaction or Change in Control, on such terms and conditions as the Committee may specify. The Committee also has the authority to condition any such Award’s vesting and exercisability or release from such limitations upon the subsequent termination of the service of the grantee within a specified period</w:t>
      </w:r>
    </w:p>
    <w:p>
      <w:pPr>
        <w:sectPr>
          <w:pgSz w:w="11900" w:h="16838" w:orient="portrait"/>
          <w:cols w:equalWidth="0" w:num="1">
            <w:col w:w="11420"/>
          </w:cols>
          <w:pgMar w:left="240" w:top="123" w:right="239" w:bottom="0" w:gutter="0" w:footer="0" w:header="0"/>
        </w:sectPr>
      </w:pPr>
    </w:p>
    <w:bookmarkStart w:id="149" w:name="page150"/>
    <w:bookmarkEnd w:id="149"/>
    <w:p>
      <w:pPr>
        <w:spacing w:after="0" w:line="62"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following the effective date of the Corporate Transaction or Change in Control. The Committee may provide that any Awards so vested or released from such limitations in connection with a Change in Control, shall remain fully exercisable until the expiration or sooner termination of the Award.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2016 Plan, a Corporate Transaction is generally defined as:</w:t>
      </w:r>
    </w:p>
    <w:p>
      <w:pPr>
        <w:spacing w:after="0" w:line="225" w:lineRule="exact"/>
        <w:rPr>
          <w:sz w:val="20"/>
          <w:szCs w:val="20"/>
          <w:color w:val="auto"/>
        </w:rPr>
      </w:pPr>
    </w:p>
    <w:p>
      <w:pPr>
        <w:ind w:left="660" w:right="100" w:hanging="328"/>
        <w:spacing w:after="0" w:line="275"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of securities possessing more than fifty percent (50%) of the total combined voting power of our outstanding securities but excluding any such transaction or series of related transactions that the Committee determines shall not be a Corporate Transaction;</w:t>
      </w:r>
    </w:p>
    <w:p>
      <w:pPr>
        <w:spacing w:after="0" w:line="173"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transfer or other disposition of all or substantially all of the assets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in which the Company is not the surviving entity;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liquidation or dissolution.</w:t>
      </w:r>
    </w:p>
    <w:p>
      <w:pPr>
        <w:spacing w:after="0" w:line="2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Under the 2016 Plan, a Change in Control is generally defined as: (i) the acquisition of more than 50% of the total combined voting power of our stock by any individual or entity which a majority of our Board of Directors (who have served on our board for at least 12 months) do not recommend our stockholders accept; (ii) or a change in the composition of our Board of Directors over a period of 12 months or less.</w:t>
      </w:r>
    </w:p>
    <w:p>
      <w:pPr>
        <w:spacing w:after="0" w:line="18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Unless terminated sooner, the 2016 Plan will automatically terminate in 2026. Our Board of Directors may at any time amend, suspend or terminate the 2016 Plan.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will obtain stockholder approval of any such amendment to the 2016 Plan in such a manner and to such a degree as required.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our fiscal year ended March 31, 2017, we granted from the 2016 Plan:</w:t>
      </w:r>
    </w:p>
    <w:p>
      <w:pPr>
        <w:spacing w:after="0" w:line="225" w:lineRule="exact"/>
        <w:rPr>
          <w:sz w:val="20"/>
          <w:szCs w:val="20"/>
          <w:color w:val="auto"/>
        </w:rPr>
      </w:pPr>
    </w:p>
    <w:p>
      <w:pPr>
        <w:ind w:left="660" w:right="440" w:hanging="328"/>
        <w:spacing w:after="0" w:line="275"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an aggregate of 655,000 shares of our common stock at an exercise price of $3.49 per share to the independent members of our Board and to our officers, including one newly-employed officer, in June 2016;</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125,000 shares of our common stock at an exercise price of $4.27 per share to a newly-employed officer in September 2016</w:t>
      </w:r>
    </w:p>
    <w:p>
      <w:pPr>
        <w:spacing w:after="0" w:line="225" w:lineRule="exact"/>
        <w:rPr>
          <w:rFonts w:ascii="Times New Roman" w:cs="Times New Roman" w:eastAsia="Times New Roman" w:hAnsi="Times New Roman"/>
          <w:sz w:val="18"/>
          <w:szCs w:val="18"/>
          <w:color w:val="auto"/>
        </w:rPr>
      </w:pPr>
    </w:p>
    <w:p>
      <w:pPr>
        <w:ind w:left="660" w:right="440" w:hanging="328"/>
        <w:spacing w:after="0" w:line="275"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an aggregate of 560,000 shares of our common stock at an exercise price of $3.80 per share to the independent members of our Board, officers, non-officer employees and a consultant in November 2016; and</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150,000 unregistered shares of our common stock pursuant to four consulting agreements in March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our fiscal year ended March 31, 2016, we granted from the 2008 Plan:</w:t>
      </w:r>
    </w:p>
    <w:p>
      <w:pPr>
        <w:spacing w:after="0" w:line="225" w:lineRule="exact"/>
        <w:rPr>
          <w:sz w:val="20"/>
          <w:szCs w:val="20"/>
          <w:color w:val="auto"/>
        </w:rPr>
      </w:pPr>
    </w:p>
    <w:p>
      <w:pPr>
        <w:ind w:left="660" w:right="120" w:hanging="328"/>
        <w:spacing w:after="0" w:line="275"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an aggregate of 90,000 shares of our common stock at an exercise price of $9.25 per share to our non-officer employees and certain strategic consultants in September 2015;</w:t>
      </w:r>
    </w:p>
    <w:p>
      <w:pPr>
        <w:spacing w:after="0" w:line="173" w:lineRule="exact"/>
        <w:rPr>
          <w:rFonts w:ascii="Times New Roman" w:cs="Times New Roman" w:eastAsia="Times New Roman" w:hAnsi="Times New Roman"/>
          <w:sz w:val="18"/>
          <w:szCs w:val="18"/>
          <w:color w:val="auto"/>
        </w:rPr>
      </w:pPr>
    </w:p>
    <w:p>
      <w:pPr>
        <w:ind w:left="660" w:right="460" w:hanging="328"/>
        <w:spacing w:after="0" w:line="275"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an aggregate of 30,000 shares of our common stock at an exercise price of $8.00 per share to two parties in connection with an investor relations agreement in February 2016; and</w:t>
      </w:r>
    </w:p>
    <w:p>
      <w:pPr>
        <w:spacing w:after="0" w:line="173" w:lineRule="exact"/>
        <w:rPr>
          <w:rFonts w:ascii="Times New Roman" w:cs="Times New Roman" w:eastAsia="Times New Roman" w:hAnsi="Times New Roman"/>
          <w:sz w:val="18"/>
          <w:szCs w:val="18"/>
          <w:color w:val="auto"/>
        </w:rPr>
      </w:pPr>
    </w:p>
    <w:p>
      <w:pPr>
        <w:ind w:left="660" w:right="160" w:hanging="328"/>
        <w:spacing w:after="0" w:line="275"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25,000 shares of our common stock at an exercise price of $8.00 per share to a new independent member of our Board of Directors in March 2016.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5"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The following table summarizes share-based compensation expense, including share-based expense related to grants of warrants in prior years to certain of our officers, independent directors, consultants and service providers, included in the accompanying Consolidated Statement of Operations and Comprehensive Loss for the years ended March 31, 2017 and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Ended March 31,</w:t>
            </w:r>
          </w:p>
        </w:tc>
      </w:tr>
      <w:tr>
        <w:trPr>
          <w:trHeight w:val="223"/>
        </w:trPr>
        <w:tc>
          <w:tcPr>
            <w:tcW w:w="88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19"/>
                <w:szCs w:val="19"/>
                <w:color w:val="auto"/>
              </w:rPr>
            </w:pPr>
          </w:p>
        </w:tc>
      </w:tr>
      <w:tr>
        <w:trPr>
          <w:trHeight w:val="214"/>
        </w:trPr>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8"/>
        </w:trPr>
        <w:tc>
          <w:tcPr>
            <w:tcW w:w="8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 grants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375,100</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Warrants granted to officer in March 2014</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Fully-vested warrants granted to officer in September 2015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8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1,091,300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grants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Warrants granted to officers and directors in March 2014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Fully-vested warrants granted to officers, directors and consultants in September 2015</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2,840,700</w:t>
            </w:r>
          </w:p>
        </w:tc>
        <w:tc>
          <w:tcPr>
            <w:tcW w:w="140" w:type="dxa"/>
            <w:vAlign w:val="bottom"/>
          </w:tcPr>
          <w:p>
            <w:pPr>
              <w:spacing w:after="0"/>
              <w:rPr>
                <w:sz w:val="19"/>
                <w:szCs w:val="19"/>
                <w:color w:val="auto"/>
              </w:rPr>
            </w:pPr>
          </w:p>
        </w:tc>
      </w:tr>
      <w:tr>
        <w:trPr>
          <w:trHeight w:val="111"/>
        </w:trPr>
        <w:tc>
          <w:tcPr>
            <w:tcW w:w="8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r>
    </w:tbl>
    <w:p>
      <w:pPr>
        <w:sectPr>
          <w:pgSz w:w="11900" w:h="16900" w:orient="portrait"/>
          <w:cols w:equalWidth="0" w:num="1">
            <w:col w:w="11420"/>
          </w:cols>
          <w:pgMar w:left="240" w:top="125" w:right="239" w:bottom="0" w:gutter="0" w:footer="0" w:header="0"/>
        </w:sectPr>
      </w:pPr>
    </w:p>
    <w:bookmarkStart w:id="150" w:name="page151"/>
    <w:bookmarkEnd w:id="150"/>
    <w:p>
      <w:pPr>
        <w:spacing w:after="0" w:line="30" w:lineRule="exact"/>
        <w:rPr>
          <w:sz w:val="20"/>
          <w:szCs w:val="20"/>
          <w:color w:val="auto"/>
        </w:rPr>
      </w:pPr>
    </w:p>
    <w:p>
      <w:pPr>
        <w:ind w:left="9340"/>
        <w:spacing w:after="0"/>
        <w:tabs>
          <w:tab w:leader="none" w:pos="10560" w:val="left"/>
        </w:tabs>
        <w:rPr>
          <w:sz w:val="20"/>
          <w:szCs w:val="20"/>
          <w:color w:val="auto"/>
        </w:rPr>
      </w:pPr>
      <w:r>
        <w:rPr>
          <w:rFonts w:ascii="Times New Roman" w:cs="Times New Roman" w:eastAsia="Times New Roman" w:hAnsi="Times New Roman"/>
          <w:sz w:val="18"/>
          <w:szCs w:val="18"/>
          <w:color w:val="auto"/>
        </w:rPr>
        <w:t>476,200</w:t>
      </w:r>
      <w:r>
        <w:rPr>
          <w:sz w:val="20"/>
          <w:szCs w:val="20"/>
          <w:color w:val="auto"/>
        </w:rPr>
        <w:tab/>
      </w:r>
      <w:r>
        <w:rPr>
          <w:rFonts w:ascii="Times New Roman" w:cs="Times New Roman" w:eastAsia="Times New Roman" w:hAnsi="Times New Roman"/>
          <w:sz w:val="18"/>
          <w:szCs w:val="18"/>
          <w:color w:val="auto"/>
        </w:rPr>
        <w:t>2,950,100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ind w:left="40"/>
        <w:spacing w:after="0"/>
        <w:tabs>
          <w:tab w:leader="none" w:pos="8800" w:val="left"/>
          <w:tab w:leader="none" w:pos="9320" w:val="left"/>
          <w:tab w:leader="none" w:pos="10180" w:val="left"/>
          <w:tab w:leader="none" w:pos="10560" w:val="left"/>
        </w:tabs>
        <w:rPr>
          <w:sz w:val="20"/>
          <w:szCs w:val="20"/>
          <w:color w:val="auto"/>
        </w:rPr>
      </w:pPr>
      <w:r>
        <w:rPr>
          <w:rFonts w:ascii="Times New Roman" w:cs="Times New Roman" w:eastAsia="Times New Roman" w:hAnsi="Times New Roman"/>
          <w:sz w:val="18"/>
          <w:szCs w:val="18"/>
          <w:color w:val="auto"/>
        </w:rPr>
        <w:t>Total stock-based compensation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851,300</w:t>
      </w:r>
      <w:r>
        <w:rPr>
          <w:sz w:val="20"/>
          <w:szCs w:val="20"/>
          <w:color w:val="auto"/>
        </w:rPr>
        <w:tab/>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6"/>
          <w:szCs w:val="16"/>
          <w:u w:val="single" w:color="auto"/>
          <w:color w:val="auto"/>
        </w:rPr>
        <w:t>4,041,400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September 2015, when the market price of our common stock was $9.11 per share, our Board of Directors (</w:t>
      </w:r>
      <w:r>
        <w:rPr>
          <w:rFonts w:ascii="Times New Roman" w:cs="Times New Roman" w:eastAsia="Times New Roman" w:hAnsi="Times New Roman"/>
          <w:sz w:val="16"/>
          <w:szCs w:val="16"/>
          <w:i w:val="1"/>
          <w:iCs w:val="1"/>
          <w:color w:val="auto"/>
        </w:rPr>
        <w:t>Board</w:t>
      </w:r>
      <w:r>
        <w:rPr>
          <w:rFonts w:ascii="Times New Roman" w:cs="Times New Roman" w:eastAsia="Times New Roman" w:hAnsi="Times New Roman"/>
          <w:sz w:val="16"/>
          <w:szCs w:val="16"/>
          <w:color w:val="auto"/>
        </w:rPr>
        <w:t>) authorized the grant of fully-vested five-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warrants to purchase an aggregate of 650,000 restricted shares of our common stock at an exercise price of $9.25 per share, including an aggregate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600,000 of such shares to company officers and independent members of the Board. We valued the new warrant grants at $5.68 per share, or an aggregate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$3,692,900, using the Black Scholes Option Pricing Model and the following assumptions: market price per share: $9.11; exercise price per share: $9.25; risk-free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rate: 1.52%; contractual term: 5.0 years; volatility: 77.2%; expected dividend rate: 0%. As indicated in the table above, we recognized non-cash research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development and general and administrative stock compensation expense in the amounts of $852,200 and $2,840,700, respectively, in the accompanying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 of Operations and Comprehensive Loss for the fiscal year ended March 31, 2016.</w:t>
      </w:r>
    </w:p>
    <w:p>
      <w:pPr>
        <w:spacing w:after="0" w:line="213"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The fair value of the 150,000 unregistered shares of common stock granted from the 2016 Plan in March 2017, an aggregate of $442,500, is reflected as an additional component of general and administrative expense in the accompanying Consolidated Statement of Operations and Comprehensive Loss for the year ended March 31, 2017.</w:t>
      </w:r>
    </w:p>
    <w:p>
      <w:pPr>
        <w:spacing w:after="0" w:line="186"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We used the Black-Scholes Option Pricing model with the following weighted average assumptions to determine share-based compensation expense related to option grants during the fiscal years ended March 31, 2017 and 2016: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6"/>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2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2"/>
              <w:spacing w:after="0" w:line="201" w:lineRule="exact"/>
              <w:rPr>
                <w:sz w:val="20"/>
                <w:szCs w:val="20"/>
                <w:color w:val="auto"/>
              </w:rPr>
            </w:pPr>
            <w:r>
              <w:rPr>
                <w:rFonts w:ascii="Times New Roman" w:cs="Times New Roman" w:eastAsia="Times New Roman" w:hAnsi="Times New Roman"/>
                <w:sz w:val="18"/>
                <w:szCs w:val="18"/>
                <w:color w:val="auto"/>
                <w:w w:val="97"/>
              </w:rPr>
              <w:t>(weighted</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72"/>
              <w:spacing w:after="0" w:line="201" w:lineRule="exact"/>
              <w:rPr>
                <w:sz w:val="20"/>
                <w:szCs w:val="20"/>
                <w:color w:val="auto"/>
              </w:rPr>
            </w:pPr>
            <w:r>
              <w:rPr>
                <w:rFonts w:ascii="Times New Roman" w:cs="Times New Roman" w:eastAsia="Times New Roman" w:hAnsi="Times New Roman"/>
                <w:sz w:val="18"/>
                <w:szCs w:val="18"/>
                <w:color w:val="auto"/>
                <w:w w:val="97"/>
              </w:rPr>
              <w:t>(weighted</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6"/>
              </w:rPr>
              <w:t>average)</w:t>
            </w:r>
          </w:p>
        </w:tc>
        <w:tc>
          <w:tcPr>
            <w:tcW w:w="14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average)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Market price on date of grant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82.96%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Fair value per share at grant date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6"/>
          <w:szCs w:val="16"/>
          <w:color w:val="auto"/>
        </w:rPr>
        <w:t>The expected term of options represents the period that our share-based compensation awards are expected to be outstanding. We have calculated the weighted-average expected term of the options using the simplified method as prescribed by Securities and Exchange Commission Staff Accounting Bulletins No. 107 and No. 110 (</w:t>
      </w:r>
      <w:r>
        <w:rPr>
          <w:rFonts w:ascii="Times New Roman" w:cs="Times New Roman" w:eastAsia="Times New Roman" w:hAnsi="Times New Roman"/>
          <w:sz w:val="16"/>
          <w:szCs w:val="16"/>
          <w:i w:val="1"/>
          <w:iCs w:val="1"/>
          <w:color w:val="auto"/>
        </w:rPr>
        <w:t>SAB No. 107 and 110</w:t>
      </w:r>
      <w:r>
        <w:rPr>
          <w:rFonts w:ascii="Times New Roman" w:cs="Times New Roman" w:eastAsia="Times New Roman" w:hAnsi="Times New Roman"/>
          <w:sz w:val="16"/>
          <w:szCs w:val="16"/>
          <w:color w:val="auto"/>
        </w:rPr>
        <w:t>). The utilization of SAB No. 107 and 110 is based on the lack of relevant historical data due to both our limited historical experience as a publicly traded company as well as the historical lack of liquidity resulting from the limited number of freely-tradable shares of our common stock. Those factors also resulted in our decision to utilize the historical volatilities of a peer group of public companies’ stock over the expected term of the option in determining our expected volatility assumptions. The risk-free interest rate for periods related to the expected life of the options is based on the</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U.S. Treasury yield curve in effect at the time of grant. The expected dividend yield is zero, as we have not paid any dividends and do not anticipate paying dividends in the near future. We calculated the forfeiture rate based on an analysis of historical data, as it reasonably approximates the currently anticipated rate of forfeitures for granted and outstanding options that have not vested.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5"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activity for the fiscal years ended March 31, 2017 and 2016 under our stock option plans: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8"/>
                <w:szCs w:val="18"/>
                <w:color w:val="auto"/>
                <w:w w:val="97"/>
              </w:rPr>
              <w:t>Fiscal Years Ended March 31,</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060" w:type="dxa"/>
            <w:vAlign w:val="bottom"/>
          </w:tcPr>
          <w:p>
            <w:pPr>
              <w:spacing w:after="0"/>
              <w:rPr>
                <w:sz w:val="19"/>
                <w:szCs w:val="19"/>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960" w:type="dxa"/>
            <w:vAlign w:val="bottom"/>
          </w:tcPr>
          <w:p>
            <w:pPr>
              <w:spacing w:after="0"/>
              <w:rPr>
                <w:sz w:val="19"/>
                <w:szCs w:val="19"/>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6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2"/>
              <w:spacing w:after="0" w:line="201" w:lineRule="exact"/>
              <w:rPr>
                <w:sz w:val="20"/>
                <w:szCs w:val="20"/>
                <w:color w:val="auto"/>
              </w:rPr>
            </w:pPr>
            <w:r>
              <w:rPr>
                <w:rFonts w:ascii="Times New Roman" w:cs="Times New Roman" w:eastAsia="Times New Roman" w:hAnsi="Times New Roman"/>
                <w:sz w:val="18"/>
                <w:szCs w:val="18"/>
                <w:color w:val="auto"/>
                <w:w w:val="94"/>
              </w:rPr>
              <w:t>Weighted</w:t>
            </w:r>
          </w:p>
        </w:tc>
        <w:tc>
          <w:tcPr>
            <w:tcW w:w="26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32"/>
              <w:spacing w:after="0" w:line="201" w:lineRule="exact"/>
              <w:rPr>
                <w:sz w:val="20"/>
                <w:szCs w:val="20"/>
                <w:color w:val="auto"/>
              </w:rPr>
            </w:pPr>
            <w:r>
              <w:rPr>
                <w:rFonts w:ascii="Times New Roman" w:cs="Times New Roman" w:eastAsia="Times New Roman" w:hAnsi="Times New Roman"/>
                <w:sz w:val="18"/>
                <w:szCs w:val="18"/>
                <w:color w:val="auto"/>
                <w:w w:val="97"/>
              </w:rPr>
              <w:t>Weighted</w:t>
            </w:r>
          </w:p>
        </w:tc>
        <w:tc>
          <w:tcPr>
            <w:tcW w:w="140" w:type="dxa"/>
            <w:vAlign w:val="bottom"/>
            <w:gridSpan w:val="2"/>
          </w:tcPr>
          <w:p>
            <w:pPr>
              <w:spacing w:after="0"/>
              <w:rPr>
                <w:sz w:val="17"/>
                <w:szCs w:val="17"/>
                <w:color w:val="auto"/>
              </w:rPr>
            </w:pPr>
          </w:p>
        </w:tc>
      </w:tr>
      <w:tr>
        <w:trPr>
          <w:trHeight w:val="216"/>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5"/>
              </w:rPr>
              <w:t>Average</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5"/>
              </w:rPr>
              <w:t>Average</w:t>
            </w:r>
          </w:p>
        </w:tc>
      </w:tr>
      <w:tr>
        <w:trPr>
          <w:trHeight w:val="216"/>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Pr>
          <w:p>
            <w:pPr>
              <w:spacing w:after="0"/>
              <w:rPr>
                <w:sz w:val="18"/>
                <w:szCs w:val="18"/>
                <w:color w:val="auto"/>
              </w:rPr>
            </w:pPr>
          </w:p>
        </w:tc>
        <w:tc>
          <w:tcPr>
            <w:tcW w:w="96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Exercise</w:t>
            </w:r>
          </w:p>
        </w:tc>
        <w:tc>
          <w:tcPr>
            <w:tcW w:w="26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Number of</w:t>
            </w:r>
          </w:p>
        </w:tc>
        <w:tc>
          <w:tcPr>
            <w:tcW w:w="16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6"/>
              </w:rPr>
              <w:t>Exercise</w:t>
            </w:r>
          </w:p>
        </w:tc>
      </w:tr>
      <w:tr>
        <w:trPr>
          <w:trHeight w:val="237"/>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Price</w:t>
            </w:r>
          </w:p>
        </w:tc>
        <w:tc>
          <w:tcPr>
            <w:tcW w:w="26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spacing w:after="0"/>
              <w:rPr>
                <w:sz w:val="20"/>
                <w:szCs w:val="20"/>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7"/>
              </w:rPr>
              <w:t>Price</w:t>
            </w:r>
          </w:p>
        </w:tc>
      </w:tr>
      <w:tr>
        <w:trPr>
          <w:trHeight w:val="216"/>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Options outstanding at beginning of period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336,987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207,638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Options granted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1,340,000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Options exercised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Options forfeited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(10,359)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Options expired</w:t>
            </w:r>
          </w:p>
        </w:tc>
        <w:tc>
          <w:tcPr>
            <w:tcW w:w="14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60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60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Options outstanding at end of period</w:t>
            </w:r>
          </w:p>
        </w:tc>
        <w:tc>
          <w:tcPr>
            <w:tcW w:w="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1,659,324</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336,987</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Options exercisable at end of period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351,532</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201,779</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grant-date fair value of</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60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options granted during the period</w:t>
            </w:r>
          </w:p>
        </w:tc>
        <w:tc>
          <w:tcPr>
            <w:tcW w:w="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on stock options outstanding and exercisable under our stock option plans as of March 31, 2017:</w:t>
      </w:r>
    </w:p>
    <w:p>
      <w:pPr>
        <w:spacing w:after="0" w:line="225" w:lineRule="exact"/>
        <w:rPr>
          <w:sz w:val="20"/>
          <w:szCs w:val="20"/>
          <w:color w:val="auto"/>
        </w:rPr>
      </w:pPr>
    </w:p>
    <w:tbl>
      <w:tblPr>
        <w:tblLayout w:type="fixed"/>
        <w:tblInd w:w="2080" w:type="dxa"/>
        <w:tblCellMar>
          <w:top w:w="0" w:type="dxa"/>
          <w:left w:w="0" w:type="dxa"/>
          <w:bottom w:w="0" w:type="dxa"/>
          <w:right w:w="0" w:type="dxa"/>
        </w:tblCellMar>
      </w:tblPr>
      <w:tr>
        <w:trPr>
          <w:trHeight w:val="237"/>
        </w:trPr>
        <w:tc>
          <w:tcPr>
            <w:tcW w:w="3840" w:type="dxa"/>
            <w:vAlign w:val="bottom"/>
            <w:tcBorders>
              <w:bottom w:val="single" w:sz="8" w:color="auto"/>
            </w:tcBorders>
          </w:tcPr>
          <w:p>
            <w:pPr>
              <w:jc w:val="center"/>
              <w:ind w:left="1412"/>
              <w:spacing w:after="0"/>
              <w:rPr>
                <w:sz w:val="20"/>
                <w:szCs w:val="20"/>
                <w:color w:val="auto"/>
              </w:rPr>
            </w:pPr>
            <w:r>
              <w:rPr>
                <w:rFonts w:ascii="Times New Roman" w:cs="Times New Roman" w:eastAsia="Times New Roman" w:hAnsi="Times New Roman"/>
                <w:sz w:val="18"/>
                <w:szCs w:val="18"/>
                <w:color w:val="auto"/>
                <w:w w:val="97"/>
              </w:rPr>
              <w:t>Options Outstanding</w:t>
            </w:r>
          </w:p>
        </w:tc>
        <w:tc>
          <w:tcPr>
            <w:tcW w:w="15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4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Options Exercisable</w:t>
            </w:r>
          </w:p>
        </w:tc>
      </w:tr>
      <w:tr>
        <w:trPr>
          <w:trHeight w:val="202"/>
        </w:trPr>
        <w:tc>
          <w:tcPr>
            <w:tcW w:w="3840" w:type="dxa"/>
            <w:vAlign w:val="bottom"/>
          </w:tcPr>
          <w:p>
            <w:pPr>
              <w:jc w:val="center"/>
              <w:ind w:left="1452"/>
              <w:spacing w:after="0" w:line="201" w:lineRule="exact"/>
              <w:rPr>
                <w:sz w:val="20"/>
                <w:szCs w:val="20"/>
                <w:color w:val="auto"/>
              </w:rPr>
            </w:pPr>
            <w:r>
              <w:rPr>
                <w:rFonts w:ascii="Times New Roman" w:cs="Times New Roman" w:eastAsia="Times New Roman" w:hAnsi="Times New Roman"/>
                <w:sz w:val="18"/>
                <w:szCs w:val="18"/>
                <w:color w:val="auto"/>
                <w:w w:val="94"/>
              </w:rPr>
              <w:t>Weighted</w:t>
            </w: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228"/>
        </w:trPr>
        <w:tc>
          <w:tcPr>
            <w:tcW w:w="3840" w:type="dxa"/>
            <w:vAlign w:val="bottom"/>
          </w:tcPr>
          <w:p>
            <w:pPr>
              <w:jc w:val="center"/>
              <w:ind w:left="1452"/>
              <w:spacing w:after="0"/>
              <w:rPr>
                <w:sz w:val="20"/>
                <w:szCs w:val="20"/>
                <w:color w:val="auto"/>
              </w:rPr>
            </w:pPr>
            <w:r>
              <w:rPr>
                <w:rFonts w:ascii="Times New Roman" w:cs="Times New Roman" w:eastAsia="Times New Roman" w:hAnsi="Times New Roman"/>
                <w:sz w:val="18"/>
                <w:szCs w:val="18"/>
                <w:color w:val="auto"/>
                <w:w w:val="95"/>
              </w:rPr>
              <w:t>Average</w:t>
            </w:r>
          </w:p>
        </w:tc>
        <w:tc>
          <w:tcPr>
            <w:tcW w:w="1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Weighted</w:t>
            </w:r>
          </w:p>
        </w:tc>
        <w:tc>
          <w:tcPr>
            <w:tcW w:w="360" w:type="dxa"/>
            <w:vAlign w:val="bottom"/>
          </w:tcPr>
          <w:p>
            <w:pPr>
              <w:spacing w:after="0"/>
              <w:rPr>
                <w:sz w:val="19"/>
                <w:szCs w:val="19"/>
                <w:color w:val="auto"/>
              </w:rPr>
            </w:pPr>
          </w:p>
        </w:tc>
        <w:tc>
          <w:tcPr>
            <w:tcW w:w="34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Weighted</w:t>
            </w:r>
          </w:p>
        </w:tc>
      </w:tr>
    </w:tbl>
    <w:p>
      <w:pPr>
        <w:sectPr>
          <w:pgSz w:w="11900" w:h="16868" w:orient="portrait"/>
          <w:cols w:equalWidth="0" w:num="1">
            <w:col w:w="11420"/>
          </w:cols>
          <w:pgMar w:left="240" w:top="125" w:right="239" w:bottom="0" w:gutter="0" w:footer="0" w:header="0"/>
        </w:sectPr>
      </w:pPr>
    </w:p>
    <w:bookmarkStart w:id="151" w:name="page152"/>
    <w:bookmarkEnd w:id="1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6"/>
              </w:rPr>
              <w:t>Remaining</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5"/>
              </w:rPr>
              <w:t>Average</w:t>
            </w: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5"/>
              </w:rPr>
              <w:t>Average</w:t>
            </w:r>
          </w:p>
        </w:tc>
      </w:tr>
      <w:tr>
        <w:trPr>
          <w:trHeight w:val="216"/>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Exercise</w:t>
            </w:r>
          </w:p>
        </w:tc>
        <w:tc>
          <w:tcPr>
            <w:tcW w:w="15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Number</w:t>
            </w:r>
          </w:p>
        </w:tc>
        <w:tc>
          <w:tcPr>
            <w:tcW w:w="380" w:type="dxa"/>
            <w:vAlign w:val="bottom"/>
          </w:tcPr>
          <w:p>
            <w:pPr>
              <w:spacing w:after="0"/>
              <w:rPr>
                <w:sz w:val="18"/>
                <w:szCs w:val="18"/>
                <w:color w:val="auto"/>
              </w:rPr>
            </w:pPr>
          </w:p>
        </w:tc>
        <w:tc>
          <w:tcPr>
            <w:tcW w:w="11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5"/>
              </w:rPr>
              <w:t>Years until</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6"/>
              </w:rPr>
              <w:t>Exercise</w:t>
            </w:r>
          </w:p>
        </w:tc>
        <w:tc>
          <w:tcPr>
            <w:tcW w:w="380" w:type="dxa"/>
            <w:vAlign w:val="bottom"/>
          </w:tcPr>
          <w:p>
            <w:pPr>
              <w:spacing w:after="0"/>
              <w:rPr>
                <w:sz w:val="18"/>
                <w:szCs w:val="18"/>
                <w:color w:val="auto"/>
              </w:rPr>
            </w:pPr>
          </w:p>
        </w:tc>
        <w:tc>
          <w:tcPr>
            <w:tcW w:w="15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Number</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Exercise</w:t>
            </w:r>
          </w:p>
        </w:tc>
      </w:tr>
      <w:tr>
        <w:trPr>
          <w:trHeight w:val="237"/>
        </w:trPr>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Price</w:t>
            </w:r>
          </w:p>
        </w:tc>
        <w:tc>
          <w:tcPr>
            <w:tcW w:w="15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Outstanding</w:t>
            </w:r>
          </w:p>
        </w:tc>
        <w:tc>
          <w:tcPr>
            <w:tcW w:w="380" w:type="dxa"/>
            <w:vAlign w:val="bottom"/>
          </w:tcPr>
          <w:p>
            <w:pPr>
              <w:spacing w:after="0"/>
              <w:rPr>
                <w:sz w:val="20"/>
                <w:szCs w:val="20"/>
                <w:color w:val="auto"/>
              </w:rPr>
            </w:pPr>
          </w:p>
        </w:tc>
        <w:tc>
          <w:tcPr>
            <w:tcW w:w="11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Expiration</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Price</w:t>
            </w:r>
          </w:p>
        </w:tc>
        <w:tc>
          <w:tcPr>
            <w:tcW w:w="380" w:type="dxa"/>
            <w:vAlign w:val="bottom"/>
          </w:tcPr>
          <w:p>
            <w:pPr>
              <w:spacing w:after="0"/>
              <w:rPr>
                <w:sz w:val="20"/>
                <w:szCs w:val="20"/>
                <w:color w:val="auto"/>
              </w:rPr>
            </w:pP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Exercisable</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Price</w:t>
            </w:r>
          </w:p>
        </w:tc>
      </w:tr>
      <w:tr>
        <w:trPr>
          <w:trHeight w:val="216"/>
        </w:trPr>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3.49</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655,000</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80" w:type="dxa"/>
            <w:vAlign w:val="bottom"/>
            <w:shd w:val="clear" w:color="auto" w:fill="CCEEFF"/>
          </w:tcPr>
          <w:p>
            <w:pPr>
              <w:spacing w:after="0"/>
              <w:rPr>
                <w:sz w:val="18"/>
                <w:szCs w:val="18"/>
                <w:color w:val="auto"/>
              </w:rPr>
            </w:pPr>
          </w:p>
        </w:tc>
      </w:tr>
      <w:tr>
        <w:trPr>
          <w:trHeight w:val="216"/>
        </w:trPr>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3.80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560,000</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62,215</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80" w:type="dxa"/>
            <w:vAlign w:val="bottom"/>
          </w:tcPr>
          <w:p>
            <w:pPr>
              <w:spacing w:after="0"/>
              <w:rPr>
                <w:sz w:val="18"/>
                <w:szCs w:val="18"/>
                <w:color w:val="auto"/>
              </w:rPr>
            </w:pPr>
          </w:p>
        </w:tc>
      </w:tr>
      <w:tr>
        <w:trPr>
          <w:trHeight w:val="216"/>
        </w:trPr>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4.27</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80" w:type="dxa"/>
            <w:vAlign w:val="bottom"/>
            <w:shd w:val="clear" w:color="auto" w:fill="CCEEFF"/>
          </w:tcPr>
          <w:p>
            <w:pPr>
              <w:spacing w:after="0"/>
              <w:rPr>
                <w:sz w:val="18"/>
                <w:szCs w:val="18"/>
                <w:color w:val="auto"/>
              </w:rPr>
            </w:pPr>
          </w:p>
        </w:tc>
      </w:tr>
      <w:tr>
        <w:trPr>
          <w:trHeight w:val="216"/>
        </w:trPr>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8.00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98,335</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98,335</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tcPr>
          <w:p>
            <w:pPr>
              <w:spacing w:after="0"/>
              <w:rPr>
                <w:sz w:val="18"/>
                <w:szCs w:val="18"/>
                <w:color w:val="auto"/>
              </w:rPr>
            </w:pPr>
          </w:p>
        </w:tc>
      </w:tr>
      <w:tr>
        <w:trPr>
          <w:trHeight w:val="216"/>
        </w:trPr>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9.25</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49,993</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80" w:type="dxa"/>
            <w:vAlign w:val="bottom"/>
            <w:shd w:val="clear" w:color="auto" w:fill="CCEEFF"/>
          </w:tcPr>
          <w:p>
            <w:pPr>
              <w:spacing w:after="0"/>
              <w:rPr>
                <w:sz w:val="18"/>
                <w:szCs w:val="18"/>
                <w:color w:val="auto"/>
              </w:rPr>
            </w:pPr>
          </w:p>
        </w:tc>
      </w:tr>
      <w:tr>
        <w:trPr>
          <w:trHeight w:val="216"/>
        </w:trPr>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138,488</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138,488</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18"/>
                <w:szCs w:val="18"/>
                <w:color w:val="auto"/>
              </w:rPr>
            </w:pPr>
          </w:p>
        </w:tc>
      </w:tr>
      <w:tr>
        <w:trPr>
          <w:trHeight w:val="250"/>
        </w:trPr>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5"/>
              </w:rPr>
              <w:t>14.40 to $15.00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80" w:type="dxa"/>
            <w:vAlign w:val="bottom"/>
            <w:shd w:val="clear" w:color="auto" w:fill="CCEEFF"/>
          </w:tcPr>
          <w:p>
            <w:pPr>
              <w:spacing w:after="0"/>
              <w:rPr>
                <w:sz w:val="21"/>
                <w:szCs w:val="21"/>
                <w:color w:val="auto"/>
              </w:rPr>
            </w:pPr>
          </w:p>
        </w:tc>
      </w:tr>
      <w:tr>
        <w:trPr>
          <w:trHeight w:val="216"/>
        </w:trPr>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257"/>
        </w:trPr>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1,659,324</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3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351,532</w:t>
            </w: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8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At March 31, 2017, there were 1,184,911 shares of our common stock remaining available for grant under the 2016 Plan. There were no option exercises during the years ended March 31, 2017 or 2016.</w:t>
      </w:r>
    </w:p>
    <w:p>
      <w:pPr>
        <w:spacing w:after="0" w:line="174"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Aggregate intrinsic value is the sum of the amount by which the fair value of the underlying common stock exceeds the aggregate exercise price of the outstanding options (</w:t>
      </w:r>
      <w:r>
        <w:rPr>
          <w:rFonts w:ascii="Times New Roman" w:cs="Times New Roman" w:eastAsia="Times New Roman" w:hAnsi="Times New Roman"/>
          <w:sz w:val="18"/>
          <w:szCs w:val="18"/>
          <w:i w:val="1"/>
          <w:iCs w:val="1"/>
          <w:color w:val="auto"/>
        </w:rPr>
        <w:t>in-the-money-options</w:t>
      </w:r>
      <w:r>
        <w:rPr>
          <w:rFonts w:ascii="Times New Roman" w:cs="Times New Roman" w:eastAsia="Times New Roman" w:hAnsi="Times New Roman"/>
          <w:sz w:val="18"/>
          <w:szCs w:val="18"/>
          <w:color w:val="auto"/>
        </w:rPr>
        <w:t>). Based on the $1.96 per share quoted market price of our common stock on March 31, 2017, there was no intrinsic value in any of our outstanding options at that date.</w:t>
      </w:r>
    </w:p>
    <w:p>
      <w:pPr>
        <w:spacing w:after="0" w:line="18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As of March 31, 2017, there was approximately $3,004,900 of unrecognized compensation cost related to non-vested share-based compensation awards from the 2016 Plan, which is expected to be recognized through September 2020.</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Through a third-party agent, we maintain a retirement and deferred savings plan for our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5"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Cato Holding Company (</w:t>
      </w:r>
      <w:r>
        <w:rPr>
          <w:rFonts w:ascii="Times New Roman" w:cs="Times New Roman" w:eastAsia="Times New Roman" w:hAnsi="Times New Roman"/>
          <w:sz w:val="18"/>
          <w:szCs w:val="18"/>
          <w:i w:val="1"/>
          <w:iCs w:val="1"/>
          <w:color w:val="auto"/>
        </w:rPr>
        <w:t>CHC</w:t>
      </w:r>
      <w:r>
        <w:rPr>
          <w:rFonts w:ascii="Times New Roman" w:cs="Times New Roman" w:eastAsia="Times New Roman" w:hAnsi="Times New Roman"/>
          <w:sz w:val="18"/>
          <w:szCs w:val="18"/>
          <w:color w:val="auto"/>
        </w:rPr>
        <w:t>), doing business as Cato BioVentures (</w:t>
      </w:r>
      <w:r>
        <w:rPr>
          <w:rFonts w:ascii="Times New Roman" w:cs="Times New Roman" w:eastAsia="Times New Roman" w:hAnsi="Times New Roman"/>
          <w:sz w:val="18"/>
          <w:szCs w:val="18"/>
          <w:i w:val="1"/>
          <w:iCs w:val="1"/>
          <w:color w:val="auto"/>
        </w:rPr>
        <w:t>CBV</w:t>
      </w:r>
      <w:r>
        <w:rPr>
          <w:rFonts w:ascii="Times New Roman" w:cs="Times New Roman" w:eastAsia="Times New Roman" w:hAnsi="Times New Roman"/>
          <w:sz w:val="18"/>
          <w:szCs w:val="18"/>
          <w:color w:val="auto"/>
        </w:rPr>
        <w:t>), is the parent of CRL. CRL is a contract research, development and regulatory services organization (</w:t>
      </w:r>
      <w:r>
        <w:rPr>
          <w:rFonts w:ascii="Times New Roman" w:cs="Times New Roman" w:eastAsia="Times New Roman" w:hAnsi="Times New Roman"/>
          <w:sz w:val="18"/>
          <w:szCs w:val="18"/>
          <w:i w:val="1"/>
          <w:iCs w:val="1"/>
          <w:color w:val="auto"/>
        </w:rPr>
        <w:t>CRO</w:t>
      </w:r>
      <w:r>
        <w:rPr>
          <w:rFonts w:ascii="Times New Roman" w:cs="Times New Roman" w:eastAsia="Times New Roman" w:hAnsi="Times New Roman"/>
          <w:sz w:val="18"/>
          <w:szCs w:val="18"/>
          <w:color w:val="auto"/>
        </w:rPr>
        <w:t xml:space="preserve">) engaged by us for certain aspects of the development and regulatory affairs associated with AV-101. CBV is among our largest institutional stockholders at March 31, 2017, holding approximately 6.9% of our outstanding common stock. In October 2012, we issued certain unsecured promissory notes in the aggregate face amount of approximately $1.3 million to CBV and CRL (the </w:t>
      </w:r>
      <w:r>
        <w:rPr>
          <w:rFonts w:ascii="Times New Roman" w:cs="Times New Roman" w:eastAsia="Times New Roman" w:hAnsi="Times New Roman"/>
          <w:sz w:val="18"/>
          <w:szCs w:val="18"/>
          <w:i w:val="1"/>
          <w:iCs w:val="1"/>
          <w:color w:val="auto"/>
        </w:rPr>
        <w:t>Cato Notes</w:t>
      </w:r>
      <w:r>
        <w:rPr>
          <w:rFonts w:ascii="Times New Roman" w:cs="Times New Roman" w:eastAsia="Times New Roman" w:hAnsi="Times New Roman"/>
          <w:sz w:val="18"/>
          <w:szCs w:val="18"/>
          <w:color w:val="auto"/>
        </w:rPr>
        <w:t xml:space="preserve">) as payment in full for all contract research and development services and regulatory advice previously rendered to us by CRL. As described in Note 9,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the Cato Notes and additional amounts payable to CRL for CRO services were extinguished in June 2015 in exchange for our issuance of an aggregate of 328,571 shares of Series B Preferred to CBV, which shares of Series B Preferred were automatically converted into an equal number of registered shares of our common stock in connection with the May 2016 Public Offering.</w:t>
      </w:r>
    </w:p>
    <w:p>
      <w:pPr>
        <w:spacing w:after="0" w:line="194" w:lineRule="exact"/>
        <w:rPr>
          <w:sz w:val="20"/>
          <w:szCs w:val="20"/>
          <w:color w:val="auto"/>
        </w:rPr>
      </w:pPr>
    </w:p>
    <w:p>
      <w:pPr>
        <w:ind w:right="320"/>
        <w:spacing w:after="0" w:line="339" w:lineRule="auto"/>
        <w:rPr>
          <w:sz w:val="20"/>
          <w:szCs w:val="20"/>
          <w:color w:val="auto"/>
        </w:rPr>
      </w:pPr>
      <w:r>
        <w:rPr>
          <w:rFonts w:ascii="Times New Roman" w:cs="Times New Roman" w:eastAsia="Times New Roman" w:hAnsi="Times New Roman"/>
          <w:sz w:val="16"/>
          <w:szCs w:val="16"/>
          <w:color w:val="auto"/>
        </w:rPr>
        <w:t>Under the terms of our contract research arrangement with CRL related to the development of AV-101, we incurred expenses of $254,600 and $52,600 for the fiscal years ended March 31, 2017 and 2016, respectively. Total interest expense on the Cato Notes was $28,200 for the fiscal year ended March 31, 2016.</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Contingencies, Guarantees and Indemnifications</w:t>
      </w:r>
    </w:p>
    <w:p>
      <w:pPr>
        <w:spacing w:after="0" w:line="227"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auto"/>
        </w:rPr>
        <w:t>From time to time, we may become involved in claims and other legal matters arising in the ordinary course of business. Management is not currently aware of any claims made or other legal matters that will have a material adverse effect on our consolidated financial position, results of operations or its cash flows.</w:t>
      </w:r>
    </w:p>
    <w:p>
      <w:pPr>
        <w:spacing w:after="0" w:line="12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indemnify our officers and directors for certain events or occurrences while the officer or director is or was serving at our request in such capacity. The term of the indemnification period is for the officer’s or director’s lifetime. We will indemnify the officers or directors against any and all expenses incurred by the officers or directors because of their status as one of our directors or executive officers to the fullest extent permitted by Nevada law. We have never incurred costs to defend lawsuits or settle claims related to these indemnification agreements. We have a director and officer insurance policy which limits our exposure and may enable us to recover a portion of any future amounts paid. We believe the fair value of these indemnification agreements is minimal. Accordingly, there are no liabilities recorded for these agreements at March 31, 2017 or 2016.</w:t>
      </w:r>
    </w:p>
    <w:p>
      <w:pPr>
        <w:spacing w:after="0" w:line="19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we provide indemnifications of varying scopes under agreements with other companies, typically clinical research organizations, investigators, clinical sites, suppliers and others. Pursuant to these agreements, we generally indemnify, hold harmless, and agree to reimburse the indemnified parties for losses suffered or incurred by the indemnified parties in connection with the use or testing of our product candidates or with any U.S. patents or any copyright or other intellectual property infringement claims by any third party with respect to our product candidates. The terms of these indemnification agreements are generally perpetual. The potential future payments we could be required to make under these indemnification agreements is unlimited. We maintain liability insurance coverage that limits our exposure. We believe the fair value of these indemnification agreements is minimal. Accordingly, we have not recorded any liabilities for these agreements as of March 31, 2017 or 2016.</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ectPr>
          <w:pgSz w:w="11900" w:h="16838" w:orient="portrait"/>
          <w:cols w:equalWidth="0" w:num="1">
            <w:col w:w="11420"/>
          </w:cols>
          <w:pgMar w:left="240" w:top="125" w:right="239" w:bottom="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color w:val="auto"/>
        </w:rPr>
        <w:t>As of March 31, 2017 and 2016, the following assets are subject to capital lease obligations and included in property and equipment: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2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Net book value</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280" w:type="dxa"/>
            <w:vAlign w:val="bottom"/>
          </w:tcPr>
          <w:p>
            <w:pPr>
              <w:spacing w:after="0"/>
              <w:rPr>
                <w:sz w:val="18"/>
                <w:szCs w:val="18"/>
                <w:color w:val="auto"/>
              </w:rPr>
            </w:pPr>
          </w:p>
        </w:tc>
        <w:tc>
          <w:tcPr>
            <w:tcW w:w="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Amortization expense for assets recorded under capital leases is included in depreciation expense. Future minimum payments, by year and in the aggregate, required under capital leases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Capital</w:t>
            </w:r>
          </w:p>
        </w:tc>
        <w:tc>
          <w:tcPr>
            <w:tcW w:w="0" w:type="dxa"/>
            <w:vAlign w:val="bottom"/>
          </w:tcPr>
          <w:p>
            <w:pPr>
              <w:spacing w:after="0"/>
              <w:rPr>
                <w:sz w:val="1"/>
                <w:szCs w:val="1"/>
                <w:color w:val="auto"/>
              </w:rPr>
            </w:pPr>
          </w:p>
        </w:tc>
      </w:tr>
      <w:tr>
        <w:trPr>
          <w:trHeight w:val="237"/>
        </w:trPr>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Fiscal Years Ending March 31,</w:t>
            </w:r>
          </w:p>
        </w:tc>
        <w:tc>
          <w:tcPr>
            <w:tcW w:w="5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Leases</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2018</w:t>
            </w:r>
          </w:p>
        </w:tc>
        <w:tc>
          <w:tcPr>
            <w:tcW w:w="378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2019</w:t>
            </w:r>
          </w:p>
        </w:tc>
        <w:tc>
          <w:tcPr>
            <w:tcW w:w="37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2020</w:t>
            </w:r>
          </w:p>
        </w:tc>
        <w:tc>
          <w:tcPr>
            <w:tcW w:w="378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2021</w:t>
            </w:r>
          </w:p>
        </w:tc>
        <w:tc>
          <w:tcPr>
            <w:tcW w:w="37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2022</w:t>
            </w:r>
          </w:p>
        </w:tc>
        <w:tc>
          <w:tcPr>
            <w:tcW w:w="3780" w:type="dxa"/>
            <w:vAlign w:val="bottom"/>
            <w:tcBorders>
              <w:bottom w:val="single" w:sz="8" w:color="CCEEFF"/>
            </w:tcBorders>
            <w:shd w:val="clear" w:color="auto" w:fill="CCEEFF"/>
          </w:tcPr>
          <w:p>
            <w:pPr>
              <w:spacing w:after="0"/>
              <w:rPr>
                <w:sz w:val="19"/>
                <w:szCs w:val="19"/>
                <w:color w:val="auto"/>
              </w:rPr>
            </w:pPr>
          </w:p>
        </w:tc>
        <w:tc>
          <w:tcPr>
            <w:tcW w:w="5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lease payments</w:t>
            </w: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Less imputed interest included in minimum lease payments</w:t>
            </w:r>
          </w:p>
        </w:tc>
        <w:tc>
          <w:tcPr>
            <w:tcW w:w="5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Less current portion</w:t>
            </w:r>
          </w:p>
        </w:tc>
        <w:tc>
          <w:tcPr>
            <w:tcW w:w="5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capital lease obligation</w:t>
            </w:r>
          </w:p>
        </w:tc>
        <w:tc>
          <w:tcPr>
            <w:tcW w:w="5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5"/>
        </w:trPr>
        <w:tc>
          <w:tcPr>
            <w:tcW w:w="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2"/>
          </w:tcPr>
          <w:p>
            <w:pPr>
              <w:jc w:val="right"/>
              <w:ind w:right="4500"/>
              <w:spacing w:after="0"/>
              <w:rPr>
                <w:sz w:val="20"/>
                <w:szCs w:val="20"/>
                <w:color w:val="auto"/>
              </w:rPr>
            </w:pPr>
            <w:r>
              <w:rPr>
                <w:rFonts w:ascii="Times New Roman" w:cs="Times New Roman" w:eastAsia="Times New Roman" w:hAnsi="Times New Roman"/>
                <w:sz w:val="18"/>
                <w:szCs w:val="18"/>
                <w:color w:val="auto"/>
              </w:rPr>
              <w:t>F-30</w:t>
            </w: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020" w:type="dxa"/>
            <w:vAlign w:val="bottom"/>
            <w:gridSpan w:val="3"/>
          </w:tcPr>
          <w:p>
            <w:pPr>
              <w:spacing w:after="0"/>
              <w:rPr>
                <w:rFonts w:ascii="Times New Roman" w:cs="Times New Roman" w:eastAsia="Times New Roman" w:hAnsi="Times New Roman"/>
                <w:sz w:val="18"/>
                <w:szCs w:val="18"/>
                <w:i w:val="1"/>
                <w:iCs w:val="1"/>
                <w:color w:val="0000EE"/>
              </w:rPr>
            </w:pPr>
            <w:hyperlink w:anchor="page5">
              <w:r>
                <w:rPr>
                  <w:rFonts w:ascii="Times New Roman" w:cs="Times New Roman" w:eastAsia="Times New Roman" w:hAnsi="Times New Roman"/>
                  <w:sz w:val="18"/>
                  <w:szCs w:val="18"/>
                  <w:i w:val="1"/>
                  <w:iCs w:val="1"/>
                  <w:color w:val="0000EE"/>
                </w:rPr>
                <w:t>Table of Contents</w:t>
              </w:r>
            </w:hyperlink>
          </w:p>
        </w:tc>
        <w:tc>
          <w:tcPr>
            <w:tcW w:w="5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80"/>
        <w:spacing w:after="0" w:line="275" w:lineRule="auto"/>
        <w:rPr>
          <w:sz w:val="20"/>
          <w:szCs w:val="20"/>
          <w:color w:val="auto"/>
        </w:rPr>
      </w:pPr>
      <w:r>
        <w:rPr>
          <w:rFonts w:ascii="Times New Roman" w:cs="Times New Roman" w:eastAsia="Times New Roman" w:hAnsi="Times New Roman"/>
          <w:sz w:val="18"/>
          <w:szCs w:val="18"/>
          <w:color w:val="auto"/>
        </w:rPr>
        <w:t>At March 31, 2017, future minimum payments under operating leases relate to our facility lease in South San Francisco, California through July 31, 2022 and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00" w:type="dxa"/>
            <w:vAlign w:val="bottom"/>
            <w:gridSpan w:val="2"/>
          </w:tcPr>
          <w:p>
            <w:pPr>
              <w:jc w:val="right"/>
              <w:ind w:right="7932"/>
              <w:spacing w:after="0"/>
              <w:rPr>
                <w:sz w:val="20"/>
                <w:szCs w:val="20"/>
                <w:color w:val="auto"/>
              </w:rPr>
            </w:pPr>
            <w:r>
              <w:rPr>
                <w:rFonts w:ascii="Times New Roman" w:cs="Times New Roman" w:eastAsia="Times New Roman" w:hAnsi="Times New Roman"/>
                <w:sz w:val="18"/>
                <w:szCs w:val="18"/>
                <w:color w:val="auto"/>
                <w:w w:val="96"/>
              </w:rPr>
              <w:t>Fiscal Years Ending March 31,</w:t>
            </w:r>
          </w:p>
        </w:tc>
        <w:tc>
          <w:tcPr>
            <w:tcW w:w="16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w:t>
            </w: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jc w:val="right"/>
              <w:ind w:right="9432"/>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jc w:val="right"/>
              <w:ind w:right="9432"/>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jc w:val="right"/>
              <w:ind w:right="9432"/>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jc w:val="right"/>
              <w:ind w:right="9432"/>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jc w:val="right"/>
              <w:ind w:right="9432"/>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668,400</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80" w:type="dxa"/>
            <w:vAlign w:val="bottom"/>
          </w:tcPr>
          <w:p>
            <w:pPr>
              <w:jc w:val="right"/>
              <w:ind w:right="9432"/>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225,300</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10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3,154,600</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incurred total facility rent expense for the fiscal years ended March 31, 2017 and 2016 of $482,100 and $337,200,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Repayment</w:t>
      </w:r>
    </w:p>
    <w:p>
      <w:pPr>
        <w:spacing w:after="0" w:line="229"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At March 31, 2017, future minimum principal payments on outstanding notes related only to our insurance premium financing arrangement in the principal amount of $54,800, which will be repaid in monthly principal and interest installments of $6,300 through December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7"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We have evaluated subsequent events through the date of this report and have identified the following material events and transactions that occurred after March 31, 2017:</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Common Stock and Warrants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Between April 1 and June 27, 2017, in self-placed private placement transactions, we sold to accredited investors units consisting of (i) an aggregate of 437,751 shares of our unregistered common stock and (ii) warrants to purchase an aggregate of 218,875 shares of our common stock at an exercise price of $4.00 per share. We received cash proceeds of $873,300 from these sales of our securities, bringing total proceeds from the Spring 2017 Private Placement to approximately $1.0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Grants</w:t>
      </w:r>
    </w:p>
    <w:p>
      <w:pPr>
        <w:spacing w:after="0" w:line="229"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auto"/>
        </w:rPr>
        <w:t>On April 27, 2017, when the quoted market price of our common stock was $1.96 per share, the Board granted options to purchase an aggregate of 880,000 shares of our common stock at an exercise price of $1.96 per share to all officers, employees and independent members of the Board pursuant to the 2016 Plan.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Supplemental Financial Information (Unaudited)</w:t>
      </w:r>
    </w:p>
    <w:p>
      <w:pPr>
        <w:sectPr>
          <w:pgSz w:w="11900" w:h="16838" w:orient="portrait"/>
          <w:cols w:equalWidth="0" w:num="1">
            <w:col w:w="11420"/>
          </w:cols>
          <w:pgMar w:left="240" w:top="125" w:right="239" w:bottom="0" w:gutter="0" w:footer="0" w:header="0"/>
        </w:sectPr>
      </w:pPr>
    </w:p>
    <w:bookmarkStart w:id="153" w:name="page154"/>
    <w:bookmarkEnd w:id="153"/>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unaudited statements of operations data for each of the eight quarters in the period ended March 31, 2017. 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5"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Quarterly Results of Operations (Unaudited)</w:t>
      </w:r>
    </w:p>
    <w:p>
      <w:pPr>
        <w:spacing w:after="0" w:line="2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3"/>
          </w:tcPr>
          <w:p>
            <w:pPr>
              <w:jc w:val="right"/>
              <w:ind w:right="280"/>
              <w:spacing w:after="0" w:line="200"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140" w:type="dxa"/>
            <w:vAlign w:val="bottom"/>
            <w:tcBorders>
              <w:top w:val="single" w:sz="8" w:color="auto"/>
            </w:tcBorders>
            <w:gridSpan w:val="3"/>
          </w:tcPr>
          <w:p>
            <w:pPr>
              <w:jc w:val="right"/>
              <w:ind w:right="300"/>
              <w:spacing w:after="0" w:line="200" w:lineRule="exact"/>
              <w:rPr>
                <w:sz w:val="20"/>
                <w:szCs w:val="20"/>
                <w:color w:val="auto"/>
              </w:rPr>
            </w:pPr>
            <w:r>
              <w:rPr>
                <w:rFonts w:ascii="Times New Roman" w:cs="Times New Roman" w:eastAsia="Times New Roman" w:hAnsi="Times New Roman"/>
                <w:sz w:val="18"/>
                <w:szCs w:val="18"/>
                <w:b w:val="1"/>
                <w:bCs w:val="1"/>
                <w:color w:val="auto"/>
              </w:rPr>
              <w:t>December</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31,</w:t>
            </w:r>
          </w:p>
        </w:tc>
        <w:tc>
          <w:tcPr>
            <w:tcW w:w="220" w:type="dxa"/>
            <w:vAlign w:val="bottom"/>
          </w:tcPr>
          <w:p>
            <w:pPr>
              <w:spacing w:after="0"/>
              <w:rPr>
                <w:sz w:val="18"/>
                <w:szCs w:val="18"/>
                <w:color w:val="auto"/>
              </w:rPr>
            </w:pPr>
          </w:p>
        </w:tc>
        <w:tc>
          <w:tcPr>
            <w:tcW w:w="11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3"/>
              </w:rPr>
              <w:t>Fiscal Year</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4"/>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Sublicense revenue</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top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Total revenue</w:t>
            </w:r>
          </w:p>
        </w:tc>
        <w:tc>
          <w:tcPr>
            <w:tcW w:w="12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(2,637)</w:t>
            </w:r>
          </w:p>
        </w:tc>
        <w:tc>
          <w:tcPr>
            <w:tcW w:w="16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(2,548)</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(2,638)</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(2,638)</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dividend on Series B Preferred stock</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Deemed dividend on Series B Preferred stock</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(2,787)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computing:</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12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5,097,832</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8,047,619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8,381,824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8,602,107</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7,531,642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49"/>
        </w:trPr>
        <w:tc>
          <w:tcPr>
            <w:tcW w:w="20" w:type="dxa"/>
            <w:vAlign w:val="bottom"/>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F-32</w:t>
            </w: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4" w:name="page155"/>
    <w:bookmarkEnd w:id="1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3"/>
          </w:tcPr>
          <w:p>
            <w:pPr>
              <w:jc w:val="right"/>
              <w:ind w:right="280"/>
              <w:spacing w:after="0" w:line="200"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040" w:type="dxa"/>
            <w:vAlign w:val="bottom"/>
            <w:tcBorders>
              <w:top w:val="single" w:sz="8" w:color="auto"/>
            </w:tcBorders>
            <w:gridSpan w:val="4"/>
          </w:tcPr>
          <w:p>
            <w:pPr>
              <w:jc w:val="right"/>
              <w:ind w:right="200"/>
              <w:spacing w:after="0" w:line="200" w:lineRule="exact"/>
              <w:rPr>
                <w:sz w:val="20"/>
                <w:szCs w:val="20"/>
                <w:color w:val="auto"/>
              </w:rPr>
            </w:pPr>
            <w:r>
              <w:rPr>
                <w:rFonts w:ascii="Times New Roman" w:cs="Times New Roman" w:eastAsia="Times New Roman" w:hAnsi="Times New Roman"/>
                <w:sz w:val="18"/>
                <w:szCs w:val="18"/>
                <w:b w:val="1"/>
                <w:bCs w:val="1"/>
                <w:color w:val="auto"/>
              </w:rPr>
              <w:t>December</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3"/>
              </w:rPr>
              <w:t>Fiscal Year</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4"/>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6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8,501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(5,387)</w:t>
            </w:r>
          </w:p>
        </w:tc>
        <w:tc>
          <w:tcPr>
            <w:tcW w:w="16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2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 in warrant liabilities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2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(29,522)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(7,048)</w:t>
            </w:r>
          </w:p>
        </w:tc>
        <w:tc>
          <w:tcPr>
            <w:tcW w:w="16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2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(29,524)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(7,048)</w:t>
            </w:r>
          </w:p>
        </w:tc>
        <w:tc>
          <w:tcPr>
            <w:tcW w:w="16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Accrued dividend on Series B Preferred stock</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(615)</w:t>
            </w:r>
          </w:p>
        </w:tc>
        <w:tc>
          <w:tcPr>
            <w:tcW w:w="16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Deemed dividend on Series B Preferred stock</w:t>
            </w:r>
          </w:p>
        </w:tc>
        <w:tc>
          <w:tcPr>
            <w:tcW w:w="22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(887)</w:t>
            </w:r>
          </w:p>
        </w:tc>
        <w:tc>
          <w:tcPr>
            <w:tcW w:w="1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(29,993)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(3,447)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(51,419)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computing:</w:t>
            </w:r>
          </w:p>
        </w:tc>
        <w:tc>
          <w:tcPr>
            <w:tcW w:w="2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8"/>
              </w:rPr>
              <w:t>Basic and diluted net loss per common share</w:t>
            </w:r>
          </w:p>
        </w:tc>
        <w:tc>
          <w:tcPr>
            <w:tcW w:w="2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1,559,483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1,624,371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1,765,641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2,123,936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5"/>
        </w:trPr>
        <w:tc>
          <w:tcPr>
            <w:tcW w:w="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2"/>
          </w:tcPr>
          <w:p>
            <w:pPr>
              <w:jc w:val="center"/>
              <w:ind w:left="1792"/>
              <w:spacing w:after="0"/>
              <w:rPr>
                <w:sz w:val="20"/>
                <w:szCs w:val="20"/>
                <w:color w:val="auto"/>
              </w:rPr>
            </w:pPr>
            <w:r>
              <w:rPr>
                <w:rFonts w:ascii="Times New Roman" w:cs="Times New Roman" w:eastAsia="Times New Roman" w:hAnsi="Times New Roman"/>
                <w:sz w:val="18"/>
                <w:szCs w:val="18"/>
                <w:color w:val="auto"/>
                <w:w w:val="99"/>
              </w:rPr>
              <w:t>F-33</w:t>
            </w: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80" w:type="dxa"/>
            <w:vAlign w:val="bottom"/>
            <w:gridSpan w:val="3"/>
          </w:tcPr>
          <w:p>
            <w:pPr>
              <w:spacing w:after="0"/>
              <w:rPr>
                <w:rFonts w:ascii="Times New Roman" w:cs="Times New Roman" w:eastAsia="Times New Roman" w:hAnsi="Times New Roman"/>
                <w:sz w:val="18"/>
                <w:szCs w:val="18"/>
                <w:i w:val="1"/>
                <w:iCs w:val="1"/>
                <w:color w:val="0000EE"/>
              </w:rPr>
            </w:pPr>
            <w:hyperlink w:anchor="page5">
              <w:r>
                <w:rPr>
                  <w:rFonts w:ascii="Times New Roman" w:cs="Times New Roman" w:eastAsia="Times New Roman" w:hAnsi="Times New Roman"/>
                  <w:sz w:val="18"/>
                  <w:szCs w:val="18"/>
                  <w:i w:val="1"/>
                  <w:iCs w:val="1"/>
                  <w:color w:val="0000EE"/>
                </w:rPr>
                <w:t>Table of Contents</w:t>
              </w:r>
            </w:hyperlink>
          </w:p>
        </w:tc>
        <w:tc>
          <w:tcPr>
            <w:tcW w:w="2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67"/>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3580" w:type="dxa"/>
            <w:vAlign w:val="bottom"/>
            <w:gridSpan w:val="6"/>
          </w:tcPr>
          <w:p>
            <w:pPr>
              <w:jc w:val="center"/>
              <w:ind w:left="592"/>
              <w:spacing w:after="0"/>
              <w:rPr>
                <w:sz w:val="20"/>
                <w:szCs w:val="20"/>
                <w:color w:val="auto"/>
              </w:rPr>
            </w:pPr>
            <w:r>
              <w:rPr>
                <w:rFonts w:ascii="Times New Roman" w:cs="Times New Roman" w:eastAsia="Times New Roman" w:hAnsi="Times New Roman"/>
                <w:sz w:val="18"/>
                <w:szCs w:val="18"/>
                <w:b w:val="1"/>
                <w:bCs w:val="1"/>
                <w:color w:val="auto"/>
                <w:w w:val="96"/>
              </w:rPr>
              <w:t>VISTAGEN THERAPEUTICS, INC.</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540" w:type="dxa"/>
            <w:vAlign w:val="bottom"/>
            <w:gridSpan w:val="8"/>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CONDENSED CONSOLIDATED BALANCE SHEETS</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54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(Amounts in Dollars, except share amounts)</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20" w:type="dxa"/>
            <w:vAlign w:val="bottom"/>
          </w:tcPr>
          <w:p>
            <w:pPr>
              <w:spacing w:after="0"/>
              <w:rPr>
                <w:sz w:val="24"/>
                <w:szCs w:val="24"/>
                <w:color w:val="auto"/>
              </w:rPr>
            </w:pPr>
          </w:p>
        </w:tc>
        <w:tc>
          <w:tcPr>
            <w:tcW w:w="11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3"/>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1,764,400</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2,921,300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563,300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2,327,700</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3,377,900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242,000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Security deposits and other assets</w:t>
            </w:r>
          </w:p>
        </w:tc>
        <w:tc>
          <w:tcPr>
            <w:tcW w:w="226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47,800</w:t>
            </w: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2,617,500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3,712,200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0" w:type="dxa"/>
            <w:vAlign w:val="bottom"/>
            <w:tcBorders>
              <w:right w:val="single" w:sz="8" w:color="CCEEFF"/>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1,151,000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625,600</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Current notes payable</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105,200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26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1,884,300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1,367,500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Non-current liabilities: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Accrued dividends on Series B Preferred Stock</w:t>
            </w:r>
          </w:p>
        </w:tc>
        <w:tc>
          <w:tcPr>
            <w:tcW w:w="2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2,081,400</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1,577,800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Deferred rent liability</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312,700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26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2,404,800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1,728,900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26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4,289,100</w:t>
            </w: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3,096,400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717" w:right="239" w:bottom="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at September 30, 2017 and March 31, 2017:</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Series A Preferred, 500,000 shares authorized, issued and outstanding at September 30, 2017 and March 31, 2017</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500</w:t>
            </w:r>
          </w:p>
        </w:tc>
      </w:tr>
      <w:tr>
        <w:trPr>
          <w:trHeight w:val="202"/>
        </w:trPr>
        <w:tc>
          <w:tcPr>
            <w:tcW w:w="8700" w:type="dxa"/>
            <w:vAlign w:val="bottom"/>
          </w:tcPr>
          <w:p>
            <w:pPr>
              <w:ind w:left="340"/>
              <w:spacing w:after="0" w:line="201" w:lineRule="exact"/>
              <w:rPr>
                <w:sz w:val="20"/>
                <w:szCs w:val="20"/>
                <w:color w:val="auto"/>
              </w:rPr>
            </w:pPr>
            <w:r>
              <w:rPr>
                <w:rFonts w:ascii="Times New Roman" w:cs="Times New Roman" w:eastAsia="Times New Roman" w:hAnsi="Times New Roman"/>
                <w:sz w:val="18"/>
                <w:szCs w:val="18"/>
                <w:color w:val="auto"/>
                <w:w w:val="99"/>
              </w:rPr>
              <w:t>Series B Preferred; 4,000,000 shares authorized at September 30, 2017 and March 31, 2017; 1,160,240 shares issued</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8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and outstanding at September 30, 2017 and March 31, 2017</w:t>
            </w:r>
          </w:p>
        </w:tc>
        <w:tc>
          <w:tcPr>
            <w:tcW w:w="24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1,200</w:t>
            </w:r>
          </w:p>
        </w:tc>
        <w:tc>
          <w:tcPr>
            <w:tcW w:w="24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1,200</w:t>
            </w:r>
          </w:p>
        </w:tc>
      </w:tr>
      <w:tr>
        <w:trPr>
          <w:trHeight w:val="203"/>
        </w:trPr>
        <w:tc>
          <w:tcPr>
            <w:tcW w:w="8700" w:type="dxa"/>
            <w:vAlign w:val="bottom"/>
            <w:shd w:val="clear" w:color="auto" w:fill="CCEEFF"/>
          </w:tcPr>
          <w:p>
            <w:pPr>
              <w:ind w:left="340"/>
              <w:spacing w:after="0" w:line="203" w:lineRule="exact"/>
              <w:rPr>
                <w:sz w:val="20"/>
                <w:szCs w:val="20"/>
                <w:color w:val="auto"/>
              </w:rPr>
            </w:pPr>
            <w:r>
              <w:rPr>
                <w:rFonts w:ascii="Times New Roman" w:cs="Times New Roman" w:eastAsia="Times New Roman" w:hAnsi="Times New Roman"/>
                <w:sz w:val="18"/>
                <w:szCs w:val="18"/>
                <w:color w:val="auto"/>
                <w:w w:val="99"/>
              </w:rPr>
              <w:t>Series C Preferred; 3,000,000 shares authorized at September 30, 2017 and March 31, 2017; 2,318,012 shares issued</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and outstanding at September 30, 2017 and March 31, 2017</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2,300</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2,300</w:t>
            </w:r>
          </w:p>
        </w:tc>
      </w:tr>
      <w:tr>
        <w:trPr>
          <w:trHeight w:val="202"/>
        </w:trPr>
        <w:tc>
          <w:tcPr>
            <w:tcW w:w="870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w w:val="98"/>
              </w:rPr>
              <w:t>Common stock, $0.001 par value; 100,000,000 and 30,000,000 shares authorized at September 30, 2017 and March 31,</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8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2017, respectively; 11,764,639 and 8,974,386 shares issued and outstanding at September 30, 2017 and March 31,</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2017, respectively</w:t>
            </w:r>
          </w:p>
        </w:tc>
        <w:tc>
          <w:tcPr>
            <w:tcW w:w="24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11,800</w:t>
            </w:r>
          </w:p>
        </w:tc>
        <w:tc>
          <w:tcPr>
            <w:tcW w:w="24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9,000</w:t>
            </w:r>
          </w:p>
        </w:tc>
      </w:tr>
      <w:tr>
        <w:trPr>
          <w:trHeight w:val="217"/>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151,541,700</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146,569,600</w:t>
            </w: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135,665 shares of common stock held at September 30, 2017 and March 31, 2017</w:t>
            </w:r>
          </w:p>
        </w:tc>
        <w:tc>
          <w:tcPr>
            <w:tcW w:w="24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(3,968,100)</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(3,968,100)</w:t>
            </w: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9"/>
              </w:rPr>
              <w:t>(149,261,000)</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(141,998,700)</w:t>
            </w: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4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(1,671,600)</w:t>
            </w:r>
          </w:p>
        </w:tc>
        <w:tc>
          <w:tcPr>
            <w:tcW w:w="24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615,800</w:t>
            </w: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2,617,500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3,712,200</w:t>
            </w: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dollars, except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20" w:type="dxa"/>
            <w:vAlign w:val="bottom"/>
          </w:tcPr>
          <w:p>
            <w:pPr>
              <w:spacing w:after="0"/>
              <w:rPr>
                <w:sz w:val="18"/>
                <w:szCs w:val="18"/>
                <w:color w:val="auto"/>
              </w:rPr>
            </w:pPr>
          </w:p>
        </w:tc>
        <w:tc>
          <w:tcPr>
            <w:tcW w:w="248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Six Months Ended September</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2016</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2,426,600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1,606,100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3,522,800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2,567,100</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1,493,600</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3,731,400</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2,631,200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4,993,700</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3,099,700</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7,254,200</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5,063,000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(4,993,700)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(3,099,700)</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(7,254,200)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(5,063,000)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(3,300)</w:t>
            </w: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(5,700)</w:t>
            </w: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(4,997,000)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(3,101,100)</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(7,259,900)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(5,065,800)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(4,997,000)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(3,101,100)</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(7,262,300)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(5,068,200)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dividend on Series B Preferred stock</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(256,300)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(241,000)</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(503,600)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(780,800)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Deemed dividend on Series B Preferred Units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(5,253,300)</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(3,342,100)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(7,765,900)</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(5,960,100)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attributable to common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stockholders per common share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(0.53)</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(0.82)</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used in computing basic</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and diluted net loss attributable to common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stockholders per common share</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9,892,016</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8,041,619</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9,465,459</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6,577,769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30"/>
        </w:trPr>
        <w:tc>
          <w:tcPr>
            <w:tcW w:w="8820" w:type="dxa"/>
            <w:vAlign w:val="bottom"/>
          </w:tcPr>
          <w:p>
            <w:pPr>
              <w:jc w:val="center"/>
              <w:ind w:left="2512"/>
              <w:spacing w:after="0"/>
              <w:rPr>
                <w:sz w:val="20"/>
                <w:szCs w:val="20"/>
                <w:color w:val="auto"/>
              </w:rPr>
            </w:pPr>
            <w:r>
              <w:rPr>
                <w:rFonts w:ascii="Times New Roman" w:cs="Times New Roman" w:eastAsia="Times New Roman" w:hAnsi="Times New Roman"/>
                <w:sz w:val="18"/>
                <w:szCs w:val="18"/>
                <w:b w:val="1"/>
                <w:bCs w:val="1"/>
                <w:color w:val="auto"/>
                <w:w w:val="96"/>
              </w:rPr>
              <w:t>VISTAGEN THERAPEUTICS, INC.</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8"/>
        </w:trPr>
        <w:tc>
          <w:tcPr>
            <w:tcW w:w="8820" w:type="dxa"/>
            <w:vAlign w:val="bottom"/>
          </w:tcPr>
          <w:p>
            <w:pPr>
              <w:jc w:val="center"/>
              <w:ind w:left="2532"/>
              <w:spacing w:after="0"/>
              <w:rPr>
                <w:sz w:val="20"/>
                <w:szCs w:val="20"/>
                <w:color w:val="auto"/>
              </w:rPr>
            </w:pPr>
            <w:r>
              <w:rPr>
                <w:rFonts w:ascii="Times New Roman" w:cs="Times New Roman" w:eastAsia="Times New Roman" w:hAnsi="Times New Roman"/>
                <w:sz w:val="18"/>
                <w:szCs w:val="18"/>
                <w:b w:val="1"/>
                <w:bCs w:val="1"/>
                <w:color w:val="auto"/>
                <w:w w:val="96"/>
              </w:rPr>
              <w:t>CONDENSED CONSOLIDATED STATEMENTS OF CASH FLOWS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8820" w:type="dxa"/>
            <w:vAlign w:val="bottom"/>
          </w:tcPr>
          <w:p>
            <w:pPr>
              <w:jc w:val="center"/>
              <w:ind w:left="2512"/>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8820" w:type="dxa"/>
            <w:vAlign w:val="bottom"/>
          </w:tcPr>
          <w:p>
            <w:pPr>
              <w:jc w:val="center"/>
              <w:ind w:left="2512"/>
              <w:spacing w:after="0"/>
              <w:rPr>
                <w:sz w:val="20"/>
                <w:szCs w:val="20"/>
                <w:color w:val="auto"/>
              </w:rPr>
            </w:pPr>
            <w:r>
              <w:rPr>
                <w:rFonts w:ascii="Times New Roman" w:cs="Times New Roman" w:eastAsia="Times New Roman" w:hAnsi="Times New Roman"/>
                <w:sz w:val="18"/>
                <w:szCs w:val="18"/>
                <w:b w:val="1"/>
                <w:bCs w:val="1"/>
                <w:color w:val="auto"/>
                <w:w w:val="97"/>
              </w:rPr>
              <w:t>(Amounts in Dollars)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8"/>
        </w:trPr>
        <w:tc>
          <w:tcPr>
            <w:tcW w:w="8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Six Months Ended September</w:t>
            </w:r>
          </w:p>
        </w:tc>
      </w:tr>
      <w:tr>
        <w:trPr>
          <w:trHeight w:val="239"/>
        </w:trPr>
        <w:tc>
          <w:tcPr>
            <w:tcW w:w="8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8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19"/>
                <w:szCs w:val="19"/>
                <w:color w:val="auto"/>
              </w:rPr>
            </w:pPr>
          </w:p>
        </w:tc>
      </w:tr>
      <w:tr>
        <w:trPr>
          <w:trHeight w:val="215"/>
        </w:trPr>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7"/>
        </w:trPr>
        <w:tc>
          <w:tcPr>
            <w:tcW w:w="8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(7,262,300)</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(5,068,200)</w:t>
            </w:r>
          </w:p>
        </w:tc>
      </w:tr>
      <w:tr>
        <w:trPr>
          <w:trHeight w:val="216"/>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697,600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306,700</w:t>
            </w:r>
          </w:p>
        </w:tc>
        <w:tc>
          <w:tcPr>
            <w:tcW w:w="140" w:type="dxa"/>
            <w:vAlign w:val="bottom"/>
          </w:tcPr>
          <w:p>
            <w:pPr>
              <w:spacing w:after="0"/>
              <w:rPr>
                <w:sz w:val="18"/>
                <w:szCs w:val="18"/>
                <w:color w:val="auto"/>
              </w:rPr>
            </w:pPr>
          </w:p>
        </w:tc>
      </w:tr>
      <w:tr>
        <w:trPr>
          <w:trHeight w:val="202"/>
        </w:trPr>
        <w:tc>
          <w:tcPr>
            <w:tcW w:w="8820" w:type="dxa"/>
            <w:vAlign w:val="bottom"/>
            <w:shd w:val="clear" w:color="auto" w:fill="CCEEFF"/>
          </w:tcPr>
          <w:p>
            <w:pPr>
              <w:ind w:left="380"/>
              <w:spacing w:after="0" w:line="201" w:lineRule="exact"/>
              <w:rPr>
                <w:sz w:val="20"/>
                <w:szCs w:val="20"/>
                <w:color w:val="auto"/>
              </w:rPr>
            </w:pPr>
            <w:r>
              <w:rPr>
                <w:rFonts w:ascii="Times New Roman" w:cs="Times New Roman" w:eastAsia="Times New Roman" w:hAnsi="Times New Roman"/>
                <w:sz w:val="18"/>
                <w:szCs w:val="18"/>
                <w:color w:val="auto"/>
              </w:rPr>
              <w:t>Expense related to modification of warrants, including exchange of warrants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8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 common stock</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279,700</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57,400</w:t>
            </w:r>
          </w:p>
        </w:tc>
        <w:tc>
          <w:tcPr>
            <w:tcW w:w="140" w:type="dxa"/>
            <w:vAlign w:val="bottom"/>
            <w:shd w:val="clear" w:color="auto" w:fill="CCEEFF"/>
          </w:tcPr>
          <w:p>
            <w:pPr>
              <w:spacing w:after="0"/>
              <w:rPr>
                <w:sz w:val="20"/>
                <w:szCs w:val="20"/>
                <w:color w:val="auto"/>
              </w:rPr>
            </w:pPr>
          </w:p>
        </w:tc>
      </w:tr>
      <w:tr>
        <w:trPr>
          <w:trHeight w:val="216"/>
        </w:trPr>
        <w:tc>
          <w:tcPr>
            <w:tcW w:w="8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Amortization of deferred rent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(18,100)</w:t>
            </w:r>
          </w:p>
        </w:tc>
      </w:tr>
      <w:tr>
        <w:trPr>
          <w:trHeight w:val="216"/>
        </w:trPr>
        <w:tc>
          <w:tcPr>
            <w:tcW w:w="8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Fair value of common stock granted for services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Fair value of Series B Preferred stock granted for services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Fair value of warrants granted for services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expenses, including accrued interest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(36,800)</w:t>
            </w:r>
          </w:p>
        </w:tc>
      </w:tr>
      <w:tr>
        <w:trPr>
          <w:trHeight w:val="27"/>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(4,009,900)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(3,873,100)</w:t>
            </w:r>
          </w:p>
        </w:tc>
      </w:tr>
      <w:tr>
        <w:trPr>
          <w:trHeight w:val="216"/>
        </w:trPr>
        <w:tc>
          <w:tcPr>
            <w:tcW w:w="88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 flows from property and investing activities: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equipment</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(7,700)</w:t>
            </w:r>
          </w:p>
        </w:tc>
      </w:tr>
      <w:tr>
        <w:trPr>
          <w:trHeight w:val="27"/>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8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(7,700)</w:t>
            </w:r>
          </w:p>
        </w:tc>
      </w:tr>
      <w:tr>
        <w:trPr>
          <w:trHeight w:val="216"/>
        </w:trPr>
        <w:tc>
          <w:tcPr>
            <w:tcW w:w="88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proceeds from issuance of common stock and warrants, including Units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2,947,700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9,537,100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proceeds from issuance of Series B Preferred Units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Repayment of capital lease obligations</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8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Repayment of notes payable</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(91,900)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(105,200)</w:t>
            </w:r>
          </w:p>
        </w:tc>
      </w:tr>
      <w:tr>
        <w:trPr>
          <w:trHeight w:val="223"/>
        </w:trPr>
        <w:tc>
          <w:tcPr>
            <w:tcW w:w="8820" w:type="dxa"/>
            <w:vAlign w:val="bottom"/>
            <w:tcBorders>
              <w:top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2,854,600</w:t>
            </w:r>
          </w:p>
        </w:tc>
        <w:tc>
          <w:tcPr>
            <w:tcW w:w="28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9,709,400</w:t>
            </w:r>
          </w:p>
        </w:tc>
        <w:tc>
          <w:tcPr>
            <w:tcW w:w="140" w:type="dxa"/>
            <w:vAlign w:val="bottom"/>
            <w:tcBorders>
              <w:top w:val="single" w:sz="8" w:color="CCEEFF"/>
            </w:tcBorders>
          </w:tcPr>
          <w:p>
            <w:pPr>
              <w:spacing w:after="0"/>
              <w:rPr>
                <w:sz w:val="19"/>
                <w:szCs w:val="19"/>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(1,156,900)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5,828,600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2,921,300</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428,500</w:t>
            </w:r>
          </w:p>
        </w:tc>
        <w:tc>
          <w:tcPr>
            <w:tcW w:w="140" w:type="dxa"/>
            <w:vAlign w:val="bottom"/>
          </w:tcPr>
          <w:p>
            <w:pPr>
              <w:spacing w:after="0"/>
              <w:rPr>
                <w:sz w:val="19"/>
                <w:szCs w:val="19"/>
                <w:color w:val="auto"/>
              </w:rPr>
            </w:pPr>
          </w:p>
        </w:tc>
      </w:tr>
      <w:tr>
        <w:trPr>
          <w:trHeight w:val="257"/>
        </w:trPr>
        <w:tc>
          <w:tcPr>
            <w:tcW w:w="8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1,764,400</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6,257,100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10"/>
        </w:trPr>
        <w:tc>
          <w:tcPr>
            <w:tcW w:w="8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Supplemental disclosure of noncash activities: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Insurance premiums settled by issuing note payable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142,400</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117,500</w:t>
            </w:r>
          </w:p>
        </w:tc>
        <w:tc>
          <w:tcPr>
            <w:tcW w:w="14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dividends on Series B Preferred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503,600</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780,800</w:t>
            </w:r>
          </w:p>
        </w:tc>
        <w:tc>
          <w:tcPr>
            <w:tcW w:w="14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158" w:name="page159"/>
    <w:bookmarkEnd w:id="1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VistaGen Therapeutics, Inc. (NASDAQ: VTGN), a Nevada corporation, is a clinical-stage biopharmaceutical company focused on developing new generation medicines for depression and other central nervous system (</w:t>
      </w:r>
      <w:r>
        <w:rPr>
          <w:rFonts w:ascii="Times New Roman" w:cs="Times New Roman" w:eastAsia="Times New Roman" w:hAnsi="Times New Roman"/>
          <w:sz w:val="18"/>
          <w:szCs w:val="18"/>
          <w:i w:val="1"/>
          <w:iCs w:val="1"/>
          <w:color w:val="auto"/>
        </w:rPr>
        <w:t>CNS</w:t>
      </w:r>
      <w:r>
        <w:rPr>
          <w:rFonts w:ascii="Times New Roman" w:cs="Times New Roman" w:eastAsia="Times New Roman" w:hAnsi="Times New Roman"/>
          <w:sz w:val="18"/>
          <w:szCs w:val="18"/>
          <w:color w:val="auto"/>
        </w:rPr>
        <w:t>) disorders.</w:t>
      </w:r>
    </w:p>
    <w:p>
      <w:pPr>
        <w:spacing w:after="0" w:line="17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AV-101 is our oral CNS product candidate in Phase 2 clinical development in the United States, initially as a new generation adjunctive treatment for Major Depressive Disorder (</w:t>
      </w:r>
      <w:r>
        <w:rPr>
          <w:rFonts w:ascii="Times New Roman" w:cs="Times New Roman" w:eastAsia="Times New Roman" w:hAnsi="Times New Roman"/>
          <w:sz w:val="18"/>
          <w:szCs w:val="18"/>
          <w:i w:val="1"/>
          <w:iCs w:val="1"/>
          <w:color w:val="auto"/>
        </w:rPr>
        <w:t>MDD</w:t>
      </w:r>
      <w:r>
        <w:rPr>
          <w:rFonts w:ascii="Times New Roman" w:cs="Times New Roman" w:eastAsia="Times New Roman" w:hAnsi="Times New Roman"/>
          <w:sz w:val="18"/>
          <w:szCs w:val="18"/>
          <w:color w:val="auto"/>
        </w:rPr>
        <w:t>) in patients with an inadequate response to standard antidepressants approved by the U.S. Food and Drug Administration (</w:t>
      </w:r>
      <w:r>
        <w:rPr>
          <w:rFonts w:ascii="Times New Roman" w:cs="Times New Roman" w:eastAsia="Times New Roman" w:hAnsi="Times New Roman"/>
          <w:sz w:val="18"/>
          <w:szCs w:val="18"/>
          <w:i w:val="1"/>
          <w:iCs w:val="1"/>
          <w:color w:val="auto"/>
        </w:rPr>
        <w:t>FDA</w:t>
      </w:r>
      <w:r>
        <w:rPr>
          <w:rFonts w:ascii="Times New Roman" w:cs="Times New Roman" w:eastAsia="Times New Roman" w:hAnsi="Times New Roman"/>
          <w:sz w:val="18"/>
          <w:szCs w:val="18"/>
          <w:color w:val="auto"/>
        </w:rPr>
        <w:t>). AV-101’s mechanism of action (</w:t>
      </w:r>
      <w:r>
        <w:rPr>
          <w:rFonts w:ascii="Times New Roman" w:cs="Times New Roman" w:eastAsia="Times New Roman" w:hAnsi="Times New Roman"/>
          <w:sz w:val="18"/>
          <w:szCs w:val="18"/>
          <w:i w:val="1"/>
          <w:iCs w:val="1"/>
          <w:color w:val="auto"/>
        </w:rPr>
        <w:t>MOA</w:t>
      </w:r>
      <w:r>
        <w:rPr>
          <w:rFonts w:ascii="Times New Roman" w:cs="Times New Roman" w:eastAsia="Times New Roman" w:hAnsi="Times New Roman"/>
          <w:sz w:val="18"/>
          <w:szCs w:val="18"/>
          <w:color w:val="auto"/>
        </w:rPr>
        <w:t xml:space="preserve">) involves both NMDA (N-methyl-D-aspartate) and AMPA (alpha-amino-3-hydroxy-5-methyl-4-isoxazolepropionic acid) receptors in the brain responsible for fast excitatory synaptic activity throughout the CNS. AV-101’s MOA is fundamentally differentiated from all FDA-approved antidepressants, as well as all atypical antipsychotics, such as aripiprazole, often used adjunctively to augment them. We believe AV-101 also has potential as a non-opioid treatment alternative for neuropathic pain, as well as several additional CNS indications </w:t>
      </w:r>
      <w:r>
        <w:rPr>
          <w:rFonts w:ascii="Times New Roman" w:cs="Times New Roman" w:eastAsia="Times New Roman" w:hAnsi="Times New Roman"/>
          <w:sz w:val="18"/>
          <w:szCs w:val="18"/>
          <w:color w:val="333333"/>
        </w:rPr>
        <w:t>where modulation of the NMDA receptors,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activation of AMPA pathways and/or key active metabolites of AV-101 may achieve therapeutic benefit</w:t>
      </w:r>
      <w:r>
        <w:rPr>
          <w:rFonts w:ascii="Times New Roman" w:cs="Times New Roman" w:eastAsia="Times New Roman" w:hAnsi="Times New Roman"/>
          <w:sz w:val="18"/>
          <w:szCs w:val="18"/>
          <w:color w:val="000000"/>
        </w:rPr>
        <w:t>, including Parkinson’s disease levodopa -induced</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dyskinesia (</w:t>
      </w:r>
      <w:r>
        <w:rPr>
          <w:rFonts w:ascii="Times New Roman" w:cs="Times New Roman" w:eastAsia="Times New Roman" w:hAnsi="Times New Roman"/>
          <w:sz w:val="18"/>
          <w:szCs w:val="18"/>
          <w:i w:val="1"/>
          <w:iCs w:val="1"/>
          <w:color w:val="000000"/>
        </w:rPr>
        <w:t>PD LID</w:t>
      </w:r>
      <w:r>
        <w:rPr>
          <w:rFonts w:ascii="Times New Roman" w:cs="Times New Roman" w:eastAsia="Times New Roman" w:hAnsi="Times New Roman"/>
          <w:sz w:val="18"/>
          <w:szCs w:val="18"/>
          <w:color w:val="000000"/>
        </w:rPr>
        <w:t>), epilepsy and Huntington’s disease.</w:t>
      </w:r>
    </w:p>
    <w:p>
      <w:pPr>
        <w:spacing w:after="0" w:line="19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Clinical studies conducted at the U.S. National Institute of Mental Health (</w:t>
      </w:r>
      <w:r>
        <w:rPr>
          <w:rFonts w:ascii="Times New Roman" w:cs="Times New Roman" w:eastAsia="Times New Roman" w:hAnsi="Times New Roman"/>
          <w:sz w:val="18"/>
          <w:szCs w:val="18"/>
          <w:i w:val="1"/>
          <w:iCs w:val="1"/>
          <w:color w:val="auto"/>
        </w:rPr>
        <w:t>NIMH</w:t>
      </w:r>
      <w:r>
        <w:rPr>
          <w:rFonts w:ascii="Times New Roman" w:cs="Times New Roman" w:eastAsia="Times New Roman" w:hAnsi="Times New Roman"/>
          <w:sz w:val="18"/>
          <w:szCs w:val="18"/>
          <w:color w:val="auto"/>
        </w:rPr>
        <w:t>), part of the U.S. National Institutes of Health (</w:t>
      </w:r>
      <w:r>
        <w:rPr>
          <w:rFonts w:ascii="Times New Roman" w:cs="Times New Roman" w:eastAsia="Times New Roman" w:hAnsi="Times New Roman"/>
          <w:sz w:val="18"/>
          <w:szCs w:val="18"/>
          <w:i w:val="1"/>
          <w:iCs w:val="1"/>
          <w:color w:val="auto"/>
        </w:rPr>
        <w:t>NIH</w:t>
      </w:r>
      <w:r>
        <w:rPr>
          <w:rFonts w:ascii="Times New Roman" w:cs="Times New Roman" w:eastAsia="Times New Roman" w:hAnsi="Times New Roman"/>
          <w:sz w:val="18"/>
          <w:szCs w:val="18"/>
          <w:color w:val="auto"/>
        </w:rPr>
        <w:t>), by Dr. Carlos Zarate, Jr., Chief of the NIMH’s Experimental Therapeutics &amp; Pathophysiology Branch and its Section on Neurobiology and Treatment of Mood and Anxiety Disorders, have focused on the antidepressant effects of ketamine hydrochloride injection (</w:t>
      </w:r>
      <w:r>
        <w:rPr>
          <w:rFonts w:ascii="Times New Roman" w:cs="Times New Roman" w:eastAsia="Times New Roman" w:hAnsi="Times New Roman"/>
          <w:sz w:val="18"/>
          <w:szCs w:val="18"/>
          <w:i w:val="1"/>
          <w:iCs w:val="1"/>
          <w:color w:val="auto"/>
        </w:rPr>
        <w:t>ketamine</w:t>
      </w:r>
      <w:r>
        <w:rPr>
          <w:rFonts w:ascii="Times New Roman" w:cs="Times New Roman" w:eastAsia="Times New Roman" w:hAnsi="Times New Roman"/>
          <w:sz w:val="18"/>
          <w:szCs w:val="18"/>
          <w:color w:val="auto"/>
        </w:rPr>
        <w:t>), an ion-channel blocking NMDA receptor antagonist approved by the FDA as an anesthetic, in MDD patients with inadequate therapeutic responses to multiple standard antidepressants. These NIMH studies, as well as clinical research at Yale University and other academic institutions, have demonstrated ketamine’s robust antidepressant effects in treatment-resistant MDD patients within twenty-four hours of a single sub-anesthetic dose administered by intravenous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infusion.</w:t>
      </w:r>
    </w:p>
    <w:p>
      <w:pPr>
        <w:spacing w:after="0" w:line="19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We believe AV-101 may have potential to deliver ketamine-like antidepressant effects without the need for IV administration and ketamine’s psychological and other negative side effects. As published in the October 2015 issue of the peer-reviewed </w:t>
      </w:r>
      <w:r>
        <w:rPr>
          <w:rFonts w:ascii="Times New Roman" w:cs="Times New Roman" w:eastAsia="Times New Roman" w:hAnsi="Times New Roman"/>
          <w:sz w:val="18"/>
          <w:szCs w:val="18"/>
          <w:i w:val="1"/>
          <w:iCs w:val="1"/>
          <w:color w:val="auto"/>
        </w:rPr>
        <w:t>Journal of Pharmacology and Experimental Therapeutics,</w:t>
      </w:r>
      <w:r>
        <w:rPr>
          <w:rFonts w:ascii="Times New Roman" w:cs="Times New Roman" w:eastAsia="Times New Roman" w:hAnsi="Times New Roman"/>
          <w:sz w:val="18"/>
          <w:szCs w:val="18"/>
          <w:color w:val="auto"/>
        </w:rPr>
        <w:t xml:space="preserve"> in an article titled, </w:t>
      </w:r>
      <w:r>
        <w:rPr>
          <w:rFonts w:ascii="Times New Roman" w:cs="Times New Roman" w:eastAsia="Times New Roman" w:hAnsi="Times New Roman"/>
          <w:sz w:val="18"/>
          <w:szCs w:val="18"/>
          <w:i w:val="1"/>
          <w:iCs w:val="1"/>
          <w:color w:val="auto"/>
        </w:rPr>
        <w:t>The prodrug 4-chlorokynurenine causes ketamine-like antidepressant effects, but not side effects, by NMDA/glycineB-site inhibition,</w:t>
      </w:r>
      <w:r>
        <w:rPr>
          <w:rFonts w:ascii="Times New Roman" w:cs="Times New Roman" w:eastAsia="Times New Roman" w:hAnsi="Times New Roman"/>
          <w:sz w:val="18"/>
          <w:szCs w:val="18"/>
          <w:color w:val="auto"/>
        </w:rPr>
        <w:t xml:space="preserve"> using well-established preclinical models of depression, AV-101 was shown to induce fast-acting, dose-dependent, persistent and 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both inhibiting the GlyB site of the NMDA receptor and activating the AMPA receptor pathway in the brain.</w:t>
      </w:r>
    </w:p>
    <w:p>
      <w:pPr>
        <w:spacing w:after="0" w:line="1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our Cooperative Research and Development Agreement (</w:t>
      </w:r>
      <w:r>
        <w:rPr>
          <w:rFonts w:ascii="Times New Roman" w:cs="Times New Roman" w:eastAsia="Times New Roman" w:hAnsi="Times New Roman"/>
          <w:sz w:val="18"/>
          <w:szCs w:val="18"/>
          <w:i w:val="1"/>
          <w:iCs w:val="1"/>
          <w:color w:val="auto"/>
        </w:rPr>
        <w:t>CRADA</w:t>
      </w:r>
      <w:r>
        <w:rPr>
          <w:rFonts w:ascii="Times New Roman" w:cs="Times New Roman" w:eastAsia="Times New Roman" w:hAnsi="Times New Roman"/>
          <w:sz w:val="18"/>
          <w:szCs w:val="18"/>
          <w:color w:val="auto"/>
        </w:rPr>
        <w:t xml:space="preserve">) with the NIMH, the NIMH is currently funding, and Dr. Zarate, as Principal Investigator, and his team are currently conducting, a small Phase 2 clinical study of AV-101 as a monotherapy in adult subjects with treatment-resistant MDD (the </w:t>
      </w:r>
      <w:r>
        <w:rPr>
          <w:rFonts w:ascii="Times New Roman" w:cs="Times New Roman" w:eastAsia="Times New Roman" w:hAnsi="Times New Roman"/>
          <w:sz w:val="18"/>
          <w:szCs w:val="18"/>
          <w:i w:val="1"/>
          <w:iCs w:val="1"/>
          <w:color w:val="auto"/>
        </w:rPr>
        <w:t>NIMH AV-101 MDD Phase 2 Monotherapy Study</w:t>
      </w:r>
      <w:r>
        <w:rPr>
          <w:rFonts w:ascii="Times New Roman" w:cs="Times New Roman" w:eastAsia="Times New Roman" w:hAnsi="Times New Roman"/>
          <w:sz w:val="18"/>
          <w:szCs w:val="18"/>
          <w:color w:val="auto"/>
        </w:rPr>
        <w:t xml:space="preserve">). In October 2017, we received FDA authorization to launch our 180-patient Phase 2 multi-center, multi-dose, double blind, placebo-controlled efficacy and safety study of AV-101 as a new generation adjunctive treatment of MDD in adult patients with an inadequate therapeutic response to standard, FDA-approved antidepressants (the </w:t>
      </w:r>
      <w:r>
        <w:rPr>
          <w:rFonts w:ascii="Times New Roman" w:cs="Times New Roman" w:eastAsia="Times New Roman" w:hAnsi="Times New Roman"/>
          <w:sz w:val="18"/>
          <w:szCs w:val="18"/>
          <w:i w:val="1"/>
          <w:iCs w:val="1"/>
          <w:color w:val="auto"/>
        </w:rPr>
        <w:t>AV-101 MDD Phase 2 Adjunctive Treatment Study</w:t>
      </w:r>
      <w:r>
        <w:rPr>
          <w:rFonts w:ascii="Times New Roman" w:cs="Times New Roman" w:eastAsia="Times New Roman" w:hAnsi="Times New Roman"/>
          <w:sz w:val="18"/>
          <w:szCs w:val="18"/>
          <w:color w:val="auto"/>
        </w:rPr>
        <w:t>). Subject to obtaining sufficient financing, we intend to launch the AV-101 MDD Phase 2 Adjunctive Treatment Study in the first quarter of 2018, with Dr. Maurizio Fava, Professor of Psychiatry at Harvard Medical School and Director, Division of Clinical Research, Massachusetts General Hospital (</w:t>
      </w:r>
      <w:r>
        <w:rPr>
          <w:rFonts w:ascii="Times New Roman" w:cs="Times New Roman" w:eastAsia="Times New Roman" w:hAnsi="Times New Roman"/>
          <w:sz w:val="18"/>
          <w:szCs w:val="18"/>
          <w:i w:val="1"/>
          <w:iCs w:val="1"/>
          <w:color w:val="auto"/>
        </w:rPr>
        <w:t>MGH</w:t>
      </w:r>
      <w:r>
        <w:rPr>
          <w:rFonts w:ascii="Times New Roman" w:cs="Times New Roman" w:eastAsia="Times New Roman" w:hAnsi="Times New Roman"/>
          <w:sz w:val="18"/>
          <w:szCs w:val="18"/>
          <w:color w:val="auto"/>
        </w:rPr>
        <w:t xml:space="preserve">) Research Institute, as Principal Investigator. Dr. Fava was the co-Principal Investigator with Dr. A. John Rush of the STAR*D study, the largest clinical trial conducted in depression to date, whose findings were published in journals such as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NEJM</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Journal of the American Medical Association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JAMA</w:t>
      </w:r>
      <w:r>
        <w:rPr>
          <w:rFonts w:ascii="Times New Roman" w:cs="Times New Roman" w:eastAsia="Times New Roman" w:hAnsi="Times New Roman"/>
          <w:sz w:val="18"/>
          <w:szCs w:val="18"/>
          <w:color w:val="auto"/>
        </w:rPr>
        <w:t>). We expect to complete this study by the end of 2018, with top line results available in the first quarter of 2019.</w:t>
      </w:r>
    </w:p>
    <w:p>
      <w:pPr>
        <w:spacing w:after="0" w:line="195"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6"/>
          <w:szCs w:val="16"/>
          <w:color w:val="auto"/>
        </w:rPr>
        <w:t>VistaStem Therapeutics (</w:t>
      </w:r>
      <w:r>
        <w:rPr>
          <w:rFonts w:ascii="Times New Roman" w:cs="Times New Roman" w:eastAsia="Times New Roman" w:hAnsi="Times New Roman"/>
          <w:sz w:val="16"/>
          <w:szCs w:val="16"/>
          <w:i w:val="1"/>
          <w:iCs w:val="1"/>
          <w:color w:val="auto"/>
        </w:rPr>
        <w:t>VistaStem</w:t>
      </w:r>
      <w:r>
        <w:rPr>
          <w:rFonts w:ascii="Times New Roman" w:cs="Times New Roman" w:eastAsia="Times New Roman" w:hAnsi="Times New Roman"/>
          <w:sz w:val="16"/>
          <w:szCs w:val="16"/>
          <w:color w:val="auto"/>
        </w:rPr>
        <w:t>) is our wholly owned subsidiary focused on applying human pluripotent stem cell (</w:t>
      </w:r>
      <w:r>
        <w:rPr>
          <w:rFonts w:ascii="Times New Roman" w:cs="Times New Roman" w:eastAsia="Times New Roman" w:hAnsi="Times New Roman"/>
          <w:sz w:val="16"/>
          <w:szCs w:val="16"/>
          <w:i w:val="1"/>
          <w:iCs w:val="1"/>
          <w:color w:val="auto"/>
        </w:rPr>
        <w:t>hPSC</w:t>
      </w:r>
      <w:r>
        <w:rPr>
          <w:rFonts w:ascii="Times New Roman" w:cs="Times New Roman" w:eastAsia="Times New Roman" w:hAnsi="Times New Roman"/>
          <w:sz w:val="16"/>
          <w:szCs w:val="16"/>
          <w:color w:val="auto"/>
        </w:rPr>
        <w:t>) technology to discover, rescue, develop and commercialize (i) proprietary new chemical entities (</w:t>
      </w:r>
      <w:r>
        <w:rPr>
          <w:rFonts w:ascii="Times New Roman" w:cs="Times New Roman" w:eastAsia="Times New Roman" w:hAnsi="Times New Roman"/>
          <w:sz w:val="16"/>
          <w:szCs w:val="16"/>
          <w:i w:val="1"/>
          <w:iCs w:val="1"/>
          <w:color w:val="auto"/>
        </w:rPr>
        <w:t>NCEs</w:t>
      </w:r>
      <w:r>
        <w:rPr>
          <w:rFonts w:ascii="Times New Roman" w:cs="Times New Roman" w:eastAsia="Times New Roman" w:hAnsi="Times New Roman"/>
          <w:sz w:val="16"/>
          <w:szCs w:val="16"/>
          <w:color w:val="auto"/>
        </w:rPr>
        <w:t>) for CNS and other diseases and (ii) regenerative medicine (</w:t>
      </w:r>
      <w:r>
        <w:rPr>
          <w:rFonts w:ascii="Times New Roman" w:cs="Times New Roman" w:eastAsia="Times New Roman" w:hAnsi="Times New Roman"/>
          <w:sz w:val="16"/>
          <w:szCs w:val="16"/>
          <w:i w:val="1"/>
          <w:iCs w:val="1"/>
          <w:color w:val="auto"/>
        </w:rPr>
        <w:t>RM</w:t>
      </w:r>
      <w:r>
        <w:rPr>
          <w:rFonts w:ascii="Times New Roman" w:cs="Times New Roman" w:eastAsia="Times New Roman" w:hAnsi="Times New Roman"/>
          <w:sz w:val="16"/>
          <w:szCs w:val="16"/>
          <w:color w:val="auto"/>
        </w:rPr>
        <w:t xml:space="preserve">) involving hPSC-derived blood, cartilage, heart and liver cells. Our internal drug rescue programs are designed to utilize </w:t>
      </w:r>
      <w:r>
        <w:rPr>
          <w:rFonts w:ascii="Times New Roman" w:cs="Times New Roman" w:eastAsia="Times New Roman" w:hAnsi="Times New Roman"/>
          <w:sz w:val="16"/>
          <w:szCs w:val="16"/>
          <w:i w:val="1"/>
          <w:iCs w:val="1"/>
          <w:color w:val="auto"/>
        </w:rPr>
        <w:t>CardioSafe 3D</w:t>
      </w:r>
      <w:r>
        <w:rPr>
          <w:rFonts w:ascii="Times New Roman" w:cs="Times New Roman" w:eastAsia="Times New Roman" w:hAnsi="Times New Roman"/>
          <w:sz w:val="16"/>
          <w:szCs w:val="16"/>
          <w:color w:val="auto"/>
        </w:rPr>
        <w:t>, our customized cardiac bioassay system, to develop small molecule NCEs for our pipeline. To advance potential RM applications of our cardiac stem cell technology, in December 2016, we exclusively sublicensed to BlueRock Therapeutics LP, a next generation RM company established by Bayer AG and Versant Ventures (</w:t>
      </w:r>
      <w:r>
        <w:rPr>
          <w:rFonts w:ascii="Times New Roman" w:cs="Times New Roman" w:eastAsia="Times New Roman" w:hAnsi="Times New Roman"/>
          <w:sz w:val="16"/>
          <w:szCs w:val="16"/>
          <w:i w:val="1"/>
          <w:iCs w:val="1"/>
          <w:color w:val="auto"/>
        </w:rPr>
        <w:t>BlueRock Therapeutics</w:t>
      </w:r>
      <w:r>
        <w:rPr>
          <w:rFonts w:ascii="Times New Roman" w:cs="Times New Roman" w:eastAsia="Times New Roman" w:hAnsi="Times New Roman"/>
          <w:sz w:val="16"/>
          <w:szCs w:val="16"/>
          <w:color w:val="auto"/>
        </w:rPr>
        <w:t xml:space="preserve">), rights to certain proprietary technologies relating to the production of cardiac stem cells for the treatment of heart disease (the </w:t>
      </w:r>
      <w:r>
        <w:rPr>
          <w:rFonts w:ascii="Times New Roman" w:cs="Times New Roman" w:eastAsia="Times New Roman" w:hAnsi="Times New Roman"/>
          <w:sz w:val="16"/>
          <w:szCs w:val="16"/>
          <w:i w:val="1"/>
          <w:iCs w:val="1"/>
          <w:color w:val="auto"/>
        </w:rPr>
        <w:t>BlueRock Agreement</w:t>
      </w:r>
      <w:r>
        <w:rPr>
          <w:rFonts w:ascii="Times New Roman" w:cs="Times New Roman" w:eastAsia="Times New Roman" w:hAnsi="Times New Roman"/>
          <w:sz w:val="16"/>
          <w:szCs w:val="16"/>
          <w:color w:val="auto"/>
        </w:rPr>
        <w:t>). In a manner similar to our exclusive sublicense agreement with BlueRock Therapeutics, we may pursue additional RM collaborations or licensing transactions involving blood, cartilage, and/or liver cells derived from hPSCs for (A) cell-based therapy, (B) cell repair therapy, and/or (C) tissue engineering.</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56" w:right="2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25" w:lineRule="exact"/>
        <w:rPr>
          <w:sz w:val="20"/>
          <w:szCs w:val="20"/>
          <w:color w:val="auto"/>
        </w:rPr>
      </w:pPr>
    </w:p>
    <w:p>
      <w:pPr>
        <w:jc w:val="both"/>
        <w:ind w:right="140"/>
        <w:spacing w:after="0" w:line="264" w:lineRule="auto"/>
        <w:rPr>
          <w:sz w:val="20"/>
          <w:szCs w:val="20"/>
          <w:color w:val="auto"/>
        </w:rPr>
      </w:pPr>
      <w:r>
        <w:rPr>
          <w:rFonts w:ascii="Times New Roman" w:cs="Times New Roman" w:eastAsia="Times New Roman" w:hAnsi="Times New Roman"/>
          <w:sz w:val="18"/>
          <w:szCs w:val="18"/>
          <w:color w:val="auto"/>
        </w:rPr>
        <w:t>As noted above, VistaStem is our wholly-owned subsidiary. Our Condensed Consolidated Financial Statements in this Quarterly Report on Form 10-Q (</w:t>
      </w:r>
      <w:r>
        <w:rPr>
          <w:rFonts w:ascii="Times New Roman" w:cs="Times New Roman" w:eastAsia="Times New Roman" w:hAnsi="Times New Roman"/>
          <w:sz w:val="18"/>
          <w:szCs w:val="18"/>
          <w:i w:val="1"/>
          <w:iCs w:val="1"/>
          <w:color w:val="auto"/>
        </w:rPr>
        <w:t>Report</w:t>
      </w:r>
      <w:r>
        <w:rPr>
          <w:rFonts w:ascii="Times New Roman" w:cs="Times New Roman" w:eastAsia="Times New Roman" w:hAnsi="Times New Roman"/>
          <w:sz w:val="18"/>
          <w:szCs w:val="18"/>
          <w:color w:val="auto"/>
        </w:rPr>
        <w:t>) also include the accounts of VistaStem’s two wholly-owned inactive subsidiaries, Artemis Neuroscience, Inc., a Maryland corporation, and VistaStem Canada, Inc., a corporation organized under the laws of Ontario, Canada.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2017 has been derived from our audited consolidated financial statements at that date but does not include all disclosures required by U.S. GAAP. The operating results for the three and six months ended September 30, 2107 are not necessarily indicative of the operating results to be expected for our fiscal year ending March 31, 2018, or for any other future interim or other period.</w:t>
      </w:r>
    </w:p>
    <w:p>
      <w:pPr>
        <w:spacing w:after="0" w:line="19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notes to Condensed Consolidated Financial Statements should be read in conjunction with our audited Consolidated Financial Statements for our fiscal year ended March 31, 2017 contained in our Annual Report on Form 10-K, as filed with the Securities and Exchange Commission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June 29, 2017.</w:t>
      </w:r>
    </w:p>
    <w:p>
      <w:pPr>
        <w:spacing w:after="0" w:line="18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The accompanying unaudited Condensed Consolidated Financial Statements have been prepared assuming we will continue as a going concern. As a company having not yet developed commercial products or achieved sustainable revenues, we have experienced recurring losses and negative cash flows from operations resulting in a deficit of $149.3 million accumulated from inception (May 1998) through September 30, 2017. We expect losses and negative cash flows from operations to continue for the foreseeable future as we engage in further development of AV-101, initially as an adjunctive treatment for MDD, and subsequently as a new treatment alternative for other CNS-related conditions, as well as exploring and potentially executing drug rescue and development opportunities using </w:t>
      </w:r>
      <w:r>
        <w:rPr>
          <w:rFonts w:ascii="Times New Roman" w:cs="Times New Roman" w:eastAsia="Times New Roman" w:hAnsi="Times New Roman"/>
          <w:sz w:val="18"/>
          <w:szCs w:val="18"/>
          <w:i w:val="1"/>
          <w:iCs w:val="1"/>
          <w:color w:val="auto"/>
        </w:rPr>
        <w:t xml:space="preserve">CardioSafe </w:t>
      </w:r>
      <w:r>
        <w:rPr>
          <w:rFonts w:ascii="Times New Roman" w:cs="Times New Roman" w:eastAsia="Times New Roman" w:hAnsi="Times New Roman"/>
          <w:sz w:val="18"/>
          <w:szCs w:val="18"/>
          <w:color w:val="auto"/>
        </w:rPr>
        <w:t>3D, and potential RM programs related to VistaStem’s technology platform.</w:t>
      </w:r>
    </w:p>
    <w:p>
      <w:pPr>
        <w:spacing w:after="0" w:line="19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From our inception through September 30, 2017, we have financed our operations and technology acquisitions primarily through the issuance and sale of our equity and debt securities for cash proceeds of approximately $47.6 million, as well as from an aggregate of approximately $17.6 million of government research grant awards, strategic collaboration payments, intellectual property sublicensing and other revenues. We have also issued equity securities with an approximate value at issuance of $32.3 million in non-cash settlements of certain liabilities, including liabilities for professional services rendered to us or as compensation for such services. Additionally, pursuant to our February 2015 Cooperative Research and Development Agreement (</w:t>
      </w:r>
      <w:r>
        <w:rPr>
          <w:rFonts w:ascii="Times New Roman" w:cs="Times New Roman" w:eastAsia="Times New Roman" w:hAnsi="Times New Roman"/>
          <w:sz w:val="18"/>
          <w:szCs w:val="18"/>
          <w:i w:val="1"/>
          <w:iCs w:val="1"/>
          <w:color w:val="auto"/>
        </w:rPr>
        <w:t>CRADA)</w:t>
      </w:r>
      <w:r>
        <w:rPr>
          <w:rFonts w:ascii="Times New Roman" w:cs="Times New Roman" w:eastAsia="Times New Roman" w:hAnsi="Times New Roman"/>
          <w:sz w:val="18"/>
          <w:szCs w:val="18"/>
          <w:color w:val="auto"/>
        </w:rPr>
        <w:t xml:space="preserve"> with the NIH, substantial ongoing Phase 2 clinical development activities relating to AV-101 as a potential new generation antidepressant are being sponsored in full, at no cost to us other than supplying clinical trial material, by the NIMH under the direction of Dr. Carlos Zarate Jr. as Principal Investigator.</w:t>
      </w:r>
    </w:p>
    <w:p>
      <w:pPr>
        <w:spacing w:after="0" w:line="195"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6"/>
          <w:szCs w:val="16"/>
          <w:color w:val="auto"/>
        </w:rPr>
        <w:t>At September 30, 2017, we had a cash and cash equivalents balance of $1.76 million. This amount was not sufficient to enable us to fund our planned operations, including expected cash expenditures of approximately $12 million for the twelve months following the issuance of these financial statements, including expenditures required to launch and satisfy a portion of the projected expenses associated with our proposed AV-101 MDD Phase 2 Adjunctive Treatment Study.</w:t>
      </w:r>
    </w:p>
    <w:p>
      <w:pPr>
        <w:spacing w:after="0" w:line="1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Our limited cash position at September 30, 2017 considered with our recurring and anticipated losses and negative cash flows from operations make it probable, in the absence of additional financing, that we will not be able to meet our obligations as they come due within one year from the date of this Report, raising substantial doubt that we can continue as a going concern. However, to alleviate that doubt, we plan, as we have numerous times in the past, to raise additional financing when and as needed, primarily through the sale of our equity securities in one or more private placements to accredited investors or public offerings. In September 2017, we completed a firm commitment underwritten public offering pursuant to which we offered and sold shares of our common stock and warrants to two of our existing institutional investors, resulting in gross proceeds of approximately $2.4 million under our Registration Statement on Form S-3 (Registration No. 333-215671) (the </w:t>
      </w:r>
      <w:r>
        <w:rPr>
          <w:rFonts w:ascii="Times New Roman" w:cs="Times New Roman" w:eastAsia="Times New Roman" w:hAnsi="Times New Roman"/>
          <w:sz w:val="18"/>
          <w:szCs w:val="18"/>
          <w:i w:val="1"/>
          <w:iCs w:val="1"/>
          <w:color w:val="auto"/>
        </w:rPr>
        <w:t>S-3 Registration Statement</w:t>
      </w:r>
      <w:r>
        <w:rPr>
          <w:rFonts w:ascii="Times New Roman" w:cs="Times New Roman" w:eastAsia="Times New Roman" w:hAnsi="Times New Roman"/>
          <w:sz w:val="18"/>
          <w:szCs w:val="18"/>
          <w:color w:val="auto"/>
        </w:rPr>
        <w:t xml:space="preserve">) that had been previously declared effective by the Securities and Exchange Commission (the </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to cover potential future sales of our equity securities in one or more public offerings from time to time. (See Note 7,</w:t>
      </w:r>
      <w:r>
        <w:rPr>
          <w:rFonts w:ascii="Times New Roman" w:cs="Times New Roman" w:eastAsia="Times New Roman" w:hAnsi="Times New Roman"/>
          <w:sz w:val="18"/>
          <w:szCs w:val="18"/>
          <w:i w:val="1"/>
          <w:iCs w:val="1"/>
          <w:color w:val="auto"/>
        </w:rPr>
        <w:t xml:space="preserve"> Capital Stock</w:t>
      </w:r>
      <w:r>
        <w:rPr>
          <w:rFonts w:ascii="Times New Roman" w:cs="Times New Roman" w:eastAsia="Times New Roman" w:hAnsi="Times New Roman"/>
          <w:sz w:val="18"/>
          <w:szCs w:val="18"/>
          <w:color w:val="auto"/>
        </w:rPr>
        <w:t>,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regarding the September 2017 Public Offering.) While we may make additional sales of our equity securities under the S-3 Registration Statement, we do not have an obligation to do so.</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55" w:right="279" w:bottom="1440" w:gutter="0" w:footer="0" w:header="0"/>
        </w:sectPr>
      </w:pPr>
    </w:p>
    <w:bookmarkStart w:id="160" w:name="page161"/>
    <w:bookmarkEnd w:id="160"/>
    <w:p>
      <w:pPr>
        <w:ind w:right="100"/>
        <w:spacing w:after="0" w:line="254" w:lineRule="auto"/>
        <w:rPr>
          <w:sz w:val="20"/>
          <w:szCs w:val="20"/>
          <w:color w:val="auto"/>
        </w:rPr>
      </w:pPr>
      <w:r>
        <w:rPr>
          <w:rFonts w:ascii="Times New Roman" w:cs="Times New Roman" w:eastAsia="Times New Roman" w:hAnsi="Times New Roman"/>
          <w:sz w:val="18"/>
          <w:szCs w:val="18"/>
          <w:color w:val="auto"/>
        </w:rPr>
        <w:t>Additionally, in September 2017, to facilitate potential future issuances and sales of our equity securities for ordinary corporate finance and general corporate purposes and as recommended by our Board of Directors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xml:space="preserve">), our stockholders approved an amendment to our Restated and Amended Articles of Incorporation to increase the number of shares of common stock available for issuance thereunder from 30 million shares to 100 million shares, an amount our Board determined is customary and appropriate for a NASDAQ-listed, clinical-stage biopharmaceutical company. Following that approval, in October 2017, we filed a Registration Statement on Form S-1 (Registration No. 333-221009) (the </w:t>
      </w:r>
      <w:r>
        <w:rPr>
          <w:rFonts w:ascii="Times New Roman" w:cs="Times New Roman" w:eastAsia="Times New Roman" w:hAnsi="Times New Roman"/>
          <w:sz w:val="18"/>
          <w:szCs w:val="18"/>
          <w:i w:val="1"/>
          <w:iCs w:val="1"/>
          <w:color w:val="auto"/>
        </w:rPr>
        <w:t>S-1 Registration Statement</w:t>
      </w:r>
      <w:r>
        <w:rPr>
          <w:rFonts w:ascii="Times New Roman" w:cs="Times New Roman" w:eastAsia="Times New Roman" w:hAnsi="Times New Roman"/>
          <w:sz w:val="18"/>
          <w:szCs w:val="18"/>
          <w:color w:val="auto"/>
        </w:rPr>
        <w:t>) pursuant to which we anticipate completing an offering of our equity securities with proceeds sufficient to enable the launch and completion of the AV-101 MDD Phase 2 Adjunctive Treatment Study and fund our internal operations for at least the next twelve months. There can be no assurance, however, that we will achieve effectiveness of the S-1 Registration Statement or successfully complete an offering thereunder.</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the sale of our equity securities, we may also seek to enter research and development collaborations that could generate revenue or provide substantial funding for development of AV-101 and additional product candidates. We may also seek additional government grant awards or agreements similar to our current CRADA with the NIMH, which provides for the NIMH to fully fund the NIMH AV-101 MDD Phase 2 Monotherapy Study. Such strategic collaborations may provide non-dilutive resources to advance our strategic initiatives while reducing a portion of our future cash outlays and working capital requirements. In a manner similar to the BlueRock Agreement, we may also pursue similar arrangements with third-parties covering other of our intellectual property. Although we may seek additional collaborations with the U.S. government or other third-parties that could generate revenue and/or non-dilutive funding for development of AV-101 and other product candidates and technologies, as well as new government grant awards and/or agreements similar to our CRADA with NIMH, no assurance can be provided that any such collaborations, awards or agreements will occur in the future.</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AV-101, initially as an adjunctive treatment for MDD, and for other potential CNS conditions, as well as various potential applications of our stem cell technology platform, the availability of, and our ability to obtain, government grant awards and agreements, and our ability to enter into collaborations on terms acceptable to us. To further advance the clinical development of AV-101 and opportunities related to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public company compliance and other professional services and operating costs.</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Notwithstanding the foregoing, there can be no assurance that future financing will be available in sufficient amounts, in a timely manner, or on terms acceptable to us, if at all. If we are unable to obtain substantial additional financing on a timely basis when needed later in 2017 and beyond,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these Condensed Consolidated Financial Statements do not include any adjustments that might result from the negative outcome of this uncertainty.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share-based compensation, and assumptions that have been used historically to value warrants and warrant modifications. With the exception of the $1.25 million of sublicense revenue recorded in the quarter ended December 31, 2016 under the BlueRock Agreement, we do not currently have, nor have we had during the periods covered by this report, any arrangements requiring the recognition of revenue.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are composed of both internal and external costs. Internal costs include salaries and employment-related expenses of our scientific personnel and direct project costs. External research and development expenses consist primarily of costs associated with nonclinical and clinical development of AV-101, now in Phase 2 clinical development, initially for MDD, stem cell technology-related research and development costs, and costs related to the filing, maintenance and prosecution of patents and patent applications, technology licenses and protection of other intellectual property. All such costs are charged to expense as incurred.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recognize compensation cost for all stock-based awards to employees or consultants based on the grant date fair value of the award. Non-cash stock-based compensation expense is recognized over the period during which the employee or consultant is required to perform services in exchange for the award, which generally represents the scheduled vesting period. We have no awards with market or performance conditions. For equity awards to non-employees, we re-measure the fair value of the awards as they vest and the resulting change in value is recognized as an expense during the period over which the services are performed.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161" w:name="page162"/>
    <w:bookmarkEnd w:id="161"/>
    <w:p>
      <w:pPr>
        <w:ind w:right="840"/>
        <w:spacing w:after="0" w:line="275" w:lineRule="auto"/>
        <w:rPr>
          <w:sz w:val="20"/>
          <w:szCs w:val="20"/>
          <w:color w:val="auto"/>
        </w:rPr>
      </w:pPr>
      <w:r>
        <w:rPr>
          <w:rFonts w:ascii="Times New Roman" w:cs="Times New Roman" w:eastAsia="Times New Roman" w:hAnsi="Times New Roman"/>
          <w:sz w:val="18"/>
          <w:szCs w:val="18"/>
          <w:color w:val="auto"/>
        </w:rPr>
        <w:t>The table below summarizes stock-based compensation expense included in the accompanying Condensed Consolidated Statements of Operations and Comprehensive Loss for the three and six months ended September 30, 2017 and 2016.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4"/>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r>
      <w:tr>
        <w:trPr>
          <w:trHeight w:val="239"/>
        </w:trPr>
        <w:tc>
          <w:tcPr>
            <w:tcW w:w="6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23"/>
        </w:trPr>
        <w:tc>
          <w:tcPr>
            <w:tcW w:w="60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88"/>
              </w:rPr>
              <w:t>2016</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19"/>
                <w:szCs w:val="19"/>
                <w:color w:val="auto"/>
              </w:rPr>
            </w:pPr>
          </w:p>
        </w:tc>
      </w:tr>
      <w:tr>
        <w:trPr>
          <w:trHeight w:val="431"/>
        </w:trPr>
        <w:tc>
          <w:tcPr>
            <w:tcW w:w="6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4"/>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 grants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136,900</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82,000</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328,300</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126,000</w:t>
            </w:r>
          </w:p>
        </w:tc>
        <w:tc>
          <w:tcPr>
            <w:tcW w:w="140" w:type="dxa"/>
            <w:vAlign w:val="bottom"/>
            <w:shd w:val="clear" w:color="auto" w:fill="CCEEFF"/>
          </w:tcPr>
          <w:p>
            <w:pPr>
              <w:spacing w:after="0"/>
              <w:rPr>
                <w:sz w:val="19"/>
                <w:szCs w:val="19"/>
                <w:color w:val="auto"/>
              </w:rPr>
            </w:pPr>
          </w:p>
        </w:tc>
      </w:tr>
      <w:tr>
        <w:trPr>
          <w:trHeight w:val="223"/>
        </w:trPr>
        <w:tc>
          <w:tcPr>
            <w:tcW w:w="608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136,900</w:t>
            </w:r>
          </w:p>
        </w:tc>
        <w:tc>
          <w:tcPr>
            <w:tcW w:w="260" w:type="dxa"/>
            <w:vAlign w:val="bottom"/>
            <w:tcBorders>
              <w:top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82,000</w:t>
            </w:r>
          </w:p>
        </w:tc>
        <w:tc>
          <w:tcPr>
            <w:tcW w:w="26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328,300</w:t>
            </w:r>
          </w:p>
        </w:tc>
        <w:tc>
          <w:tcPr>
            <w:tcW w:w="2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126,000</w:t>
            </w:r>
          </w:p>
        </w:tc>
        <w:tc>
          <w:tcPr>
            <w:tcW w:w="140" w:type="dxa"/>
            <w:vAlign w:val="bottom"/>
            <w:tcBorders>
              <w:top w:val="single" w:sz="8" w:color="CCEEFF"/>
            </w:tcBorders>
          </w:tcPr>
          <w:p>
            <w:pPr>
              <w:spacing w:after="0"/>
              <w:rPr>
                <w:sz w:val="19"/>
                <w:szCs w:val="19"/>
                <w:color w:val="auto"/>
              </w:rPr>
            </w:pPr>
          </w:p>
        </w:tc>
      </w:tr>
      <w:tr>
        <w:trPr>
          <w:trHeight w:val="216"/>
        </w:trPr>
        <w:tc>
          <w:tcPr>
            <w:tcW w:w="6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grants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193,700</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116,800</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369,300</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180,700</w:t>
            </w:r>
          </w:p>
        </w:tc>
        <w:tc>
          <w:tcPr>
            <w:tcW w:w="140" w:type="dxa"/>
            <w:vAlign w:val="bottom"/>
          </w:tcPr>
          <w:p>
            <w:pPr>
              <w:spacing w:after="0"/>
              <w:rPr>
                <w:sz w:val="19"/>
                <w:szCs w:val="19"/>
                <w:color w:val="auto"/>
              </w:rPr>
            </w:pPr>
          </w:p>
        </w:tc>
      </w:tr>
      <w:tr>
        <w:trPr>
          <w:trHeight w:val="223"/>
        </w:trPr>
        <w:tc>
          <w:tcPr>
            <w:tcW w:w="60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193,700</w:t>
            </w:r>
          </w:p>
        </w:tc>
        <w:tc>
          <w:tcPr>
            <w:tcW w:w="2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116,800</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330,600</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198,800</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697,600</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306,700</w:t>
            </w:r>
          </w:p>
        </w:tc>
        <w:tc>
          <w:tcPr>
            <w:tcW w:w="140" w:type="dxa"/>
            <w:vAlign w:val="bottom"/>
          </w:tcPr>
          <w:p>
            <w:pPr>
              <w:spacing w:after="0"/>
              <w:rPr>
                <w:sz w:val="18"/>
                <w:szCs w:val="18"/>
                <w:color w:val="auto"/>
              </w:rPr>
            </w:pPr>
          </w:p>
        </w:tc>
      </w:tr>
      <w:tr>
        <w:trPr>
          <w:trHeight w:val="21"/>
        </w:trPr>
        <w:tc>
          <w:tcPr>
            <w:tcW w:w="6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In April 2017, our Board approved the grant of options to purchase an aggregate of 880,000 shares of our common stock at an exercise price of $1.96 per share to the independent members of our Board, our officers and our employees. In September 2017, our stockholders approved an amendment to our 2016 Amended and Restated Stock Incentive Plan (the </w:t>
      </w:r>
      <w:r>
        <w:rPr>
          <w:rFonts w:ascii="Times New Roman" w:cs="Times New Roman" w:eastAsia="Times New Roman" w:hAnsi="Times New Roman"/>
          <w:sz w:val="18"/>
          <w:szCs w:val="18"/>
          <w:i w:val="1"/>
          <w:iCs w:val="1"/>
          <w:color w:val="auto"/>
        </w:rPr>
        <w:t>2016 Plan</w:t>
      </w:r>
      <w:r>
        <w:rPr>
          <w:rFonts w:ascii="Times New Roman" w:cs="Times New Roman" w:eastAsia="Times New Roman" w:hAnsi="Times New Roman"/>
          <w:sz w:val="18"/>
          <w:szCs w:val="18"/>
          <w:color w:val="auto"/>
        </w:rPr>
        <w:t>) to increase the number of shares issuable thereunder from 3.0 million shares to 10.0 million shares. Following that approval, our Board authorized the grant of options to purchase an aggregate of 770,000 shares of our common stock at an exercise price of $1.56 per share to the independent members of our Board, our officers, employees and certain consultants. We valued the options granted in April 2017 and September 2017 using the Black-Scholes Option Pricing Model and the following weighted average assumptions: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September</w:t>
            </w:r>
          </w:p>
        </w:tc>
        <w:tc>
          <w:tcPr>
            <w:tcW w:w="0" w:type="dxa"/>
            <w:vAlign w:val="bottom"/>
          </w:tcPr>
          <w:p>
            <w:pPr>
              <w:spacing w:after="0"/>
              <w:rPr>
                <w:sz w:val="1"/>
                <w:szCs w:val="1"/>
                <w:color w:val="auto"/>
              </w:rPr>
            </w:pPr>
          </w:p>
        </w:tc>
      </w:tr>
      <w:tr>
        <w:trPr>
          <w:trHeight w:val="239"/>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April 2017</w:t>
            </w:r>
          </w:p>
        </w:tc>
        <w:tc>
          <w:tcPr>
            <w:tcW w:w="100" w:type="dxa"/>
            <w:vAlign w:val="bottom"/>
          </w:tcPr>
          <w:p>
            <w:pPr>
              <w:spacing w:after="0"/>
              <w:rPr>
                <w:sz w:val="20"/>
                <w:szCs w:val="20"/>
                <w:color w:val="auto"/>
              </w:rPr>
            </w:pPr>
          </w:p>
        </w:tc>
        <w:tc>
          <w:tcPr>
            <w:tcW w:w="9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 at grant date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Contractual or estimated term in years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6"/>
          <w:szCs w:val="16"/>
          <w:color w:val="auto"/>
        </w:rPr>
        <w:t>In June 2016, our Board approved the grant of options to purchase an aggregate of 655,000 shares of our common stock at an exercise price of $3.49 per share to the independent members of our Board and to our officers, including our then-newly-hired Chief Medical Officer. In September 2016, the Board approved the grant of an option to purchase 125,000 shares of our common stock at an exercise price of $4.27 per share to another then-newly-hired officer. We valued the options granted in June 2016 and September 2016 using the Black-Scholes Option Pricing Model and the following weighted average assumptions: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September</w:t>
            </w:r>
          </w:p>
        </w:tc>
        <w:tc>
          <w:tcPr>
            <w:tcW w:w="0" w:type="dxa"/>
            <w:vAlign w:val="bottom"/>
          </w:tcPr>
          <w:p>
            <w:pPr>
              <w:spacing w:after="0"/>
              <w:rPr>
                <w:sz w:val="1"/>
                <w:szCs w:val="1"/>
                <w:color w:val="auto"/>
              </w:rPr>
            </w:pPr>
          </w:p>
        </w:tc>
      </w:tr>
      <w:tr>
        <w:trPr>
          <w:trHeight w:val="239"/>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4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June 2016</w:t>
            </w:r>
          </w:p>
        </w:tc>
        <w:tc>
          <w:tcPr>
            <w:tcW w:w="100" w:type="dxa"/>
            <w:vAlign w:val="bottom"/>
          </w:tcPr>
          <w:p>
            <w:pPr>
              <w:spacing w:after="0"/>
              <w:rPr>
                <w:sz w:val="20"/>
                <w:szCs w:val="20"/>
                <w:color w:val="auto"/>
              </w:rPr>
            </w:pPr>
          </w:p>
        </w:tc>
        <w:tc>
          <w:tcPr>
            <w:tcW w:w="9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 at grant date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Contractual or estimated term in years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81.69%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At September 30, 2017, there were stock options outstanding to purchase 3,279,871 shares of our common stock at a weighted average exercise price of $3.23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227"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We have no components of other comprehensive loss other than net loss, and accordingly our comprehensive loss is equivalent to our net loss for the periods presented.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color w:val="auto"/>
        </w:rPr>
        <w:t>Income (Loss) per Common Share</w:t>
      </w:r>
    </w:p>
    <w:p>
      <w:pPr>
        <w:spacing w:after="0" w:line="22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Basic net income (loss) per share of common stock excludes the effect of dilution and is computed by dividing net income (loss) by the weighted-average number of shares of common stock outstanding for the period. Diluted net income (loss) per share of common stock reflects the potential dilution that could occur if securities or other contracts to issue shares of common stock were exercised or converted into shares of common stock.</w:t>
      </w:r>
    </w:p>
    <w:p>
      <w:pPr>
        <w:spacing w:after="0" w:line="18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a result of our net loss for the periods presented, potentially dilutive securities were excluded from the computation of net loss per share, as their effect would be antidilutive. For the three and six-month periods ended September 30, 2017 and 2016, the accrual for dividends on our Series B 10% Convertible Preferred Stock (</w:t>
      </w:r>
      <w:r>
        <w:rPr>
          <w:rFonts w:ascii="Times New Roman" w:cs="Times New Roman" w:eastAsia="Times New Roman" w:hAnsi="Times New Roman"/>
          <w:sz w:val="18"/>
          <w:szCs w:val="18"/>
          <w:i w:val="1"/>
          <w:iCs w:val="1"/>
          <w:color w:val="auto"/>
        </w:rPr>
        <w:t>Series B Preferred</w:t>
      </w:r>
      <w:r>
        <w:rPr>
          <w:rFonts w:ascii="Times New Roman" w:cs="Times New Roman" w:eastAsia="Times New Roman" w:hAnsi="Times New Roman"/>
          <w:sz w:val="18"/>
          <w:szCs w:val="18"/>
          <w:color w:val="auto"/>
        </w:rPr>
        <w:t>) and, in 2016, the deemed dividend attributable to our sale and issuance of Series B Preferred Units, each consisting of one share of Series B Preferred and a five-year warrant to purchase one share of our common stock for $7.00, represent deductions from our net loss to arrive at net loss attributable to common stockholders for those periods.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Potentially dilutive securities excluded in determining diluted net loss attributable to common stockholders per common share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0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10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2017</w:t>
            </w:r>
          </w:p>
        </w:tc>
        <w:tc>
          <w:tcPr>
            <w:tcW w:w="136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Series A Preferred stock issued and outstanding </w:t>
            </w:r>
            <w:r>
              <w:rPr>
                <w:rFonts w:ascii="Times New Roman" w:cs="Times New Roman" w:eastAsia="Times New Roman" w:hAnsi="Times New Roman"/>
                <w:sz w:val="24"/>
                <w:szCs w:val="24"/>
                <w:color w:val="auto"/>
                <w:vertAlign w:val="superscript"/>
              </w:rPr>
              <w:t>(1)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Series B Preferred stock issued and outstanding </w:t>
            </w:r>
            <w:r>
              <w:rPr>
                <w:rFonts w:ascii="Times New Roman" w:cs="Times New Roman" w:eastAsia="Times New Roman" w:hAnsi="Times New Roman"/>
                <w:sz w:val="24"/>
                <w:szCs w:val="24"/>
                <w:color w:val="auto"/>
                <w:vertAlign w:val="superscript"/>
              </w:rPr>
              <w:t>(2)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1,160,240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1,160,240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Series C Preferred stock issued and outstanding </w:t>
            </w:r>
            <w:r>
              <w:rPr>
                <w:rFonts w:ascii="Times New Roman" w:cs="Times New Roman" w:eastAsia="Times New Roman" w:hAnsi="Times New Roman"/>
                <w:sz w:val="24"/>
                <w:szCs w:val="24"/>
                <w:color w:val="auto"/>
                <w:vertAlign w:val="superscript"/>
              </w:rPr>
              <w:t>(3)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2,318,012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2,318,012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under the Amended and Restated 2016 (formerly 2008) and 1999 Stock Incentive Plans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3,279,871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1,100,643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warrants to purchase common stock</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6,965,151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4,678,414</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14,473,274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10,007,309</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ind w:left="200" w:hanging="192"/>
        <w:spacing w:after="0" w:line="187" w:lineRule="auto"/>
        <w:tabs>
          <w:tab w:leader="none" w:pos="200" w:val="left"/>
        </w:tabs>
        <w:numPr>
          <w:ilvl w:val="0"/>
          <w:numId w:val="7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Assumes exchange under the terms of the October 11, 2012 Note Exchange and Purchase Agreement, as amended</w:t>
      </w:r>
    </w:p>
    <w:p>
      <w:pPr>
        <w:spacing w:after="0" w:line="8" w:lineRule="exact"/>
        <w:rPr>
          <w:rFonts w:ascii="Times New Roman" w:cs="Times New Roman" w:eastAsia="Times New Roman" w:hAnsi="Times New Roman"/>
          <w:sz w:val="24"/>
          <w:szCs w:val="24"/>
          <w:color w:val="auto"/>
          <w:vertAlign w:val="superscript"/>
        </w:rPr>
      </w:pPr>
    </w:p>
    <w:p>
      <w:pPr>
        <w:ind w:right="1380" w:firstLine="8"/>
        <w:spacing w:after="0" w:line="227" w:lineRule="auto"/>
        <w:tabs>
          <w:tab w:leader="none" w:pos="187" w:val="left"/>
        </w:tabs>
        <w:numPr>
          <w:ilvl w:val="0"/>
          <w:numId w:val="7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Assumes exchange under the terms of the Certificate of Designation of the Relative Rights and Preferences of the Series B 10% Convertible Preferred Stock, effective May 5, 2015</w:t>
      </w:r>
    </w:p>
    <w:p>
      <w:pPr>
        <w:ind w:right="1040" w:firstLine="8"/>
        <w:spacing w:after="0" w:line="231" w:lineRule="auto"/>
        <w:tabs>
          <w:tab w:leader="none" w:pos="187" w:val="left"/>
        </w:tabs>
        <w:numPr>
          <w:ilvl w:val="0"/>
          <w:numId w:val="7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Assumes exchange under the terms of the Certificate of Designation of the Relative Rights and Preferences of the Series C Convertible Preferred Stock, effective January 25, 2016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7"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18"/>
          <w:szCs w:val="18"/>
          <w:color w:val="auto"/>
        </w:rPr>
        <w:t>We do not use derivative instruments for hedging of market risks or for trading or speculative purposes. We carried no assets or liabilities at fair value at September 30, 2017 or March 31,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color w:val="auto"/>
        </w:rPr>
        <w:t>Except as described below, there have been no recent accounting pronouncements or changes in accounting pronouncements during the six months ended September 30, 2017, as compared to the recent accounting pronouncements described in our Form 10-K for the fiscal year ended March 31, 2017, that are of significance or potential significance to 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6"/>
          <w:szCs w:val="16"/>
          <w:color w:val="auto"/>
        </w:rPr>
        <w:t>In July 2017, the Financial Accounting Standards Board (</w:t>
      </w:r>
      <w:r>
        <w:rPr>
          <w:rFonts w:ascii="Times New Roman" w:cs="Times New Roman" w:eastAsia="Times New Roman" w:hAnsi="Times New Roman"/>
          <w:sz w:val="16"/>
          <w:szCs w:val="16"/>
          <w:i w:val="1"/>
          <w:iCs w:val="1"/>
          <w:color w:val="auto"/>
        </w:rPr>
        <w:t>FASB</w:t>
      </w:r>
      <w:r>
        <w:rPr>
          <w:rFonts w:ascii="Times New Roman" w:cs="Times New Roman" w:eastAsia="Times New Roman" w:hAnsi="Times New Roman"/>
          <w:sz w:val="16"/>
          <w:szCs w:val="16"/>
          <w:color w:val="auto"/>
        </w:rPr>
        <w:t>) issued Accounting Standards Update (</w:t>
      </w:r>
      <w:r>
        <w:rPr>
          <w:rFonts w:ascii="Times New Roman" w:cs="Times New Roman" w:eastAsia="Times New Roman" w:hAnsi="Times New Roman"/>
          <w:sz w:val="16"/>
          <w:szCs w:val="16"/>
          <w:i w:val="1"/>
          <w:iCs w:val="1"/>
          <w:color w:val="auto"/>
        </w:rPr>
        <w:t>ASU</w:t>
      </w:r>
      <w:r>
        <w:rPr>
          <w:rFonts w:ascii="Times New Roman" w:cs="Times New Roman" w:eastAsia="Times New Roman" w:hAnsi="Times New Roman"/>
          <w:sz w:val="16"/>
          <w:szCs w:val="16"/>
          <w:color w:val="auto"/>
        </w:rPr>
        <w:t>) 2017-11, “Earnings Per Share (Topic 260); Distinguishing Liabilities from Equity (Topic 480); 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 (</w:t>
      </w:r>
      <w:r>
        <w:rPr>
          <w:rFonts w:ascii="Times New Roman" w:cs="Times New Roman" w:eastAsia="Times New Roman" w:hAnsi="Times New Roman"/>
          <w:sz w:val="16"/>
          <w:szCs w:val="16"/>
          <w:i w:val="1"/>
          <w:iCs w:val="1"/>
          <w:color w:val="auto"/>
        </w:rPr>
        <w:t>ASU 2017-11</w:t>
      </w:r>
      <w:r>
        <w:rPr>
          <w:rFonts w:ascii="Times New Roman" w:cs="Times New Roman" w:eastAsia="Times New Roman" w:hAnsi="Times New Roman"/>
          <w:sz w:val="16"/>
          <w:szCs w:val="16"/>
          <w:color w:val="auto"/>
        </w:rPr>
        <w:t>). Part I of this ASU provides that an entity will no longer have to consider “down round” features (i.e., a provision in an equity-linked financial instrument, such as a free-standing warrant, or an embedded feature, such as a conversion option in a convertible instrument, that reduces the exercise price of such instrument if the entity subsequently sells stock for a lower price or issues an equity-linked instrument with a lower exercise price) when determining whether certain equity-linked financial instruments or embedded features are indexed to its own stock. The definition of a down round feature in ASU 2017-11 excludes standard antidilution provisions related to changes in an entity’s capital structure. Accounting Standards Codification Topic 815-40, “Derivatives and Hedging–Contracts in Entity’s Own Equity” (</w:t>
      </w:r>
      <w:r>
        <w:rPr>
          <w:rFonts w:ascii="Times New Roman" w:cs="Times New Roman" w:eastAsia="Times New Roman" w:hAnsi="Times New Roman"/>
          <w:sz w:val="16"/>
          <w:szCs w:val="16"/>
          <w:i w:val="1"/>
          <w:iCs w:val="1"/>
          <w:color w:val="auto"/>
        </w:rPr>
        <w:t>ASC 815-40</w:t>
      </w:r>
      <w:r>
        <w:rPr>
          <w:rFonts w:ascii="Times New Roman" w:cs="Times New Roman" w:eastAsia="Times New Roman" w:hAnsi="Times New Roman"/>
          <w:sz w:val="16"/>
          <w:szCs w:val="16"/>
          <w:color w:val="auto"/>
        </w:rPr>
        <w:t>) requires that a freestanding equity-linked financial instrument be indexed to the issuer’s own stock to be classified as equity. An equity-linked embedded feature that meets the definition of a derivative may avoid bifurcation and derivative accounting if it is indexed to the issuer’s own stock. Under the terms of prior guidance, a freestanding financial instrument or embedded feature was not considered indexed to the issuer’s own stock if it had a down round provision. Consequently, the freestanding financial instrument was classified as a liability (or asset), and if it met the definition of a derivative, was measured at fair value with changes in fair value recorded through earnings. Similarly, an embedded feature was bifurcated and separately accounted for as a derivative if it met all other criteria for bifurcation under ASC 815-40. The bifurcated embedded feature was also measured at fair value through earnings. Under the provisions of ASU 2017-11, an entity that presents earnings per share (</w:t>
      </w:r>
      <w:r>
        <w:rPr>
          <w:rFonts w:ascii="Times New Roman" w:cs="Times New Roman" w:eastAsia="Times New Roman" w:hAnsi="Times New Roman"/>
          <w:sz w:val="16"/>
          <w:szCs w:val="16"/>
          <w:i w:val="1"/>
          <w:iCs w:val="1"/>
          <w:color w:val="auto"/>
        </w:rPr>
        <w:t>EPS</w:t>
      </w:r>
      <w:r>
        <w:rPr>
          <w:rFonts w:ascii="Times New Roman" w:cs="Times New Roman" w:eastAsia="Times New Roman" w:hAnsi="Times New Roman"/>
          <w:sz w:val="16"/>
          <w:szCs w:val="16"/>
          <w:color w:val="auto"/>
        </w:rPr>
        <w:t xml:space="preserve">) under Accounting Standards Codification Topic 260, “Earnings Per Share” will recognize the effect of a down round feature in a freestanding equity-classified financial instrument only when it is triggered. The effect of triggering such a feature will be recognized as a dividend and a reduction to income available to common shareholders in basic EPS. The new guidance requires new disclosures for financial instruments with down round features and other terms that change conversion or exercise prices. Part I of ASU 2017-11 is effective for fiscal years beginning after December 15, 2018, and interim periods therein, however early adoption is permitted. We early-adopted ASU 2017-11 effective for the quarter ended September 30, 2017 and applied its guidance to certain of the warrants issued in the September 2017 Public Offering, as described more completely in Note 7, </w:t>
      </w:r>
      <w:r>
        <w:rPr>
          <w:rFonts w:ascii="Times New Roman" w:cs="Times New Roman" w:eastAsia="Times New Roman" w:hAnsi="Times New Roman"/>
          <w:sz w:val="16"/>
          <w:szCs w:val="16"/>
          <w:i w:val="1"/>
          <w:iCs w:val="1"/>
          <w:color w:val="auto"/>
        </w:rPr>
        <w:t>Capital Stock</w:t>
      </w:r>
      <w:r>
        <w:rPr>
          <w:rFonts w:ascii="Times New Roman" w:cs="Times New Roman" w:eastAsia="Times New Roman" w:hAnsi="Times New Roman"/>
          <w:sz w:val="16"/>
          <w:szCs w:val="16"/>
          <w:color w:val="auto"/>
        </w:rPr>
        <w:t>. No retrospective adjustments to our financial statements were required as a result of our adoption of ASU 2017-11.</w:t>
      </w:r>
    </w:p>
    <w:p>
      <w:pPr>
        <w:sectPr>
          <w:pgSz w:w="11900" w:h="16838" w:orient="portrait"/>
          <w:cols w:equalWidth="0" w:num="1">
            <w:col w:w="11420"/>
          </w:cols>
          <w:pgMar w:left="240" w:top="555" w:right="239" w:bottom="316" w:gutter="0" w:footer="0" w:header="0"/>
        </w:sectPr>
      </w:pPr>
    </w:p>
    <w:bookmarkStart w:id="163" w:name="page164"/>
    <w:bookmarkEnd w:id="163"/>
    <w:p>
      <w:pPr>
        <w:jc w:val="both"/>
        <w:ind w:right="40"/>
        <w:spacing w:after="0" w:line="310" w:lineRule="auto"/>
        <w:rPr>
          <w:sz w:val="20"/>
          <w:szCs w:val="20"/>
          <w:color w:val="auto"/>
        </w:rPr>
      </w:pPr>
      <w:r>
        <w:rPr>
          <w:rFonts w:ascii="Times New Roman" w:cs="Times New Roman" w:eastAsia="Times New Roman" w:hAnsi="Times New Roman"/>
          <w:sz w:val="16"/>
          <w:szCs w:val="16"/>
          <w:color w:val="auto"/>
        </w:rPr>
        <w:t>In February 2016, the FASB issued ASU No. 2016-2, “Leases.” This ASU requires substantially all leases, including operating leases, to be recognized by lessees on their balance sheet as a right-of-use asset and corresponding lease liability. This ASU is effective for our interim and annual reporting periods beginning April 1, 2019 and early adoption is permitted. We are currently evaluating the impact that the adoption of this ASU will have on our financial statements.</w:t>
      </w:r>
    </w:p>
    <w:p>
      <w:pPr>
        <w:spacing w:after="0" w:line="1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March 2016, the FASB issued ASU No. 2016-09, “Improvements to Employee Share-Based Payment Accounting,” which simplified several aspects of the accounting for share-based payments, including immediate recognition of all excess tax benefits and deficiencies in the income statement, changing the threshold to qualify for equity classification up to the employees’ maximum statutory tax rates, allowing an entity-wide accounting policy election to either estimate the number of awards that are expected to vest or account for forfeitures as they occur, and clarifying the classification on the statement of cash flows for the excess tax benefit and employee taxes paid when an employer withholds shares for tax-withholding purposes. This ASU became effective for our interim and annual reporting periods beginning April 1, 2017, and the adoption of this standard did not have a material impact on our financial statements. Pursuant to our adoption of this standard, we elected to account for the impact of option forfeitures as they occur.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Prepaid Expenses and Other Current Assets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are composed of the following at September 30, 2017 and March 31, 2017:</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8"/>
        </w:trPr>
        <w:tc>
          <w:tcPr>
            <w:tcW w:w="8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September</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8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March 31,</w:t>
            </w:r>
          </w:p>
        </w:tc>
      </w:tr>
      <w:tr>
        <w:trPr>
          <w:trHeight w:val="239"/>
        </w:trPr>
        <w:tc>
          <w:tcPr>
            <w:tcW w:w="8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40" w:type="dxa"/>
            <w:vAlign w:val="bottom"/>
          </w:tcPr>
          <w:p>
            <w:pPr>
              <w:spacing w:after="0"/>
              <w:rPr>
                <w:sz w:val="20"/>
                <w:szCs w:val="20"/>
                <w:color w:val="auto"/>
              </w:rPr>
            </w:pPr>
          </w:p>
        </w:tc>
      </w:tr>
      <w:tr>
        <w:trPr>
          <w:trHeight w:val="216"/>
        </w:trPr>
        <w:tc>
          <w:tcPr>
            <w:tcW w:w="8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130,800</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AV-101 materials and services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Public offering expenses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other</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40" w:type="dxa"/>
            <w:vAlign w:val="bottom"/>
          </w:tcPr>
          <w:p>
            <w:pPr>
              <w:spacing w:after="0"/>
              <w:rPr>
                <w:sz w:val="19"/>
                <w:szCs w:val="19"/>
                <w:color w:val="auto"/>
              </w:rPr>
            </w:pPr>
          </w:p>
        </w:tc>
      </w:tr>
      <w:tr>
        <w:trPr>
          <w:trHeight w:val="257"/>
        </w:trPr>
        <w:tc>
          <w:tcPr>
            <w:tcW w:w="88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563,300</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456,600</w:t>
            </w:r>
          </w:p>
        </w:tc>
        <w:tc>
          <w:tcPr>
            <w:tcW w:w="140" w:type="dxa"/>
            <w:vAlign w:val="bottom"/>
            <w:shd w:val="clear" w:color="auto" w:fill="CCEEFF"/>
          </w:tcPr>
          <w:p>
            <w:pPr>
              <w:spacing w:after="0"/>
              <w:rPr>
                <w:sz w:val="22"/>
                <w:szCs w:val="22"/>
                <w:color w:val="auto"/>
              </w:rPr>
            </w:pPr>
          </w:p>
        </w:tc>
      </w:tr>
      <w:tr>
        <w:trPr>
          <w:trHeight w:val="424"/>
        </w:trPr>
        <w:tc>
          <w:tcPr>
            <w:tcW w:w="8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Note 5. Accrued Expenses</w:t>
            </w: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432"/>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are composed of the following at September 30, 2017 and March 31, 2017:</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8"/>
        </w:trPr>
        <w:tc>
          <w:tcPr>
            <w:tcW w:w="8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September</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8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March 31,</w:t>
            </w:r>
          </w:p>
        </w:tc>
      </w:tr>
      <w:tr>
        <w:trPr>
          <w:trHeight w:val="239"/>
        </w:trPr>
        <w:tc>
          <w:tcPr>
            <w:tcW w:w="8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40" w:type="dxa"/>
            <w:vAlign w:val="bottom"/>
          </w:tcPr>
          <w:p>
            <w:pPr>
              <w:spacing w:after="0"/>
              <w:rPr>
                <w:sz w:val="20"/>
                <w:szCs w:val="20"/>
                <w:color w:val="auto"/>
              </w:rPr>
            </w:pPr>
          </w:p>
        </w:tc>
      </w:tr>
      <w:tr>
        <w:trPr>
          <w:trHeight w:val="216"/>
        </w:trPr>
        <w:tc>
          <w:tcPr>
            <w:tcW w:w="8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61,300</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AV-101 development and related expenses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compensation</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other</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40" w:type="dxa"/>
            <w:vAlign w:val="bottom"/>
          </w:tcPr>
          <w:p>
            <w:pPr>
              <w:spacing w:after="0"/>
              <w:rPr>
                <w:sz w:val="19"/>
                <w:szCs w:val="19"/>
                <w:color w:val="auto"/>
              </w:rPr>
            </w:pPr>
          </w:p>
        </w:tc>
      </w:tr>
      <w:tr>
        <w:trPr>
          <w:trHeight w:val="257"/>
        </w:trPr>
        <w:tc>
          <w:tcPr>
            <w:tcW w:w="88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625,600</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443,000</w:t>
            </w:r>
          </w:p>
        </w:tc>
        <w:tc>
          <w:tcPr>
            <w:tcW w:w="140" w:type="dxa"/>
            <w:vAlign w:val="bottom"/>
            <w:shd w:val="clear" w:color="auto" w:fill="CCEEFF"/>
          </w:tcPr>
          <w:p>
            <w:pPr>
              <w:spacing w:after="0"/>
              <w:rPr>
                <w:sz w:val="22"/>
                <w:szCs w:val="22"/>
                <w:color w:val="auto"/>
              </w:rPr>
            </w:pPr>
          </w:p>
        </w:tc>
      </w:tr>
      <w:tr>
        <w:trPr>
          <w:trHeight w:val="649"/>
        </w:trPr>
        <w:tc>
          <w:tcPr>
            <w:tcW w:w="8820" w:type="dxa"/>
            <w:vAlign w:val="bottom"/>
            <w:tcBorders>
              <w:top w:val="single" w:sz="8" w:color="CCEEFF"/>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F-42</w:t>
            </w:r>
          </w:p>
        </w:tc>
        <w:tc>
          <w:tcPr>
            <w:tcW w:w="1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4" w:name="page165"/>
    <w:bookmarkEnd w:id="1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Notes Payable</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table summarizes our unsecured promissory notes at September 30, 2017 and March 31, 2017.</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March 31, 2017</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60"/>
              <w:spacing w:after="0" w:line="200" w:lineRule="exact"/>
              <w:rPr>
                <w:sz w:val="20"/>
                <w:szCs w:val="20"/>
                <w:color w:val="auto"/>
              </w:rPr>
            </w:pPr>
            <w:r>
              <w:rPr>
                <w:rFonts w:ascii="Times New Roman" w:cs="Times New Roman" w:eastAsia="Times New Roman" w:hAnsi="Times New Roman"/>
                <w:sz w:val="18"/>
                <w:szCs w:val="18"/>
                <w:b w:val="1"/>
                <w:bCs w:val="1"/>
                <w:color w:val="auto"/>
                <w:w w:val="95"/>
              </w:rPr>
              <w:t>Principal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72"/>
              <w:spacing w:after="0" w:line="200" w:lineRule="exact"/>
              <w:rPr>
                <w:sz w:val="20"/>
                <w:szCs w:val="20"/>
                <w:color w:val="auto"/>
              </w:rPr>
            </w:pPr>
            <w:r>
              <w:rPr>
                <w:rFonts w:ascii="Times New Roman" w:cs="Times New Roman" w:eastAsia="Times New Roman" w:hAnsi="Times New Roman"/>
                <w:sz w:val="18"/>
                <w:szCs w:val="18"/>
                <w:b w:val="1"/>
                <w:bCs w:val="1"/>
                <w:color w:val="auto"/>
                <w:w w:val="98"/>
              </w:rPr>
              <w:t>Accrued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2"/>
              <w:spacing w:after="0" w:line="200" w:lineRule="exact"/>
              <w:rPr>
                <w:sz w:val="20"/>
                <w:szCs w:val="20"/>
                <w:color w:val="auto"/>
              </w:rPr>
            </w:pPr>
            <w:r>
              <w:rPr>
                <w:rFonts w:ascii="Times New Roman" w:cs="Times New Roman" w:eastAsia="Times New Roman" w:hAnsi="Times New Roman"/>
                <w:sz w:val="18"/>
                <w:szCs w:val="18"/>
                <w:b w:val="1"/>
                <w:bCs w:val="1"/>
                <w:color w:val="auto"/>
                <w:w w:val="98"/>
              </w:rPr>
              <w:t>Principal</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340"/>
              <w:spacing w:after="0" w:line="200" w:lineRule="exact"/>
              <w:rPr>
                <w:sz w:val="20"/>
                <w:szCs w:val="20"/>
                <w:color w:val="auto"/>
              </w:rPr>
            </w:pPr>
            <w:r>
              <w:rPr>
                <w:rFonts w:ascii="Times New Roman" w:cs="Times New Roman" w:eastAsia="Times New Roman" w:hAnsi="Times New Roman"/>
                <w:sz w:val="18"/>
                <w:szCs w:val="18"/>
                <w:b w:val="1"/>
                <w:bCs w:val="1"/>
                <w:color w:val="auto"/>
                <w:w w:val="98"/>
              </w:rPr>
              <w:t>Accrued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80" w:type="dxa"/>
            <w:vAlign w:val="bottom"/>
          </w:tcPr>
          <w:p>
            <w:pPr>
              <w:spacing w:after="0"/>
              <w:rPr>
                <w:sz w:val="20"/>
                <w:szCs w:val="20"/>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430"/>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7.95% and 8.25% Notes payable to insurance</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financing company (current)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105,200</w:t>
            </w:r>
          </w:p>
        </w:tc>
        <w:tc>
          <w:tcPr>
            <w:tcW w:w="1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54,800</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notes payable to unrelated parties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105,200</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54,800</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(105,200)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(105,200)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(54,800)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non-current portion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301" w:lineRule="auto"/>
        <w:rPr>
          <w:sz w:val="20"/>
          <w:szCs w:val="20"/>
          <w:color w:val="auto"/>
        </w:rPr>
      </w:pPr>
      <w:r>
        <w:rPr>
          <w:rFonts w:ascii="Times New Roman" w:cs="Times New Roman" w:eastAsia="Times New Roman" w:hAnsi="Times New Roman"/>
          <w:sz w:val="16"/>
          <w:szCs w:val="16"/>
          <w:color w:val="auto"/>
        </w:rPr>
        <w:t>In May 2017, we executed a 7.95% promissory note in the principal amount of $142,400 in connection with insurance policy premiums. The note is payable in monthly installments of $14,800, including principal and interest, through March 2018, and had a remaining outstanding balance of $86,600 at September 30, 2017. In February 2017, we executed a promissory note in the principal amount of $60,700 in connection with other insurance policy premiums. That note is payable in monthly installments of $6,300, including principal and interest, and had an outstanding balance of $18,600 at September 30, 2017.</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Capital Stock</w:t>
      </w:r>
    </w:p>
    <w:p>
      <w:pPr>
        <w:spacing w:after="0" w:line="227"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At our Annual Meeting of Stockholders on September 15, 2017, as approved by and recommended to our stockholders by our Board, our stockholders approved an amendment to our Restated and Amended Articles of Incorporation to increase the authorized number of shares of common stock that the Company may issue from 30.0 million shares to 100.0 million shares. The amendment became effective on September 15, 2017, upon our filing of a certificate of amendment with the Secretary of State of the state of Nevada.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Warrants Issued in Firm Commitment Underwritten Public Offering</w:t>
      </w:r>
    </w:p>
    <w:p>
      <w:pPr>
        <w:spacing w:after="0" w:line="22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6"/>
          <w:szCs w:val="16"/>
          <w:color w:val="auto"/>
        </w:rPr>
        <w:t xml:space="preserve">On September 6, 2017, we completed a firm commitment underwritten public offering pursuant to which we offered and sold shares of our common stock and warrants to two of our existing institutional investors, resulting in gross proceeds of approximately $2.4 million (the </w:t>
      </w:r>
      <w:r>
        <w:rPr>
          <w:rFonts w:ascii="Times New Roman" w:cs="Times New Roman" w:eastAsia="Times New Roman" w:hAnsi="Times New Roman"/>
          <w:sz w:val="16"/>
          <w:szCs w:val="16"/>
          <w:i w:val="1"/>
          <w:iCs w:val="1"/>
          <w:color w:val="auto"/>
        </w:rPr>
        <w:t>September 2017 Public Offering</w:t>
      </w:r>
      <w:r>
        <w:rPr>
          <w:rFonts w:ascii="Times New Roman" w:cs="Times New Roman" w:eastAsia="Times New Roman" w:hAnsi="Times New Roman"/>
          <w:sz w:val="16"/>
          <w:szCs w:val="16"/>
          <w:color w:val="auto"/>
        </w:rPr>
        <w:t xml:space="preserve">). We issued an aggregate of 1,371,430 shares of our common stock, Series A1 Warrants to purchase up to 1,388,931 shares of common stock and Series A2 Warrants to purchase up to 503,641 of common stock (collectively, the </w:t>
      </w:r>
      <w:r>
        <w:rPr>
          <w:rFonts w:ascii="Times New Roman" w:cs="Times New Roman" w:eastAsia="Times New Roman" w:hAnsi="Times New Roman"/>
          <w:sz w:val="16"/>
          <w:szCs w:val="16"/>
          <w:i w:val="1"/>
          <w:iCs w:val="1"/>
          <w:color w:val="auto"/>
        </w:rPr>
        <w:t>Warrants</w:t>
      </w:r>
      <w:r>
        <w:rPr>
          <w:rFonts w:ascii="Times New Roman" w:cs="Times New Roman" w:eastAsia="Times New Roman" w:hAnsi="Times New Roman"/>
          <w:sz w:val="16"/>
          <w:szCs w:val="16"/>
          <w:color w:val="auto"/>
        </w:rPr>
        <w:t xml:space="preserve">), each exercisable for $1.82 per share in the September 2017 Public Offering. The Series A1 Warrants will be exercisable by the investors for a five-year period commencing on March 7, 2018, and the Series A2 Warrants are exercisable at any time through September 6, 2022. The common stock and the shares of common stock underlying the Warrants issued in the September 2017 Public Offering were offered, issued and sold pursuant to our S-3 Registration Statement that had previously been declared effective by the Securities and Exchange Commission (the </w:t>
      </w:r>
      <w:r>
        <w:rPr>
          <w:rFonts w:ascii="Times New Roman" w:cs="Times New Roman" w:eastAsia="Times New Roman" w:hAnsi="Times New Roman"/>
          <w:sz w:val="16"/>
          <w:szCs w:val="16"/>
          <w:i w:val="1"/>
          <w:iCs w:val="1"/>
          <w:color w:val="auto"/>
        </w:rPr>
        <w:t>Commission</w:t>
      </w:r>
      <w:r>
        <w:rPr>
          <w:rFonts w:ascii="Times New Roman" w:cs="Times New Roman" w:eastAsia="Times New Roman" w:hAnsi="Times New Roman"/>
          <w:sz w:val="16"/>
          <w:szCs w:val="16"/>
          <w:color w:val="auto"/>
        </w:rPr>
        <w:t>) to cover this and potential future sales of our equity securities in one or more public offerings from time to time. We received net proceeds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approximately $2.0 million from the September 2017 Public Offering, after deducting underwriter’s commission and other expenses related to the offering.</w:t>
      </w:r>
    </w:p>
    <w:p>
      <w:pPr>
        <w:spacing w:after="0" w:line="1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1,388,931 Series A1 Warrants issued in the September 2017 Public Offering have no anti-dilution or other exercise price or share reset features, except as is customary with respect to a change in our capital structure in the event of a stock split or dividend, and, accordingly, we have accounted for them as equity warrants. The 503,641 Series A2 Warrants contain anti-dilution protection provisions that will take effect upon the issuance of any common stock, securities convertible into common stock or certain other issuances at a price below the then-current (currently $1.82 per share) exercise price of the Series A2 Warrants, with certain exceptions; provided, however, that such anti-dilution protection will terminate automatically on the trading day following the date on which we have raised at least $20.0 million in aggregate gross proceeds through one or more issuances of common stock or equity-linked securities. The anti-dilution protection provisions in the Series A2 Warrants constitute a down round feature subject to the guidance in ASU 2017-11. Since the Series A2 Warrants contain no other provisions which require their treatment as liability warrants rather than equity warrants, including the exercise price or share reset features, except as is customary with respect to a change in our capital structure in the event of a stock split or dividend and which are also present in the Series A1 Warrants, we have also accounted for the Series A2 Warrants as equity warrants.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Warrants Issued in Private Placements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the quarter ended June 30, 2017, in self-placed private placement transactions, we accepted subscription agreements from individual accredited investors, pursuant to which we sold to such investors units, at a weighted average purchase price of $2.00 per unit, consisting of an aggregate of 437,751 unregistered shares of our common stock and warrants, exercisable through April 30, 2021, to purchase an aggregate of 218,875 unregistered shares of our common stock at a weighted average exercise price of $3.99 per share. The purchasers of the units have no registration rights with respect to the shares of common stock, warrants or the shares of common stock issuable upon exercise of the warrants comprising the units sold. The warrants are not exercisable until six months and one day following the date of issuance. We received aggregate cash proceeds of $873,300 in connection with these self-placed private placement transactions, and the entire amount of the proceeds was credited to stockholders’ equity.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165" w:name="page166"/>
    <w:bookmarkEnd w:id="165"/>
    <w:p>
      <w:pPr>
        <w:ind w:right="80"/>
        <w:spacing w:after="0" w:line="256" w:lineRule="auto"/>
        <w:rPr>
          <w:sz w:val="20"/>
          <w:szCs w:val="20"/>
          <w:color w:val="auto"/>
        </w:rPr>
      </w:pPr>
      <w:r>
        <w:rPr>
          <w:rFonts w:ascii="Times New Roman" w:cs="Times New Roman" w:eastAsia="Times New Roman" w:hAnsi="Times New Roman"/>
          <w:sz w:val="18"/>
          <w:szCs w:val="18"/>
          <w:color w:val="auto"/>
        </w:rPr>
        <w:t>In August 2017, in a self-placed private placement transaction, we sold to an accredited investor units consisting of 28,572 shares of our unregistered common stock and warrants exercisable through April 30, 2021 to purchase 28,572 unregistered shares of our common stock at an exercise price of $4.00 per share. The purchaser of the units has no registration rights with respect to the shares of common stock, warrants or the shares of common stock issuable upon exercise of the warrants comprising the units sold. The warrants are not exercisable until six months and one day following the date of issuance. We received cash proceeds of $50,000 from this sale of our securities, and the entire amount of the proceeds was credited to stockholders’ equity.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to Professional Services Providers</w:t>
      </w:r>
    </w:p>
    <w:p>
      <w:pPr>
        <w:spacing w:after="0" w:line="229"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During the quarter ended June 30, 2017, we issued 25,000 shares of our unregistered common stock having a fair value on the date of issuance of $49,800 as partial compensation to an investor relations service provider.</w:t>
      </w:r>
    </w:p>
    <w:p>
      <w:pPr>
        <w:spacing w:after="0" w:line="17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During the quarter ended September 30, 2017, our Board of Directors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approved the issuance of an aggregate of 927,500 unregistered shares of our common stock, of which 477,500 shares were issued from our 2016 Amended and Restated Stock Incentive Plan, for various professional services, including contract research, legal, investor relations and financial advisory services. The common stock issued had an aggregate fair value of $1,503,600 on the dates issued, of which all but $161,300 has been recognized as noncash expense during the quarter ended September 30, 2017. The un-expensed portion at September 30, 2017 is being recognized in expense ratably through July 2019 in accordance with the terms of work orders for certain contract research services to be provided through that period.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Warrants Issued in Private Placements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September 2017, the Board authorized the modification of outstanding warrants issued in private placement transactions between March 2017 and June 2017 to reduce the exercise prices and increase the number of shares for which the warrants were exercisable. We calculated the fair value of the warrant immediately before and after the modification using the Black Scholes Option Pricing Model and the weighted average assumptions indicated in the table below. We recognized the additional fair value, $279,700, as warrant modification expense, included as a component of general and administrative expenses, in our Condensed Consolidated Statement of Operations and Comprehensive Loss for the quarter ended September 30, 2017.</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Pre-</w:t>
            </w: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Post-</w:t>
            </w:r>
          </w:p>
        </w:tc>
        <w:tc>
          <w:tcPr>
            <w:tcW w:w="0" w:type="dxa"/>
            <w:vAlign w:val="bottom"/>
          </w:tcPr>
          <w:p>
            <w:pPr>
              <w:spacing w:after="0"/>
              <w:rPr>
                <w:sz w:val="1"/>
                <w:szCs w:val="1"/>
                <w:color w:val="auto"/>
              </w:rPr>
            </w:pPr>
          </w:p>
        </w:tc>
      </w:tr>
      <w:tr>
        <w:trPr>
          <w:trHeight w:val="239"/>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462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modification</w:t>
            </w:r>
          </w:p>
        </w:tc>
        <w:tc>
          <w:tcPr>
            <w:tcW w:w="280" w:type="dxa"/>
            <w:vAlign w:val="bottom"/>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modification</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48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48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8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Remaining contractual term in years</w:t>
            </w: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Number of warrant shares</w:t>
            </w: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fair value per share</w:t>
            </w:r>
          </w:p>
        </w:tc>
        <w:tc>
          <w:tcPr>
            <w:tcW w:w="48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2"/>
          </w:tcPr>
          <w:p>
            <w:pPr>
              <w:jc w:val="right"/>
              <w:ind w:right="3092"/>
              <w:spacing w:after="0"/>
              <w:rPr>
                <w:sz w:val="20"/>
                <w:szCs w:val="20"/>
                <w:color w:val="auto"/>
              </w:rPr>
            </w:pPr>
            <w:r>
              <w:rPr>
                <w:rFonts w:ascii="Times New Roman" w:cs="Times New Roman" w:eastAsia="Times New Roman" w:hAnsi="Times New Roman"/>
                <w:sz w:val="18"/>
                <w:szCs w:val="18"/>
                <w:color w:val="auto"/>
              </w:rPr>
              <w:t>F-44</w:t>
            </w: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Outstanding</w:t>
      </w:r>
    </w:p>
    <w:p>
      <w:pPr>
        <w:spacing w:after="0" w:line="22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Following the warrant issuances in the September 2017 Public Offering and in the self-placed private placement transactions and the warrant modifications described above, at September 30, 2017, we had outstanding warrants to purchase shares of our common stock at a weighted average exercise price of $4.77 per share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5"/>
              </w:rPr>
              <w:t>Warrants</w:t>
            </w:r>
          </w:p>
        </w:tc>
      </w:tr>
      <w:tr>
        <w:trPr>
          <w:trHeight w:val="216"/>
        </w:trPr>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Outstanding</w:t>
            </w:r>
          </w:p>
        </w:tc>
      </w:tr>
      <w:tr>
        <w:trPr>
          <w:trHeight w:val="216"/>
        </w:trPr>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at</w:t>
            </w:r>
          </w:p>
        </w:tc>
      </w:tr>
      <w:tr>
        <w:trPr>
          <w:trHeight w:val="216"/>
        </w:trPr>
        <w:tc>
          <w:tcPr>
            <w:tcW w:w="14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Exercise Price</w:t>
            </w:r>
          </w:p>
        </w:tc>
        <w:tc>
          <w:tcPr>
            <w:tcW w:w="8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Expiration</w:t>
            </w:r>
          </w:p>
        </w:tc>
        <w:tc>
          <w:tcPr>
            <w:tcW w:w="1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39"/>
        </w:trPr>
        <w:tc>
          <w:tcPr>
            <w:tcW w:w="14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per Share</w:t>
            </w:r>
          </w:p>
        </w:tc>
        <w:tc>
          <w:tcPr>
            <w:tcW w:w="8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2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40" w:type="dxa"/>
            <w:vAlign w:val="bottom"/>
          </w:tcPr>
          <w:p>
            <w:pPr>
              <w:spacing w:after="0"/>
              <w:rPr>
                <w:sz w:val="20"/>
                <w:szCs w:val="20"/>
                <w:color w:val="auto"/>
              </w:rPr>
            </w:pPr>
          </w:p>
        </w:tc>
      </w:tr>
      <w:tr>
        <w:trPr>
          <w:trHeight w:val="216"/>
        </w:trPr>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8"/>
                <w:szCs w:val="18"/>
                <w:color w:val="auto"/>
              </w:rPr>
            </w:pPr>
          </w:p>
        </w:tc>
        <w:tc>
          <w:tcPr>
            <w:tcW w:w="8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9/6/2022 to 3/7/2023</w:t>
            </w: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1,892,572</w:t>
            </w:r>
          </w:p>
        </w:tc>
      </w:tr>
      <w:tr>
        <w:trPr>
          <w:trHeight w:val="216"/>
        </w:trPr>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8"/>
                <w:szCs w:val="18"/>
                <w:color w:val="auto"/>
              </w:rPr>
            </w:pPr>
          </w:p>
        </w:tc>
        <w:tc>
          <w:tcPr>
            <w:tcW w:w="8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4/30/2021</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495,001</w:t>
            </w:r>
          </w:p>
        </w:tc>
      </w:tr>
      <w:tr>
        <w:trPr>
          <w:trHeight w:val="216"/>
        </w:trPr>
        <w:tc>
          <w:tcPr>
            <w:tcW w:w="1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spacing w:after="0"/>
              <w:rPr>
                <w:sz w:val="18"/>
                <w:szCs w:val="18"/>
                <w:color w:val="auto"/>
              </w:rPr>
            </w:pPr>
          </w:p>
        </w:tc>
        <w:tc>
          <w:tcPr>
            <w:tcW w:w="8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12/31/2021</w:t>
            </w: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8"/>
                <w:szCs w:val="18"/>
                <w:color w:val="auto"/>
              </w:rPr>
            </w:pPr>
          </w:p>
        </w:tc>
        <w:tc>
          <w:tcPr>
            <w:tcW w:w="8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4/30/2021</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28,572</w:t>
            </w:r>
          </w:p>
        </w:tc>
      </w:tr>
      <w:tr>
        <w:trPr>
          <w:trHeight w:val="216"/>
        </w:trPr>
        <w:tc>
          <w:tcPr>
            <w:tcW w:w="1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CEEFF"/>
          </w:tcPr>
          <w:p>
            <w:pPr>
              <w:spacing w:after="0"/>
              <w:rPr>
                <w:sz w:val="18"/>
                <w:szCs w:val="18"/>
                <w:color w:val="auto"/>
              </w:rPr>
            </w:pPr>
          </w:p>
        </w:tc>
        <w:tc>
          <w:tcPr>
            <w:tcW w:w="8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9/26/2019</w:t>
            </w: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18"/>
                <w:szCs w:val="18"/>
                <w:color w:val="auto"/>
              </w:rPr>
            </w:pPr>
          </w:p>
        </w:tc>
        <w:tc>
          <w:tcPr>
            <w:tcW w:w="8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5/16/2021</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2,705,883</w:t>
            </w:r>
          </w:p>
        </w:tc>
      </w:tr>
      <w:tr>
        <w:trPr>
          <w:trHeight w:val="216"/>
        </w:trPr>
        <w:tc>
          <w:tcPr>
            <w:tcW w:w="1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8"/>
                <w:szCs w:val="18"/>
                <w:color w:val="auto"/>
              </w:rPr>
            </w:pPr>
          </w:p>
        </w:tc>
        <w:tc>
          <w:tcPr>
            <w:tcW w:w="8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9/26/2019 to 11/30/2019</w:t>
            </w: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97,750</w:t>
            </w:r>
          </w:p>
        </w:tc>
      </w:tr>
      <w:tr>
        <w:trPr>
          <w:trHeight w:val="216"/>
        </w:trPr>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8"/>
                <w:szCs w:val="18"/>
                <w:color w:val="auto"/>
              </w:rPr>
            </w:pPr>
          </w:p>
        </w:tc>
        <w:tc>
          <w:tcPr>
            <w:tcW w:w="8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12/11/2018 to 3/3/2023</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1,346,931</w:t>
            </w:r>
          </w:p>
        </w:tc>
      </w:tr>
      <w:tr>
        <w:trPr>
          <w:trHeight w:val="216"/>
        </w:trPr>
        <w:tc>
          <w:tcPr>
            <w:tcW w:w="1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CEEFF"/>
          </w:tcPr>
          <w:p>
            <w:pPr>
              <w:spacing w:after="0"/>
              <w:rPr>
                <w:sz w:val="18"/>
                <w:szCs w:val="18"/>
                <w:color w:val="auto"/>
              </w:rPr>
            </w:pPr>
          </w:p>
        </w:tc>
        <w:tc>
          <w:tcPr>
            <w:tcW w:w="8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3/25/2021</w:t>
            </w: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185,000</w:t>
            </w:r>
          </w:p>
        </w:tc>
      </w:tr>
      <w:tr>
        <w:trPr>
          <w:trHeight w:val="216"/>
        </w:trPr>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c>
          <w:tcPr>
            <w:tcW w:w="8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11/15/2017 to 1/11/2020</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24,394</w:t>
            </w:r>
          </w:p>
        </w:tc>
      </w:tr>
      <w:tr>
        <w:trPr>
          <w:trHeight w:val="216"/>
        </w:trPr>
        <w:tc>
          <w:tcPr>
            <w:tcW w:w="1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18"/>
                <w:szCs w:val="18"/>
                <w:color w:val="auto"/>
              </w:rPr>
            </w:pPr>
          </w:p>
        </w:tc>
        <w:tc>
          <w:tcPr>
            <w:tcW w:w="8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9/15/2019</w:t>
            </w: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110,448</w:t>
            </w:r>
          </w:p>
        </w:tc>
      </w:tr>
      <w:tr>
        <w:trPr>
          <w:trHeight w:val="223"/>
        </w:trPr>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9"/>
                <w:szCs w:val="19"/>
                <w:color w:val="auto"/>
              </w:rPr>
            </w:pPr>
          </w:p>
        </w:tc>
        <w:tc>
          <w:tcPr>
            <w:tcW w:w="8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11/20/2017</w:t>
            </w:r>
          </w:p>
        </w:tc>
        <w:tc>
          <w:tcPr>
            <w:tcW w:w="13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3,600</w:t>
            </w:r>
          </w:p>
        </w:tc>
      </w:tr>
      <w:tr>
        <w:trPr>
          <w:trHeight w:val="257"/>
        </w:trPr>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6,965,151</w:t>
            </w:r>
          </w:p>
        </w:tc>
      </w:tr>
    </w:tbl>
    <w:p>
      <w:pPr>
        <w:spacing w:after="0" w:line="20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With the exception of 2,705,883 shares of common stock underlying the warrants exercisable at $5.30 per share issued in our May 2016 public offering and 1,892,572 shares of common stock underlying the warrants exercisable at $1.82 per share issued in our September 2017 Public Offering, all of the common shares issuable upon exercise of our outstanding warrants are unregistered.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Related Party Transactions</w:t>
      </w:r>
    </w:p>
    <w:p>
      <w:pPr>
        <w:spacing w:after="0" w:line="225"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Cato Holding Company (</w:t>
      </w:r>
      <w:r>
        <w:rPr>
          <w:rFonts w:ascii="Times New Roman" w:cs="Times New Roman" w:eastAsia="Times New Roman" w:hAnsi="Times New Roman"/>
          <w:sz w:val="18"/>
          <w:szCs w:val="18"/>
          <w:i w:val="1"/>
          <w:iCs w:val="1"/>
          <w:color w:val="auto"/>
        </w:rPr>
        <w:t>CHC</w:t>
      </w:r>
      <w:r>
        <w:rPr>
          <w:rFonts w:ascii="Times New Roman" w:cs="Times New Roman" w:eastAsia="Times New Roman" w:hAnsi="Times New Roman"/>
          <w:sz w:val="18"/>
          <w:szCs w:val="18"/>
          <w:color w:val="auto"/>
        </w:rPr>
        <w:t>), doing business as Cato BioVentures (</w:t>
      </w:r>
      <w:r>
        <w:rPr>
          <w:rFonts w:ascii="Times New Roman" w:cs="Times New Roman" w:eastAsia="Times New Roman" w:hAnsi="Times New Roman"/>
          <w:sz w:val="18"/>
          <w:szCs w:val="18"/>
          <w:i w:val="1"/>
          <w:iCs w:val="1"/>
          <w:color w:val="auto"/>
        </w:rPr>
        <w:t>CBV</w:t>
      </w:r>
      <w:r>
        <w:rPr>
          <w:rFonts w:ascii="Times New Roman" w:cs="Times New Roman" w:eastAsia="Times New Roman" w:hAnsi="Times New Roman"/>
          <w:sz w:val="18"/>
          <w:szCs w:val="18"/>
          <w:color w:val="auto"/>
        </w:rPr>
        <w:t>), is the parent of Cato Research Ltd. (</w:t>
      </w:r>
      <w:r>
        <w:rPr>
          <w:rFonts w:ascii="Times New Roman" w:cs="Times New Roman" w:eastAsia="Times New Roman" w:hAnsi="Times New Roman"/>
          <w:sz w:val="18"/>
          <w:szCs w:val="18"/>
          <w:i w:val="1"/>
          <w:iCs w:val="1"/>
          <w:color w:val="auto"/>
        </w:rPr>
        <w:t>CRL</w:t>
      </w:r>
      <w:r>
        <w:rPr>
          <w:rFonts w:ascii="Times New Roman" w:cs="Times New Roman" w:eastAsia="Times New Roman" w:hAnsi="Times New Roman"/>
          <w:sz w:val="18"/>
          <w:szCs w:val="18"/>
          <w:color w:val="auto"/>
        </w:rPr>
        <w:t>). CRL is a contract research, development and regulatory services organization (</w:t>
      </w:r>
      <w:r>
        <w:rPr>
          <w:rFonts w:ascii="Times New Roman" w:cs="Times New Roman" w:eastAsia="Times New Roman" w:hAnsi="Times New Roman"/>
          <w:sz w:val="18"/>
          <w:szCs w:val="18"/>
          <w:i w:val="1"/>
          <w:iCs w:val="1"/>
          <w:color w:val="auto"/>
        </w:rPr>
        <w:t>CRO</w:t>
      </w:r>
      <w:r>
        <w:rPr>
          <w:rFonts w:ascii="Times New Roman" w:cs="Times New Roman" w:eastAsia="Times New Roman" w:hAnsi="Times New Roman"/>
          <w:sz w:val="18"/>
          <w:szCs w:val="18"/>
          <w:color w:val="auto"/>
        </w:rPr>
        <w:t xml:space="preserve">) recently engaged by us for a wide range of material aspects related to the nonclinical and clinical development and regulatory affairs associated with our efforts to develop and commercialize AV-101 for MDD and other potential CNS indications. CBV is among our largest institutional stockholders at September 30, 2017, holding approximately 7.8% of our outstanding common stock. In October 2012, we issued certain unsecured promissory notes in the aggregate principal amount of approximately $1.3 million to CBV and CRL (the </w:t>
      </w:r>
      <w:r>
        <w:rPr>
          <w:rFonts w:ascii="Times New Roman" w:cs="Times New Roman" w:eastAsia="Times New Roman" w:hAnsi="Times New Roman"/>
          <w:sz w:val="18"/>
          <w:szCs w:val="18"/>
          <w:i w:val="1"/>
          <w:iCs w:val="1"/>
          <w:color w:val="auto"/>
        </w:rPr>
        <w:t>Cato Notes</w:t>
      </w:r>
      <w:r>
        <w:rPr>
          <w:rFonts w:ascii="Times New Roman" w:cs="Times New Roman" w:eastAsia="Times New Roman" w:hAnsi="Times New Roman"/>
          <w:sz w:val="18"/>
          <w:szCs w:val="18"/>
          <w:color w:val="auto"/>
        </w:rPr>
        <w:t>) as payment in full for all contract research and development services and regulatory advice previously rendered to us by CRL for nonclinical and Phase 1 development of AV-101. In June 2015, the Cato Notes and additional amounts payable to CRL for CRO services related to AV-101 were extinguished in exchange for our issuance of an aggregate of 328,571 shares of Series B Preferred stock to CBV, which shares of Series B Preferred stock were automatically converted in accordance with their terms into an equal number of registered shares of our common stock as a result of our May 2016 public offering.</w:t>
      </w:r>
    </w:p>
    <w:p>
      <w:pPr>
        <w:spacing w:after="0" w:line="19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July 2017, we entered into a Master Services Agreement (</w:t>
      </w:r>
      <w:r>
        <w:rPr>
          <w:rFonts w:ascii="Times New Roman" w:cs="Times New Roman" w:eastAsia="Times New Roman" w:hAnsi="Times New Roman"/>
          <w:sz w:val="18"/>
          <w:szCs w:val="18"/>
          <w:i w:val="1"/>
          <w:iCs w:val="1"/>
          <w:color w:val="auto"/>
        </w:rPr>
        <w:t>MSA</w:t>
      </w:r>
      <w:r>
        <w:rPr>
          <w:rFonts w:ascii="Times New Roman" w:cs="Times New Roman" w:eastAsia="Times New Roman" w:hAnsi="Times New Roman"/>
          <w:sz w:val="18"/>
          <w:szCs w:val="18"/>
          <w:color w:val="auto"/>
        </w:rPr>
        <w:t>) with CRL, which replaced a substantially similar May 2007 master services agreement, pursuant to which CRL may assist us in the evaluation, development, commercialization and marketing of our potential product candidates, including AV-101, and provide regulatory and strategic consulting services as requested from time to time. Specific projects or services are and will be delineated in individual work orders negotiated from time-to-time under the MSA. Under the terms of work orders issued pursuant to the July 2017 MSA and our May 2007 master services agreement with CRL, we incurred expenses of $484,000 and $27,800 during the quarters ended September 30, 2017 and 2016, respectively, and $612,200 and $78,200 in the six-month periods ended September 30, 2017 and 2016, respectively. During the quarter ended September 30, 2017, we issued an aggregate of 300,000 unregistered shares of our common stock to CRL under the terms of certain work orders for current and future CRO services relating to our development of AV-101 for MDD, the fair value of which represented approximately $364,000 of the reported CRO expense for the quarter then ended. We anticipate periodic expenses for CRO services from CRL related to nonclinical and clinical development of, and regulatory affairs related to, AV-101 and other potential product candidates will increase in future periods.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evaluated subsequent events through November 9, 2017 and have identified the following matters requiring disclosure: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to Professional Services Providers</w:t>
      </w:r>
    </w:p>
    <w:p>
      <w:pPr>
        <w:spacing w:after="0" w:line="229"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In October 2017, we issued an aggregate of 70,000 shares of our unregistered common stock having an aggregate fair value of $83,800 to certain professional service providers.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5"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ectPr>
          <w:pgSz w:w="11900" w:h="16838" w:orient="portrait"/>
          <w:cols w:equalWidth="0" w:num="1">
            <w:col w:w="11420"/>
          </w:cols>
          <w:pgMar w:left="240" w:top="553" w:right="239" w:bottom="1440" w:gutter="0" w:footer="0" w:header="0"/>
        </w:sectPr>
      </w:pPr>
    </w:p>
    <w:bookmarkStart w:id="167" w:name="page168"/>
    <w:bookmarkEnd w:id="167"/>
    <w:p>
      <w:pPr>
        <w:jc w:val="center"/>
        <w:ind w:right="-20"/>
        <w:spacing w:after="0"/>
        <w:rPr>
          <w:sz w:val="20"/>
          <w:szCs w:val="20"/>
          <w:color w:val="auto"/>
        </w:rPr>
      </w:pPr>
      <w:r>
        <w:rPr>
          <w:rFonts w:ascii="Times New Roman" w:cs="Times New Roman" w:eastAsia="Times New Roman" w:hAnsi="Times New Roman"/>
          <w:sz w:val="26"/>
          <w:szCs w:val="26"/>
          <w:b w:val="1"/>
          <w:bCs w:val="1"/>
          <w:color w:val="auto"/>
        </w:rPr>
        <w:t>8,333,333 Shares of Common Stock</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Warrants to Purchase up to 8,333,333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2270125</wp:posOffset>
            </wp:positionH>
            <wp:positionV relativeFrom="paragraph">
              <wp:posOffset>490220</wp:posOffset>
            </wp:positionV>
            <wp:extent cx="1191895" cy="926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9189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Sole Book-Running Manager</w:t>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Oppenheimer &amp; Co.</w:t>
      </w: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Lead Manager</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Chardan</w:t>
      </w:r>
    </w:p>
    <w:p>
      <w:pPr>
        <w:spacing w:after="0" w:line="200" w:lineRule="exact"/>
        <w:rPr>
          <w:sz w:val="20"/>
          <w:szCs w:val="20"/>
          <w:color w:val="auto"/>
        </w:rPr>
      </w:pPr>
    </w:p>
    <w:p>
      <w:pPr>
        <w:spacing w:after="0" w:line="2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1249680</wp:posOffset>
            </wp:positionV>
            <wp:extent cx="72466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755" w:right="1440" w:bottom="1440" w:gutter="0" w:footer="0" w:header="0"/>
        </w:sectPr>
      </w:pPr>
    </w:p>
    <w:bookmarkStart w:id="168" w:name="page169"/>
    <w:bookmarkEnd w:id="168"/>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The following table presents the costs and expenses in connection with the issuance and distribution of the securities to be registered. No underwriting discounts and commissions shall be payable by us in connection with the resale of common stock being registered. Except as otherwise noted, we will pay all of these amounts. All amounts are estimates except the SEC registration fee and the FINRA filing fee.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21,265</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340,000</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of liability and indemnification</w:t>
      </w:r>
    </w:p>
    <w:p>
      <w:pPr>
        <w:spacing w:after="0" w:line="229"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Our amended and restated bylaws provide that we will indemnify our directors, officers and employees to the fullest extent permitted by the Nevada Revised Statutes (</w:t>
      </w:r>
      <w:r>
        <w:rPr>
          <w:rFonts w:ascii="Times New Roman" w:cs="Times New Roman" w:eastAsia="Times New Roman" w:hAnsi="Times New Roman"/>
          <w:sz w:val="18"/>
          <w:szCs w:val="18"/>
          <w:i w:val="1"/>
          <w:iCs w:val="1"/>
          <w:color w:val="auto"/>
        </w:rPr>
        <w:t>NRS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19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bylaws may discourage stockholders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190" w:lineRule="exact"/>
        <w:rPr>
          <w:sz w:val="20"/>
          <w:szCs w:val="20"/>
          <w:color w:val="auto"/>
        </w:rPr>
      </w:pPr>
    </w:p>
    <w:p>
      <w:pPr>
        <w:jc w:val="both"/>
        <w:ind w:right="580"/>
        <w:spacing w:after="0" w:line="26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86"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There is no pending litigation or proceeding naming any of our directors or officers as to which indemnification is being sought, nor are we aware of any pending or threatened litigation that may result in claims for indemnification.</w:t>
      </w:r>
    </w:p>
    <w:p>
      <w:pPr>
        <w:spacing w:after="0" w:line="174"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The form of Underwriting Agreement, attached as Exhibit 1.1 hereto, provides for indemnification by the underwriters of us and our officers who sign this Registration Statement and directors for specified liabilities, including matters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5" w:lineRule="exact"/>
        <w:rPr>
          <w:sz w:val="20"/>
          <w:szCs w:val="20"/>
          <w:color w:val="auto"/>
        </w:rPr>
      </w:pPr>
    </w:p>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issued the following securities in private placement transactions which were not registered under the Securities Act of 1933, as amended (</w:t>
      </w:r>
      <w:r>
        <w:rPr>
          <w:rFonts w:ascii="Times New Roman" w:cs="Times New Roman" w:eastAsia="Times New Roman" w:hAnsi="Times New Roman"/>
          <w:sz w:val="16"/>
          <w:szCs w:val="16"/>
          <w:i w:val="1"/>
          <w:iCs w:val="1"/>
          <w:color w:val="auto"/>
        </w:rPr>
        <w:t>Securities Act</w:t>
      </w:r>
      <w:r>
        <w:rPr>
          <w:rFonts w:ascii="Times New Roman" w:cs="Times New Roman" w:eastAsia="Times New Roman" w:hAnsi="Times New Roman"/>
          <w:sz w:val="16"/>
          <w:szCs w:val="16"/>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that have not been previously reported in a Quarterly Report on Form 10-Q or a Current Report on Form 8-K: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Issuances to Spring 2017 Private Placement Investors</w:t>
      </w:r>
    </w:p>
    <w:p>
      <w:pPr>
        <w:spacing w:after="0" w:line="227" w:lineRule="exact"/>
        <w:rPr>
          <w:sz w:val="20"/>
          <w:szCs w:val="20"/>
          <w:color w:val="auto"/>
        </w:rPr>
      </w:pPr>
    </w:p>
    <w:p>
      <w:pPr>
        <w:ind w:right="420"/>
        <w:spacing w:after="0" w:line="310" w:lineRule="auto"/>
        <w:rPr>
          <w:sz w:val="20"/>
          <w:szCs w:val="20"/>
          <w:color w:val="auto"/>
        </w:rPr>
      </w:pPr>
      <w:r>
        <w:rPr>
          <w:rFonts w:ascii="Times New Roman" w:cs="Times New Roman" w:eastAsia="Times New Roman" w:hAnsi="Times New Roman"/>
          <w:sz w:val="16"/>
          <w:szCs w:val="16"/>
          <w:color w:val="auto"/>
        </w:rPr>
        <w:t xml:space="preserve">In September 2017, we reduced the exercise price of all warrants issued in private placement transactions completed between April 1 and June 27, 2017 (the </w:t>
      </w:r>
      <w:r>
        <w:rPr>
          <w:rFonts w:ascii="Times New Roman" w:cs="Times New Roman" w:eastAsia="Times New Roman" w:hAnsi="Times New Roman"/>
          <w:sz w:val="16"/>
          <w:szCs w:val="16"/>
          <w:i w:val="1"/>
          <w:iCs w:val="1"/>
          <w:color w:val="auto"/>
        </w:rPr>
        <w:t>Spring 2017 Private Placement</w:t>
      </w:r>
      <w:r>
        <w:rPr>
          <w:rFonts w:ascii="Times New Roman" w:cs="Times New Roman" w:eastAsia="Times New Roman" w:hAnsi="Times New Roman"/>
          <w:sz w:val="16"/>
          <w:szCs w:val="16"/>
          <w:color w:val="auto"/>
        </w:rPr>
        <w:t>) from $4.00 to $2.00 per share. We also issued to each of the Spring 2017 Private Placement investors, each of who were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accredited investors, additional warrants to purchase an aggregate total of 247,501 shares of common stock, with an exercise price of $2.00 per share.</w:t>
      </w:r>
    </w:p>
    <w:p>
      <w:pPr>
        <w:sectPr>
          <w:pgSz w:w="11900" w:h="16838" w:orient="portrait"/>
          <w:cols w:equalWidth="0" w:num="1">
            <w:col w:w="11420"/>
          </w:cols>
          <w:pgMar w:left="240" w:top="123" w:right="239" w:bottom="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i w:val="1"/>
          <w:iCs w:val="1"/>
          <w:color w:val="auto"/>
        </w:rPr>
        <w:t>Issuance of Securities to Professional Service Providers</w:t>
      </w:r>
    </w:p>
    <w:p>
      <w:pPr>
        <w:spacing w:after="0" w:line="227"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In September 2017, we issued an aggregate total of 477,500 shares of unregistered common stock, having an aggregate fair value of $744,100, to certain professional service providers, and an aggregate total of 150,000 shares of unregistered common stock, having an aggregate fair value of $234,000, pursuant to certain financial advisory agreements, including a financial advisory agreement with Oppenheimer &amp; Co., Inc., to whom we issued 75,000 shares. In October 2017, we issued an aggregate total of 20,000 shares of unregistered shares of common stock with a fair value of $32,800 to certain professional service providers.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Shares in Private Placement</w:t>
      </w:r>
    </w:p>
    <w:p>
      <w:pPr>
        <w:spacing w:after="0" w:line="227"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In November 2017, in a self-placed private placement transaction, we sold to an accredited investor units consisting of (i) 150,000 shares of our unregistered common stock and (ii) warrants exercisable through November 30, 2021 to purchase 150,000 unregistered shares of our common stock at an exercise price of $2.00 per share. The warrants are not exercisable until six months and one day following the date of issuance. We received cash proceeds of $50,000 from this sale of our securities.</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Proceeds from each of the offerings were used for general corporate purposes. All of the above sales were made in reliance on Section 4(a)(2) of the Securities Act as transactions by and issuer not involving any public offering, Regulation D of the Securities Act, and/or Section 3(a)(9) under the Securities Act. In all such transactions, certain inquiries were made by the Company to establish that such sales qualified for such exemption from the registration requirements. In particular, the Company confirmed that, with respect to the exemption claimed under Section 4(a)(2) of the Securities Act, that (i) all offers of sales and sales were made by personal contact from officers and directors of the Company or other persons closely associated with the Company, (ii) each investor made representations that he, she or it was an accredited investor as defined in Rule 501 of Regulation D under the Securities Act (and the Company had no reason to believe that such representations were incorrect), (iii) each purchaser gave assurance of investment intent, and (iv) offers and sales within any offering were made only to a limited number of persons.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5" w:lineRule="exact"/>
        <w:rPr>
          <w:sz w:val="20"/>
          <w:szCs w:val="20"/>
          <w:color w:val="auto"/>
        </w:rPr>
      </w:pPr>
    </w:p>
    <w:p>
      <w:pPr>
        <w:ind w:left="580" w:hanging="248"/>
        <w:spacing w:after="0"/>
        <w:tabs>
          <w:tab w:leader="none" w:pos="5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The exhibits are incorporated by reference to the Exhibit Index attached hereto and a part hereof by reference.</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See page 110 for an index of the financial statements and financial statement schedules included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right="80" w:firstLine="648"/>
        <w:spacing w:after="0" w:line="291" w:lineRule="auto"/>
        <w:rPr>
          <w:sz w:val="20"/>
          <w:szCs w:val="20"/>
          <w:color w:val="auto"/>
        </w:rPr>
      </w:pPr>
      <w:r>
        <w:rPr>
          <w:rFonts w:ascii="Times New Roman" w:cs="Times New Roman" w:eastAsia="Times New Roman" w:hAnsi="Times New Roman"/>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225" w:lineRule="exact"/>
        <w:rPr>
          <w:sz w:val="20"/>
          <w:szCs w:val="20"/>
          <w:color w:val="auto"/>
        </w:rPr>
      </w:pPr>
    </w:p>
    <w:p>
      <w:pPr>
        <w:ind w:firstLine="656"/>
        <w:spacing w:after="0" w:line="262" w:lineRule="auto"/>
        <w:tabs>
          <w:tab w:leader="none" w:pos="13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Times New Roman" w:cs="Times New Roman" w:eastAsia="Times New Roman" w:hAnsi="Times New Roman"/>
          <w:sz w:val="18"/>
          <w:szCs w:val="18"/>
          <w:color w:val="auto"/>
        </w:rPr>
      </w:pPr>
    </w:p>
    <w:p>
      <w:pPr>
        <w:ind w:right="300" w:firstLine="656"/>
        <w:spacing w:after="0" w:line="262" w:lineRule="auto"/>
        <w:tabs>
          <w:tab w:leader="none" w:pos="13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these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39" w:right="279" w:bottom="1440" w:gutter="0" w:footer="0" w:header="0"/>
        </w:sectPr>
      </w:pPr>
    </w:p>
    <w:bookmarkStart w:id="170" w:name="page171"/>
    <w:bookmarkEnd w:id="170"/>
    <w:p>
      <w:pPr>
        <w:spacing w:after="0"/>
        <w:rPr>
          <w:rFonts w:ascii="Times New Roman" w:cs="Times New Roman" w:eastAsia="Times New Roman" w:hAnsi="Times New Roman"/>
          <w:sz w:val="18"/>
          <w:szCs w:val="18"/>
          <w:i w:val="1"/>
          <w:iCs w:val="1"/>
          <w:u w:val="single" w:color="auto"/>
          <w:color w:val="0000EE"/>
        </w:rPr>
      </w:pPr>
      <w:hyperlink w:anchor="page5">
        <w:r>
          <w:rPr>
            <w:rFonts w:ascii="Times New Roman" w:cs="Times New Roman" w:eastAsia="Times New Roman" w:hAnsi="Times New Roman"/>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80" w:firstLine="81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l933, the registrant has duly caused this Registration Statement to be signed on its behalf by the undersigned, thereunto duly authorized, in the City of South San Francisco, California on the 7th day of December, 2017.</w:t>
      </w:r>
    </w:p>
    <w:p>
      <w:pPr>
        <w:spacing w:after="0" w:line="1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Shawn K. Singh,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368744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Shawn K. Singh, JD</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l933, this Registration Statement has been signed by the following persons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7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394"/>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6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7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December 7, 2017</w:t>
            </w:r>
          </w:p>
        </w:tc>
      </w:tr>
      <w:tr>
        <w:trPr>
          <w:trHeight w:val="235"/>
        </w:trPr>
        <w:tc>
          <w:tcPr>
            <w:tcW w:w="31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Shawn K. Singh, JD</w:t>
            </w:r>
          </w:p>
        </w:tc>
        <w:tc>
          <w:tcPr>
            <w:tcW w:w="4720" w:type="dxa"/>
            <w:vAlign w:val="bottom"/>
          </w:tcPr>
          <w:p>
            <w:pPr>
              <w:ind w:left="1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660" w:type="dxa"/>
            <w:vAlign w:val="bottom"/>
          </w:tcPr>
          <w:p>
            <w:pPr>
              <w:spacing w:after="0"/>
              <w:rPr>
                <w:sz w:val="20"/>
                <w:szCs w:val="20"/>
                <w:color w:val="auto"/>
              </w:rPr>
            </w:pPr>
          </w:p>
        </w:tc>
      </w:tr>
      <w:tr>
        <w:trPr>
          <w:trHeight w:val="394"/>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6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7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December 7, 2017</w:t>
            </w:r>
          </w:p>
        </w:tc>
      </w:tr>
      <w:tr>
        <w:trPr>
          <w:trHeight w:val="235"/>
        </w:trPr>
        <w:tc>
          <w:tcPr>
            <w:tcW w:w="31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Jerrold D. Dotson</w:t>
            </w:r>
          </w:p>
        </w:tc>
        <w:tc>
          <w:tcPr>
            <w:tcW w:w="4720" w:type="dxa"/>
            <w:vAlign w:val="bottom"/>
          </w:tcPr>
          <w:p>
            <w:pPr>
              <w:ind w:left="10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660" w:type="dxa"/>
            <w:vAlign w:val="bottom"/>
          </w:tcPr>
          <w:p>
            <w:pPr>
              <w:spacing w:after="0"/>
              <w:rPr>
                <w:sz w:val="20"/>
                <w:szCs w:val="20"/>
                <w:color w:val="auto"/>
              </w:rPr>
            </w:pPr>
          </w:p>
        </w:tc>
      </w:tr>
      <w:tr>
        <w:trPr>
          <w:trHeight w:val="394"/>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6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7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President, Chief Scientific Officer and Director</w:t>
            </w:r>
          </w:p>
        </w:tc>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December 7, 2017</w:t>
            </w:r>
          </w:p>
        </w:tc>
      </w:tr>
      <w:tr>
        <w:trPr>
          <w:trHeight w:val="235"/>
        </w:trPr>
        <w:tc>
          <w:tcPr>
            <w:tcW w:w="31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H. Ralph Snodgrass, Ph.D.</w:t>
            </w:r>
          </w:p>
        </w:tc>
        <w:tc>
          <w:tcPr>
            <w:tcW w:w="47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94"/>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6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7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December 7, 2017</w:t>
            </w:r>
          </w:p>
        </w:tc>
      </w:tr>
      <w:tr>
        <w:trPr>
          <w:trHeight w:val="235"/>
        </w:trPr>
        <w:tc>
          <w:tcPr>
            <w:tcW w:w="31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Jon S. Saxe</w:t>
            </w:r>
          </w:p>
        </w:tc>
        <w:tc>
          <w:tcPr>
            <w:tcW w:w="47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94"/>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6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7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December 7, 2017</w:t>
            </w:r>
          </w:p>
        </w:tc>
      </w:tr>
      <w:tr>
        <w:trPr>
          <w:trHeight w:val="235"/>
        </w:trPr>
        <w:tc>
          <w:tcPr>
            <w:tcW w:w="31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Brian J. Underdown, Ph.D.</w:t>
            </w:r>
          </w:p>
        </w:tc>
        <w:tc>
          <w:tcPr>
            <w:tcW w:w="47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94"/>
        </w:trPr>
        <w:tc>
          <w:tcPr>
            <w:tcW w:w="13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/s/ *</w:t>
            </w:r>
          </w:p>
        </w:tc>
        <w:tc>
          <w:tcPr>
            <w:tcW w:w="1740" w:type="dxa"/>
            <w:vAlign w:val="bottom"/>
            <w:gridSpan w:val="3"/>
          </w:tcPr>
          <w:p>
            <w:pPr>
              <w:spacing w:after="0"/>
              <w:rPr>
                <w:sz w:val="24"/>
                <w:szCs w:val="24"/>
                <w:color w:val="auto"/>
              </w:rPr>
            </w:pPr>
          </w:p>
        </w:tc>
        <w:tc>
          <w:tcPr>
            <w:tcW w:w="47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December 7, 2017</w:t>
            </w:r>
          </w:p>
        </w:tc>
      </w:tr>
      <w:tr>
        <w:trPr>
          <w:trHeight w:val="235"/>
        </w:trPr>
        <w:tc>
          <w:tcPr>
            <w:tcW w:w="31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Jerry B. Gin, Ph.D.</w:t>
            </w:r>
          </w:p>
        </w:tc>
        <w:tc>
          <w:tcPr>
            <w:tcW w:w="472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9540" w:firstLine="8"/>
        <w:spacing w:after="0" w:line="275" w:lineRule="auto"/>
        <w:tabs>
          <w:tab w:leader="none" w:pos="13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Shawn K. Singh</w:t>
      </w:r>
      <w:r>
        <w:rPr>
          <w:rFonts w:ascii="Times New Roman" w:cs="Times New Roman" w:eastAsia="Times New Roman" w:hAnsi="Times New Roman"/>
          <w:sz w:val="18"/>
          <w:szCs w:val="18"/>
          <w:color w:val="auto"/>
        </w:rPr>
        <w:t xml:space="preserve"> Attorney-in-fact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3" w:right="319" w:bottom="1440" w:gutter="0" w:footer="0" w:header="0"/>
        </w:sectPr>
      </w:pPr>
    </w:p>
    <w:bookmarkStart w:id="171" w:name="page172"/>
    <w:bookmarkEnd w:id="17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gridSpan w:val="11"/>
          </w:tcPr>
          <w:p>
            <w:pPr>
              <w:spacing w:after="0"/>
              <w:rPr>
                <w:rFonts w:ascii="Times New Roman" w:cs="Times New Roman" w:eastAsia="Times New Roman" w:hAnsi="Times New Roman"/>
                <w:sz w:val="18"/>
                <w:szCs w:val="18"/>
                <w:i w:val="1"/>
                <w:iCs w:val="1"/>
                <w:color w:val="0000EE"/>
              </w:rPr>
            </w:pPr>
            <w:hyperlink w:anchor="page5">
              <w:r>
                <w:rPr>
                  <w:rFonts w:ascii="Times New Roman" w:cs="Times New Roman" w:eastAsia="Times New Roman" w:hAnsi="Times New Roman"/>
                  <w:sz w:val="18"/>
                  <w:szCs w:val="18"/>
                  <w:i w:val="1"/>
                  <w:iCs w:val="1"/>
                  <w:color w:val="0000EE"/>
                </w:rPr>
                <w:t>Table of Contents</w:t>
              </w:r>
            </w:hyperlink>
          </w:p>
        </w:tc>
        <w:tc>
          <w:tcPr>
            <w:tcW w:w="820" w:type="dxa"/>
            <w:vAlign w:val="bottom"/>
          </w:tcPr>
          <w:p>
            <w:pPr>
              <w:spacing w:after="0"/>
              <w:rPr>
                <w:sz w:val="17"/>
                <w:szCs w:val="17"/>
                <w:color w:val="auto"/>
              </w:rPr>
            </w:pPr>
          </w:p>
        </w:tc>
        <w:tc>
          <w:tcPr>
            <w:tcW w:w="9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7"/>
        </w:trPr>
        <w:tc>
          <w:tcPr>
            <w:tcW w:w="20" w:type="dxa"/>
            <w:vAlign w:val="bottom"/>
          </w:tcPr>
          <w:p>
            <w:pPr>
              <w:spacing w:after="0"/>
              <w:rPr>
                <w:sz w:val="24"/>
                <w:szCs w:val="24"/>
                <w:color w:val="auto"/>
              </w:rPr>
            </w:pPr>
          </w:p>
        </w:tc>
        <w:tc>
          <w:tcPr>
            <w:tcW w:w="1220" w:type="dxa"/>
            <w:vAlign w:val="bottom"/>
            <w:tcBorders>
              <w:top w:val="single" w:sz="8" w:color="0000EE"/>
            </w:tcBorders>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136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Exhibit No.</w:t>
            </w: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 w:type="dxa"/>
            <w:vAlign w:val="bottom"/>
            <w:gridSpan w:val="4"/>
            <w:shd w:val="clear" w:color="auto" w:fill="CCEEFF"/>
          </w:tcPr>
          <w:p>
            <w:pPr>
              <w:spacing w:after="0"/>
              <w:rPr>
                <w:sz w:val="15"/>
                <w:szCs w:val="15"/>
                <w:color w:val="auto"/>
              </w:rPr>
            </w:pPr>
          </w:p>
        </w:tc>
        <w:tc>
          <w:tcPr>
            <w:tcW w:w="240" w:type="dxa"/>
            <w:vAlign w:val="bottom"/>
            <w:gridSpan w:val="2"/>
            <w:shd w:val="clear" w:color="auto" w:fill="CCEEFF"/>
          </w:tcPr>
          <w:p>
            <w:pPr>
              <w:jc w:val="center"/>
              <w:ind w:right="20"/>
              <w:spacing w:after="0" w:line="176" w:lineRule="exact"/>
              <w:rPr>
                <w:rFonts w:ascii="Times New Roman" w:cs="Times New Roman" w:eastAsia="Times New Roman" w:hAnsi="Times New Roman"/>
                <w:sz w:val="18"/>
                <w:szCs w:val="18"/>
                <w:color w:val="0000EE"/>
                <w:w w:val="97"/>
              </w:rPr>
            </w:pPr>
            <w:hyperlink w:anchor="page175">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1</w:t>
              </w:r>
            </w:hyperlink>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gridSpan w:val="7"/>
          </w:tcPr>
          <w:p>
            <w:pPr>
              <w:jc w:val="center"/>
              <w:ind w:left="412"/>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Agreement and Plan of Merger by and among Excaliber Enterprises, Ltd., VistaGen Therapeutics, Inc. and Excaliber Merger Subsidiary,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gridSpan w:val="7"/>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Articles of Incorporation, dated October 6, 2005.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w w:val="99"/>
              </w:rPr>
              <w:t>Certificate of Amendment filed with the Nevada Secretary of State on December 6, 2011, incorporated by reference from Exhibit 3.3 to the</w:t>
            </w:r>
          </w:p>
        </w:tc>
        <w:tc>
          <w:tcPr>
            <w:tcW w:w="0" w:type="dxa"/>
            <w:vAlign w:val="bottom"/>
          </w:tcPr>
          <w:p>
            <w:pPr>
              <w:spacing w:after="0"/>
              <w:rPr>
                <w:sz w:val="1"/>
                <w:szCs w:val="1"/>
                <w:color w:val="auto"/>
              </w:rPr>
            </w:pPr>
          </w:p>
        </w:tc>
      </w:tr>
      <w:tr>
        <w:trPr>
          <w:trHeight w:val="229"/>
        </w:trPr>
        <w:tc>
          <w:tcPr>
            <w:tcW w:w="800" w:type="dxa"/>
            <w:vAlign w:val="bottom"/>
            <w:gridSpan w:val="6"/>
          </w:tcPr>
          <w:p>
            <w:pPr>
              <w:jc w:val="center"/>
              <w:ind w:left="452"/>
              <w:spacing w:after="0"/>
              <w:rPr>
                <w:sz w:val="20"/>
                <w:szCs w:val="20"/>
                <w:color w:val="auto"/>
              </w:rPr>
            </w:pPr>
            <w:r>
              <w:rPr>
                <w:rFonts w:ascii="Times New Roman" w:cs="Times New Roman" w:eastAsia="Times New Roman" w:hAnsi="Times New Roman"/>
                <w:sz w:val="18"/>
                <w:szCs w:val="18"/>
                <w:color w:val="auto"/>
                <w:w w:val="97"/>
              </w:rPr>
              <w:t>3.2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Company’s Annual Report on Form 10-K, filed July 2, 2012.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8"/>
              </w:rPr>
              <w:t>Amended and Restated Bylaws as of February 5, 2014, incorporated by reference from the Company’s Report on Form 8-K filed on February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gridSpan w:val="5"/>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w w:val="97"/>
              </w:rPr>
              <w:t>3.3</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7, 2014.</w:t>
            </w:r>
          </w:p>
        </w:tc>
        <w:tc>
          <w:tcPr>
            <w:tcW w:w="9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w w:val="99"/>
              </w:rPr>
              <w:t>Articles of Merger filed with the Nevada Secretary of State on May 24, 2011, incorporated by reference from Exhibit 3.1 to the Company’s</w:t>
            </w:r>
          </w:p>
        </w:tc>
        <w:tc>
          <w:tcPr>
            <w:tcW w:w="0" w:type="dxa"/>
            <w:vAlign w:val="bottom"/>
          </w:tcPr>
          <w:p>
            <w:pPr>
              <w:spacing w:after="0"/>
              <w:rPr>
                <w:sz w:val="1"/>
                <w:szCs w:val="1"/>
                <w:color w:val="auto"/>
              </w:rPr>
            </w:pPr>
          </w:p>
        </w:tc>
      </w:tr>
      <w:tr>
        <w:trPr>
          <w:trHeight w:val="229"/>
        </w:trPr>
        <w:tc>
          <w:tcPr>
            <w:tcW w:w="800" w:type="dxa"/>
            <w:vAlign w:val="bottom"/>
            <w:gridSpan w:val="6"/>
          </w:tcPr>
          <w:p>
            <w:pPr>
              <w:jc w:val="center"/>
              <w:ind w:left="452"/>
              <w:spacing w:after="0"/>
              <w:rPr>
                <w:sz w:val="20"/>
                <w:szCs w:val="20"/>
                <w:color w:val="auto"/>
              </w:rPr>
            </w:pPr>
            <w:r>
              <w:rPr>
                <w:rFonts w:ascii="Times New Roman" w:cs="Times New Roman" w:eastAsia="Times New Roman" w:hAnsi="Times New Roman"/>
                <w:sz w:val="18"/>
                <w:szCs w:val="18"/>
                <w:color w:val="auto"/>
                <w:w w:val="97"/>
              </w:rPr>
              <w:t>3.4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 filed on May 31, 2011.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Certificate of Designations Series A Preferred, incorporated by reference from Exhibit 3.1 to the Company’s Current Report on Form 8-K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gridSpan w:val="5"/>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w w:val="97"/>
              </w:rPr>
              <w:t>3.5</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filed on December 23, 2011.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Certificate of Change filed with the Nevada Secretary of State on August 11, 2014 incorporated by reference from Exhibit 3.1 to the</w:t>
            </w:r>
          </w:p>
        </w:tc>
        <w:tc>
          <w:tcPr>
            <w:tcW w:w="0" w:type="dxa"/>
            <w:vAlign w:val="bottom"/>
          </w:tcPr>
          <w:p>
            <w:pPr>
              <w:spacing w:after="0"/>
              <w:rPr>
                <w:sz w:val="1"/>
                <w:szCs w:val="1"/>
                <w:color w:val="auto"/>
              </w:rPr>
            </w:pPr>
          </w:p>
        </w:tc>
      </w:tr>
      <w:tr>
        <w:trPr>
          <w:trHeight w:val="228"/>
        </w:trPr>
        <w:tc>
          <w:tcPr>
            <w:tcW w:w="800" w:type="dxa"/>
            <w:vAlign w:val="bottom"/>
            <w:gridSpan w:val="6"/>
          </w:tcPr>
          <w:p>
            <w:pPr>
              <w:jc w:val="center"/>
              <w:ind w:left="452"/>
              <w:spacing w:after="0"/>
              <w:rPr>
                <w:sz w:val="20"/>
                <w:szCs w:val="20"/>
                <w:color w:val="auto"/>
              </w:rPr>
            </w:pPr>
            <w:r>
              <w:rPr>
                <w:rFonts w:ascii="Times New Roman" w:cs="Times New Roman" w:eastAsia="Times New Roman" w:hAnsi="Times New Roman"/>
                <w:sz w:val="18"/>
                <w:szCs w:val="18"/>
                <w:color w:val="auto"/>
                <w:w w:val="97"/>
              </w:rPr>
              <w:t>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Company’s Current Report on Form 8-K filed on August 14, 2014.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0" w:type="dxa"/>
            <w:vAlign w:val="bottom"/>
            <w:gridSpan w:val="5"/>
            <w:shd w:val="clear" w:color="auto" w:fill="CCEEFF"/>
          </w:tcPr>
          <w:p>
            <w:pPr>
              <w:jc w:val="center"/>
              <w:ind w:left="432"/>
              <w:spacing w:after="0" w:line="204" w:lineRule="exact"/>
              <w:rPr>
                <w:sz w:val="20"/>
                <w:szCs w:val="20"/>
                <w:color w:val="auto"/>
              </w:rPr>
            </w:pPr>
            <w:r>
              <w:rPr>
                <w:rFonts w:ascii="Times New Roman" w:cs="Times New Roman" w:eastAsia="Times New Roman" w:hAnsi="Times New Roman"/>
                <w:sz w:val="18"/>
                <w:szCs w:val="18"/>
                <w:color w:val="auto"/>
                <w:w w:val="97"/>
              </w:rPr>
              <w:t>3.7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w w:val="98"/>
              </w:rPr>
              <w:t>Certificate of Designation of the Relative Rights and Preferences of the Series B 10% Convertible Preferred Stock of VistaGen Therapeutics,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Inc., filed with the Nevada Secretary of State on May 7, 2015, incorporated by reference from Exhibit 3.1 to the Company’s Current Report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8-K filed on May 13, 2015.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 w:type="dxa"/>
            <w:vAlign w:val="bottom"/>
            <w:gridSpan w:val="5"/>
          </w:tcPr>
          <w:p>
            <w:pPr>
              <w:jc w:val="center"/>
              <w:ind w:left="432"/>
              <w:spacing w:after="0" w:line="201" w:lineRule="exact"/>
              <w:rPr>
                <w:sz w:val="20"/>
                <w:szCs w:val="20"/>
                <w:color w:val="auto"/>
              </w:rPr>
            </w:pPr>
            <w:r>
              <w:rPr>
                <w:rFonts w:ascii="Times New Roman" w:cs="Times New Roman" w:eastAsia="Times New Roman" w:hAnsi="Times New Roman"/>
                <w:sz w:val="18"/>
                <w:szCs w:val="18"/>
                <w:color w:val="auto"/>
                <w:w w:val="97"/>
              </w:rPr>
              <w:t>3.8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w w:val="99"/>
              </w:rPr>
              <w:t>Certificate of Amendment to the Articles of Incorporation of VistaGen Therapeutics, Inc., dated August 24, 2015, incorporated by reference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Exhibit 3.1 to the Company’s Current Report on Form 8-K filed on August 25, 2015.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0" w:type="dxa"/>
            <w:vAlign w:val="bottom"/>
            <w:gridSpan w:val="5"/>
            <w:shd w:val="clear" w:color="auto" w:fill="CCEEFF"/>
          </w:tcPr>
          <w:p>
            <w:pPr>
              <w:jc w:val="center"/>
              <w:ind w:left="432"/>
              <w:spacing w:after="0" w:line="204" w:lineRule="exact"/>
              <w:rPr>
                <w:sz w:val="20"/>
                <w:szCs w:val="20"/>
                <w:color w:val="auto"/>
              </w:rPr>
            </w:pPr>
            <w:r>
              <w:rPr>
                <w:rFonts w:ascii="Times New Roman" w:cs="Times New Roman" w:eastAsia="Times New Roman" w:hAnsi="Times New Roman"/>
                <w:sz w:val="18"/>
                <w:szCs w:val="18"/>
                <w:color w:val="auto"/>
                <w:w w:val="97"/>
              </w:rPr>
              <w:t>3.9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w w:val="98"/>
              </w:rPr>
              <w:t>Certificate of Designation of the Relative Rights and Preferences of the Series C Convertible Preferred Stock of VistaGen Therapeutics, Inc.,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dated January 25, 2016, incorporated by reference from Exhibit 3.1 to the Company’s Current Report on Form 8-K filed on January 29, 2016.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w w:val="99"/>
              </w:rPr>
              <w:t>Restated Articles of Incorporation of VistaGen Therapeutics, Inc., dated August 16, 2016, incorporated by reference from Exhibit 3.1 to the</w:t>
            </w:r>
          </w:p>
        </w:tc>
        <w:tc>
          <w:tcPr>
            <w:tcW w:w="0" w:type="dxa"/>
            <w:vAlign w:val="bottom"/>
          </w:tcPr>
          <w:p>
            <w:pPr>
              <w:spacing w:after="0"/>
              <w:rPr>
                <w:sz w:val="1"/>
                <w:szCs w:val="1"/>
                <w:color w:val="auto"/>
              </w:rPr>
            </w:pPr>
          </w:p>
        </w:tc>
      </w:tr>
      <w:tr>
        <w:trPr>
          <w:trHeight w:val="229"/>
        </w:trPr>
        <w:tc>
          <w:tcPr>
            <w:tcW w:w="820" w:type="dxa"/>
            <w:vAlign w:val="bottom"/>
            <w:gridSpan w:val="7"/>
          </w:tcPr>
          <w:p>
            <w:pPr>
              <w:jc w:val="center"/>
              <w:ind w:left="432"/>
              <w:spacing w:after="0"/>
              <w:rPr>
                <w:sz w:val="20"/>
                <w:szCs w:val="20"/>
                <w:color w:val="auto"/>
              </w:rPr>
            </w:pPr>
            <w:r>
              <w:rPr>
                <w:rFonts w:ascii="Times New Roman" w:cs="Times New Roman" w:eastAsia="Times New Roman" w:hAnsi="Times New Roman"/>
                <w:sz w:val="18"/>
                <w:szCs w:val="18"/>
                <w:color w:val="auto"/>
                <w:w w:val="95"/>
              </w:rPr>
              <w:t>3.10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Company’s Current Report on Form 8-K, filed on August 17, 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8"/>
              </w:rPr>
              <w:t>Second Amended and Restated Bylaws of VistaGen Therapeutics, Inc., dated August 16, 2016, incorporated by reference from Exhibit 3.2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gridSpan w:val="6"/>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5"/>
              </w:rPr>
              <w:t>3.11</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Company’s Current Report on Form 8-K, filed on August 16, 2016.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gridSpan w:val="6"/>
          </w:tcPr>
          <w:p>
            <w:pPr>
              <w:jc w:val="center"/>
              <w:ind w:left="412"/>
              <w:spacing w:after="0" w:line="176" w:lineRule="exact"/>
              <w:rPr>
                <w:rFonts w:ascii="Times New Roman" w:cs="Times New Roman" w:eastAsia="Times New Roman" w:hAnsi="Times New Roman"/>
                <w:sz w:val="18"/>
                <w:szCs w:val="18"/>
                <w:color w:val="0000EE"/>
                <w:w w:val="95"/>
              </w:rPr>
            </w:pPr>
            <w:hyperlink r:id="rId193">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12</w:t>
              </w:r>
            </w:hyperlink>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w w:val="98"/>
              </w:rPr>
              <w:t>Certificate of Amendment to the Restated and Amended Articles of Incorporation of VistaGen Therapeutics, Inc., dated September 15, 2017;</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incorporated by reference form Exhibit 3.1 to the Company’s Current Report on Form 8-K, filed on September 20, 2017.</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 w:type="dxa"/>
            <w:vAlign w:val="bottom"/>
            <w:gridSpan w:val="4"/>
            <w:shd w:val="clear" w:color="auto" w:fill="CCEEFF"/>
          </w:tcPr>
          <w:p>
            <w:pPr>
              <w:spacing w:after="0"/>
              <w:rPr>
                <w:sz w:val="15"/>
                <w:szCs w:val="15"/>
                <w:color w:val="auto"/>
              </w:rPr>
            </w:pPr>
          </w:p>
        </w:tc>
        <w:tc>
          <w:tcPr>
            <w:tcW w:w="240" w:type="dxa"/>
            <w:vAlign w:val="bottom"/>
            <w:gridSpan w:val="2"/>
            <w:shd w:val="clear" w:color="auto" w:fill="CCEEFF"/>
          </w:tcPr>
          <w:p>
            <w:pPr>
              <w:jc w:val="center"/>
              <w:ind w:right="20"/>
              <w:spacing w:after="0" w:line="177" w:lineRule="exact"/>
              <w:rPr>
                <w:rFonts w:ascii="Times New Roman" w:cs="Times New Roman" w:eastAsia="Times New Roman" w:hAnsi="Times New Roman"/>
                <w:sz w:val="18"/>
                <w:szCs w:val="18"/>
                <w:color w:val="0000EE"/>
                <w:w w:val="97"/>
              </w:rPr>
            </w:pPr>
            <w:hyperlink w:anchor="page201">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Form of Warrant.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 w:type="dxa"/>
            <w:vAlign w:val="bottom"/>
            <w:gridSpan w:val="4"/>
          </w:tcPr>
          <w:p>
            <w:pPr>
              <w:spacing w:after="0"/>
              <w:rPr>
                <w:sz w:val="15"/>
                <w:szCs w:val="15"/>
                <w:color w:val="auto"/>
              </w:rPr>
            </w:pPr>
          </w:p>
        </w:tc>
        <w:tc>
          <w:tcPr>
            <w:tcW w:w="240" w:type="dxa"/>
            <w:vAlign w:val="bottom"/>
            <w:gridSpan w:val="2"/>
          </w:tcPr>
          <w:p>
            <w:pPr>
              <w:jc w:val="center"/>
              <w:ind w:right="20"/>
              <w:spacing w:after="0" w:line="176" w:lineRule="exact"/>
              <w:rPr>
                <w:rFonts w:ascii="Times New Roman" w:cs="Times New Roman" w:eastAsia="Times New Roman" w:hAnsi="Times New Roman"/>
                <w:sz w:val="18"/>
                <w:szCs w:val="18"/>
                <w:color w:val="0000EE"/>
                <w:w w:val="97"/>
              </w:rPr>
            </w:pPr>
            <w:hyperlink w:anchor="page220">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hyperlink>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Opinion of Disclosure Law Group, a Professional Corporation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8"/>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10.1*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VistaGen’s 1999 Stock Incentive 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8"/>
          </w:tcPr>
          <w:p>
            <w:pPr>
              <w:jc w:val="center"/>
              <w:ind w:left="192"/>
              <w:spacing w:after="0"/>
              <w:rPr>
                <w:sz w:val="20"/>
                <w:szCs w:val="20"/>
                <w:color w:val="auto"/>
              </w:rPr>
            </w:pPr>
            <w:r>
              <w:rPr>
                <w:rFonts w:ascii="Times New Roman" w:cs="Times New Roman" w:eastAsia="Times New Roman" w:hAnsi="Times New Roman"/>
                <w:sz w:val="18"/>
                <w:szCs w:val="18"/>
                <w:color w:val="auto"/>
                <w:w w:val="98"/>
              </w:rPr>
              <w:t>10.5*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VistaGen’s 2008 Stock Incentive 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8"/>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6"/>
              </w:rPr>
              <w:t>10.20*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Strategic Development Services Agreement, dated February 26, 2007, by and between VistaGen and Cato Research Ltd.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8"/>
          </w:tcPr>
          <w:p>
            <w:pPr>
              <w:jc w:val="center"/>
              <w:ind w:left="192"/>
              <w:spacing w:after="0"/>
              <w:rPr>
                <w:sz w:val="20"/>
                <w:szCs w:val="20"/>
                <w:color w:val="auto"/>
              </w:rPr>
            </w:pPr>
            <w:r>
              <w:rPr>
                <w:rFonts w:ascii="Times New Roman" w:cs="Times New Roman" w:eastAsia="Times New Roman" w:hAnsi="Times New Roman"/>
                <w:sz w:val="18"/>
                <w:szCs w:val="18"/>
                <w:color w:val="auto"/>
                <w:w w:val="96"/>
              </w:rPr>
              <w:t>10.22*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License Agreement by and between Mount Sinai School of Medicine of New York University and the Company, dated October 1, 2004.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Non-Exclusive License Agreement, dated December 5, 2008, by and between VistaGen and Wisconsin Alumni Research Foundation,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gridSpan w:val="8"/>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6"/>
              </w:rPr>
              <w:t>10.23*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amended by that certain Wisconsin Materials Addendum, dated February 2, 2009.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80" w:type="dxa"/>
            <w:vAlign w:val="bottom"/>
            <w:gridSpan w:val="8"/>
          </w:tcPr>
          <w:p>
            <w:pPr>
              <w:jc w:val="center"/>
              <w:ind w:left="192"/>
              <w:spacing w:after="0" w:line="201" w:lineRule="exact"/>
              <w:rPr>
                <w:sz w:val="20"/>
                <w:szCs w:val="20"/>
                <w:color w:val="auto"/>
              </w:rPr>
            </w:pPr>
            <w:r>
              <w:rPr>
                <w:rFonts w:ascii="Times New Roman" w:cs="Times New Roman" w:eastAsia="Times New Roman" w:hAnsi="Times New Roman"/>
                <w:sz w:val="18"/>
                <w:szCs w:val="18"/>
                <w:color w:val="auto"/>
                <w:w w:val="96"/>
              </w:rPr>
              <w:t>10.24*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w w:val="98"/>
              </w:rPr>
              <w:t>Sponsored Research Collaboration Agreement, dated September 18, 2007, between VistaGen and University Health Network, as amended by</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that certain Amendment No. 1 and Amendment No. 2, dated April 19, 2010 and December 15, 2010, respectively.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License Agreement, dated October 24, 2001, by and between the University of Maryland, Baltimore, Cornell Research Foundation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gridSpan w:val="8"/>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6"/>
              </w:rPr>
              <w:t>10.26*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Artemis Neuroscience,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8"/>
          </w:tcPr>
          <w:p>
            <w:pPr>
              <w:jc w:val="center"/>
              <w:ind w:left="192"/>
              <w:spacing w:after="0"/>
              <w:rPr>
                <w:sz w:val="20"/>
                <w:szCs w:val="20"/>
                <w:color w:val="auto"/>
              </w:rPr>
            </w:pPr>
            <w:r>
              <w:rPr>
                <w:rFonts w:ascii="Times New Roman" w:cs="Times New Roman" w:eastAsia="Times New Roman" w:hAnsi="Times New Roman"/>
                <w:sz w:val="18"/>
                <w:szCs w:val="18"/>
                <w:color w:val="auto"/>
                <w:w w:val="96"/>
              </w:rPr>
              <w:t>10.31*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Unsecured Promissory Note dated April 28, 2011 issued by VistaGen to Desjardins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8"/>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6"/>
              </w:rPr>
              <w:t>10.32*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Promissory Note dated April 28, 2011 issued by VistaGen to McCarthy Tetrault LLP.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8"/>
          </w:tcPr>
          <w:p>
            <w:pPr>
              <w:jc w:val="center"/>
              <w:ind w:left="192"/>
              <w:spacing w:after="0"/>
              <w:rPr>
                <w:sz w:val="20"/>
                <w:szCs w:val="20"/>
                <w:color w:val="auto"/>
              </w:rPr>
            </w:pPr>
            <w:r>
              <w:rPr>
                <w:rFonts w:ascii="Times New Roman" w:cs="Times New Roman" w:eastAsia="Times New Roman" w:hAnsi="Times New Roman"/>
                <w:sz w:val="18"/>
                <w:szCs w:val="18"/>
                <w:color w:val="auto"/>
                <w:w w:val="96"/>
              </w:rPr>
              <w:t>10.34*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Promissory Note dated February 25, 2010 issued by VistaGen to The Regents of the University of California.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8"/>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6"/>
              </w:rPr>
              <w:t>10.40*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Employment Agreement, by and between, VistaGen and Shawn K. Singh, dated April 28, 2010, as amended May 9,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8"/>
          </w:tcPr>
          <w:p>
            <w:pPr>
              <w:jc w:val="center"/>
              <w:ind w:left="192"/>
              <w:spacing w:after="0"/>
              <w:rPr>
                <w:sz w:val="20"/>
                <w:szCs w:val="20"/>
                <w:color w:val="auto"/>
              </w:rPr>
            </w:pPr>
            <w:r>
              <w:rPr>
                <w:rFonts w:ascii="Times New Roman" w:cs="Times New Roman" w:eastAsia="Times New Roman" w:hAnsi="Times New Roman"/>
                <w:sz w:val="18"/>
                <w:szCs w:val="18"/>
                <w:color w:val="auto"/>
                <w:w w:val="96"/>
              </w:rPr>
              <w:t>10.41*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Agreement, by and between, VistaGen and H. Ralph Snodgrass, PhD, dated April 28, 2010, as amended May 9, 2011.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80" w:type="dxa"/>
            <w:vAlign w:val="bottom"/>
            <w:gridSpan w:val="8"/>
            <w:shd w:val="clear" w:color="auto" w:fill="CCEEFF"/>
          </w:tcPr>
          <w:p>
            <w:pPr>
              <w:jc w:val="center"/>
              <w:ind w:left="152"/>
              <w:spacing w:after="0" w:line="201" w:lineRule="exact"/>
              <w:rPr>
                <w:sz w:val="20"/>
                <w:szCs w:val="20"/>
                <w:color w:val="auto"/>
              </w:rPr>
            </w:pPr>
            <w:r>
              <w:rPr>
                <w:rFonts w:ascii="Times New Roman" w:cs="Times New Roman" w:eastAsia="Times New Roman" w:hAnsi="Times New Roman"/>
                <w:sz w:val="18"/>
                <w:szCs w:val="18"/>
                <w:color w:val="0563C1"/>
                <w:w w:val="98"/>
              </w:rPr>
              <w:t>10.46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99"/>
              </w:rPr>
              <w:t>Notice of Award by National Institutes of Health, Small Business Innovation Research Program, to VistaGen Therapeutics, Inc. for project,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Clinical Development of 4-CI-KYN to Treat Pain dated June 22, 2009, with revisions dated July 19, 2010 and August 9, 2011, incorporated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by reference from Exhibit 10.46 to the Company’s Current Report on Form 8-K/A filed on December 20, 2011.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80" w:type="dxa"/>
            <w:vAlign w:val="bottom"/>
            <w:gridSpan w:val="8"/>
          </w:tcPr>
          <w:p>
            <w:pPr>
              <w:jc w:val="center"/>
              <w:ind w:left="152"/>
              <w:spacing w:after="0" w:line="201" w:lineRule="exact"/>
              <w:rPr>
                <w:sz w:val="20"/>
                <w:szCs w:val="20"/>
                <w:color w:val="auto"/>
              </w:rPr>
            </w:pPr>
            <w:r>
              <w:rPr>
                <w:rFonts w:ascii="Times New Roman" w:cs="Times New Roman" w:eastAsia="Times New Roman" w:hAnsi="Times New Roman"/>
                <w:sz w:val="18"/>
                <w:szCs w:val="18"/>
                <w:color w:val="0563C1"/>
                <w:w w:val="98"/>
              </w:rPr>
              <w:t>10.47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w w:val="98"/>
              </w:rPr>
              <w:t>Notice of Grant Award by California Institute of Regenerative Medicine and VistaGen Therapeutics, Inc. for Project: Development of an hES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Cell-Based Assay System for Hepatocyte Differentiation Studies and Predictive Toxicology Drug Screening, dated April 1, 2009, incorporated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reference from Exhibit 10.47 to the Company’s Current Report on Form 8-K/A filed on December 20, 2011.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80" w:type="dxa"/>
            <w:vAlign w:val="bottom"/>
            <w:gridSpan w:val="8"/>
            <w:shd w:val="clear" w:color="auto" w:fill="CCEEFF"/>
          </w:tcPr>
          <w:p>
            <w:pPr>
              <w:jc w:val="center"/>
              <w:ind w:left="152"/>
              <w:spacing w:after="0" w:line="204" w:lineRule="exact"/>
              <w:rPr>
                <w:sz w:val="20"/>
                <w:szCs w:val="20"/>
                <w:color w:val="auto"/>
              </w:rPr>
            </w:pPr>
            <w:r>
              <w:rPr>
                <w:rFonts w:ascii="Times New Roman" w:cs="Times New Roman" w:eastAsia="Times New Roman" w:hAnsi="Times New Roman"/>
                <w:sz w:val="18"/>
                <w:szCs w:val="18"/>
                <w:color w:val="0563C1"/>
                <w:w w:val="98"/>
              </w:rPr>
              <w:t>10.48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Amendment No. 4, dated October 24, 2011, to Sponsored Research Collaboration Agreement between VistaGen and University Health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Network, incorporated by reference from Exhibit 10.2 to the Company’s Current Report on Form 8-K filed on November 30, 2011.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80" w:type="dxa"/>
            <w:vAlign w:val="bottom"/>
            <w:gridSpan w:val="8"/>
          </w:tcPr>
          <w:p>
            <w:pPr>
              <w:jc w:val="center"/>
              <w:ind w:left="152"/>
              <w:spacing w:after="0" w:line="201" w:lineRule="exact"/>
              <w:rPr>
                <w:sz w:val="20"/>
                <w:szCs w:val="20"/>
                <w:color w:val="auto"/>
              </w:rPr>
            </w:pPr>
            <w:r>
              <w:rPr>
                <w:rFonts w:ascii="Times New Roman" w:cs="Times New Roman" w:eastAsia="Times New Roman" w:hAnsi="Times New Roman"/>
                <w:sz w:val="18"/>
                <w:szCs w:val="18"/>
                <w:color w:val="0563C1"/>
                <w:w w:val="98"/>
              </w:rPr>
              <w:t>10.49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w w:val="97"/>
              </w:rPr>
              <w:t>License Agreement No. 1, dated as of October 24, 2011 between University Health Network and VistaGen Therapeutics, Inc., incorporated by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reference from Exhibit 10.1 to the Company’s Current Report on Form 8-K filed on November 30, 2011.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80" w:type="dxa"/>
            <w:vAlign w:val="bottom"/>
            <w:gridSpan w:val="8"/>
            <w:shd w:val="clear" w:color="auto" w:fill="CCEEFF"/>
          </w:tcPr>
          <w:p>
            <w:pPr>
              <w:jc w:val="center"/>
              <w:ind w:left="152"/>
              <w:spacing w:after="0" w:line="204" w:lineRule="exact"/>
              <w:rPr>
                <w:sz w:val="20"/>
                <w:szCs w:val="20"/>
                <w:color w:val="auto"/>
              </w:rPr>
            </w:pPr>
            <w:r>
              <w:rPr>
                <w:rFonts w:ascii="Times New Roman" w:cs="Times New Roman" w:eastAsia="Times New Roman" w:hAnsi="Times New Roman"/>
                <w:sz w:val="18"/>
                <w:szCs w:val="18"/>
                <w:color w:val="0563C1"/>
                <w:w w:val="98"/>
              </w:rPr>
              <w:t>10.50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w w:val="99"/>
              </w:rPr>
              <w:t>Strategic Medicinal Chemistry Services Agreement, dated as of December 6, 2011, between Synterys, Inc. and VistaGen Therapeutics, Inc.,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incorporated by reference from Exhibit 10.1 to the Company’s Current Report on Form 8-K filed on December 7, 2011.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80" w:type="dxa"/>
            <w:vAlign w:val="bottom"/>
            <w:gridSpan w:val="8"/>
          </w:tcPr>
          <w:p>
            <w:pPr>
              <w:jc w:val="center"/>
              <w:ind w:left="152"/>
              <w:spacing w:after="0" w:line="201" w:lineRule="exact"/>
              <w:rPr>
                <w:sz w:val="20"/>
                <w:szCs w:val="20"/>
                <w:color w:val="auto"/>
              </w:rPr>
            </w:pPr>
            <w:r>
              <w:rPr>
                <w:rFonts w:ascii="Times New Roman" w:cs="Times New Roman" w:eastAsia="Times New Roman" w:hAnsi="Times New Roman"/>
                <w:sz w:val="18"/>
                <w:szCs w:val="18"/>
                <w:color w:val="0563C1"/>
                <w:w w:val="98"/>
              </w:rPr>
              <w:t>10.51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Common Stock Exchange Agreement, dated as of December 22, 2011 between Platinum Long Term Growth VII, LLC and VistaGen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Therapeutics, Inc., incorporated by reference from Exhibit 10.1 to the Company’s Current Report on Form 8-K filed on December 23, 2011.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80" w:type="dxa"/>
            <w:vAlign w:val="bottom"/>
            <w:gridSpan w:val="8"/>
            <w:shd w:val="clear" w:color="auto" w:fill="CCEEFF"/>
          </w:tcPr>
          <w:p>
            <w:pPr>
              <w:jc w:val="center"/>
              <w:ind w:left="152"/>
              <w:spacing w:after="0" w:line="204" w:lineRule="exact"/>
              <w:rPr>
                <w:sz w:val="20"/>
                <w:szCs w:val="20"/>
                <w:color w:val="auto"/>
              </w:rPr>
            </w:pPr>
            <w:r>
              <w:rPr>
                <w:rFonts w:ascii="Times New Roman" w:cs="Times New Roman" w:eastAsia="Times New Roman" w:hAnsi="Times New Roman"/>
                <w:sz w:val="18"/>
                <w:szCs w:val="18"/>
                <w:color w:val="0563C1"/>
                <w:w w:val="98"/>
              </w:rPr>
              <w:t>10.52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Note and Warrant Exchange Agreement, dated as of December 28, 2011 between Platinum Long Term Growth VII, LLC and VistaGen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Therapeutics, Inc., incorporated by reference from Exhibit 10.1 to the Current Report on Form 8-K filed on January 4, 2012.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gridSpan w:val="8"/>
          </w:tcPr>
          <w:p>
            <w:pPr>
              <w:jc w:val="center"/>
              <w:ind w:left="152"/>
              <w:spacing w:after="0" w:line="176" w:lineRule="exact"/>
              <w:rPr>
                <w:rFonts w:ascii="Times New Roman" w:cs="Times New Roman" w:eastAsia="Times New Roman" w:hAnsi="Times New Roman"/>
                <w:sz w:val="18"/>
                <w:szCs w:val="18"/>
                <w:color w:val="0000EE"/>
                <w:w w:val="98"/>
              </w:rPr>
            </w:pPr>
            <w:hyperlink r:id="rId194">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55</w:t>
              </w:r>
            </w:hyperlink>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w w:val="99"/>
              </w:rPr>
              <w:t>Form of Warrant to Purchase Common Stock, dated as of February 28, 2012, incorporated by reference from Exhibit 10.3 to the Company’s</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 filed on March 2, 2012.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80" w:type="dxa"/>
            <w:vAlign w:val="bottom"/>
            <w:gridSpan w:val="8"/>
            <w:shd w:val="clear" w:color="auto" w:fill="CCEEFF"/>
          </w:tcPr>
          <w:p>
            <w:pPr>
              <w:jc w:val="center"/>
              <w:ind w:left="152"/>
              <w:spacing w:after="0" w:line="204" w:lineRule="exact"/>
              <w:rPr>
                <w:sz w:val="20"/>
                <w:szCs w:val="20"/>
                <w:color w:val="auto"/>
              </w:rPr>
            </w:pPr>
            <w:r>
              <w:rPr>
                <w:rFonts w:ascii="Times New Roman" w:cs="Times New Roman" w:eastAsia="Times New Roman" w:hAnsi="Times New Roman"/>
                <w:sz w:val="18"/>
                <w:szCs w:val="18"/>
                <w:color w:val="0563C1"/>
                <w:w w:val="98"/>
              </w:rPr>
              <w:t>10.57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w w:val="98"/>
              </w:rPr>
              <w:t>License Agreement No. 2, dated as of March 19, 2012 between University Health Network and VistaGen Therapeutics, Inc., incorporated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reference from Exhibit 10.57 to the Company’s Annual Report on Form 10-K filed on July 2, 2012.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80" w:type="dxa"/>
            <w:vAlign w:val="bottom"/>
            <w:gridSpan w:val="8"/>
          </w:tcPr>
          <w:p>
            <w:pPr>
              <w:jc w:val="center"/>
              <w:ind w:left="152"/>
              <w:spacing w:after="0" w:line="201" w:lineRule="exact"/>
              <w:rPr>
                <w:sz w:val="20"/>
                <w:szCs w:val="20"/>
                <w:color w:val="auto"/>
              </w:rPr>
            </w:pPr>
            <w:r>
              <w:rPr>
                <w:rFonts w:ascii="Times New Roman" w:cs="Times New Roman" w:eastAsia="Times New Roman" w:hAnsi="Times New Roman"/>
                <w:sz w:val="18"/>
                <w:szCs w:val="18"/>
                <w:color w:val="0563C1"/>
                <w:w w:val="98"/>
              </w:rPr>
              <w:t>10.58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Exchange Agreement dated as of June 29, 2012 between Platinum Long Term Growth VII, LLC and VistaGen Therapeutics. Inc.,</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incorporated by reference from Exhibit 10.58 to the Company’s Annual Report on Form 10-K filed on July 2, 2012.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80" w:type="dxa"/>
            <w:vAlign w:val="bottom"/>
            <w:gridSpan w:val="8"/>
            <w:shd w:val="clear" w:color="auto" w:fill="CCEEFF"/>
          </w:tcPr>
          <w:p>
            <w:pPr>
              <w:jc w:val="center"/>
              <w:ind w:left="152"/>
              <w:spacing w:after="0" w:line="204" w:lineRule="exact"/>
              <w:rPr>
                <w:sz w:val="20"/>
                <w:szCs w:val="20"/>
                <w:color w:val="auto"/>
              </w:rPr>
            </w:pPr>
            <w:r>
              <w:rPr>
                <w:rFonts w:ascii="Times New Roman" w:cs="Times New Roman" w:eastAsia="Times New Roman" w:hAnsi="Times New Roman"/>
                <w:sz w:val="18"/>
                <w:szCs w:val="18"/>
                <w:color w:val="0563C1"/>
                <w:w w:val="98"/>
              </w:rPr>
              <w:t>10.63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w w:val="98"/>
              </w:rPr>
              <w:t>Unsecured Promissory Note in the face amount of $1,000,000 issued to Morrison &amp; Foerster LLP on August 31, 2012 (Replacement Note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incorporated by reference from Exhibit 10.3 to the Company’s Current Report on Form 8-K filed on September 6, 2012.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80" w:type="dxa"/>
            <w:vAlign w:val="bottom"/>
            <w:gridSpan w:val="8"/>
          </w:tcPr>
          <w:p>
            <w:pPr>
              <w:jc w:val="center"/>
              <w:ind w:left="152"/>
              <w:spacing w:after="0" w:line="201" w:lineRule="exact"/>
              <w:rPr>
                <w:sz w:val="20"/>
                <w:szCs w:val="20"/>
                <w:color w:val="auto"/>
              </w:rPr>
            </w:pPr>
            <w:r>
              <w:rPr>
                <w:rFonts w:ascii="Times New Roman" w:cs="Times New Roman" w:eastAsia="Times New Roman" w:hAnsi="Times New Roman"/>
                <w:sz w:val="18"/>
                <w:szCs w:val="18"/>
                <w:color w:val="0563C1"/>
                <w:w w:val="98"/>
              </w:rPr>
              <w:t>10.64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w w:val="98"/>
              </w:rPr>
              <w:t>Unsecured Promissory Note in the face amount of $1,379,376 issued to Morrison &amp; Foerster LLP on August 31, 2012 (Replacement Note B),</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incorporated by reference from Exhibit 10.4 to the Company’s Current Report on Form 8-K filed on September 6, 2012.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gridSpan w:val="8"/>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0563C1"/>
                <w:w w:val="98"/>
              </w:rPr>
              <w:t>10.65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Purchase Warrant issued to Morrison &amp; Foerster LLP on August 31, 2012 to purchase 1,379,376 shares of the Company’s common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9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08" w:right="239" w:bottom="0" w:gutter="0" w:footer="0" w:header="0"/>
        </w:sectPr>
      </w:pPr>
    </w:p>
    <w:bookmarkStart w:id="172" w:name="page173"/>
    <w:bookmarkEnd w:id="172"/>
    <w:p>
      <w:pPr>
        <w:ind w:left="940" w:right="160"/>
        <w:spacing w:after="0" w:line="257" w:lineRule="auto"/>
        <w:rPr>
          <w:sz w:val="20"/>
          <w:szCs w:val="20"/>
          <w:color w:val="auto"/>
        </w:rPr>
      </w:pPr>
      <w:r>
        <w:rPr>
          <w:rFonts w:ascii="Times New Roman" w:cs="Times New Roman" w:eastAsia="Times New Roman" w:hAnsi="Times New Roman"/>
          <w:sz w:val="18"/>
          <w:szCs w:val="18"/>
          <w:color w:val="auto"/>
        </w:rPr>
        <w:t>stock (New Morrison &amp; Foerster Warrant), incorporated by reference from Exhibit 10.5 to the Company’s Current Report on Form 8-K filed on September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-271780</wp:posOffset>
            </wp:positionV>
            <wp:extent cx="7246620" cy="274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jc w:val="both"/>
        <w:ind w:left="940" w:right="260" w:hanging="907"/>
        <w:spacing w:after="0" w:line="250" w:lineRule="auto"/>
        <w:tabs>
          <w:tab w:leader="none" w:pos="920" w:val="left"/>
        </w:tabs>
        <w:rPr>
          <w:sz w:val="20"/>
          <w:szCs w:val="20"/>
          <w:color w:val="auto"/>
        </w:rPr>
      </w:pPr>
      <w:r>
        <w:rPr>
          <w:rFonts w:ascii="Times New Roman" w:cs="Times New Roman" w:eastAsia="Times New Roman" w:hAnsi="Times New Roman"/>
          <w:sz w:val="18"/>
          <w:szCs w:val="18"/>
          <w:color w:val="0563C1"/>
        </w:rPr>
        <w:t>10.66</w:t>
      </w:r>
      <w:r>
        <w:rPr>
          <w:sz w:val="20"/>
          <w:szCs w:val="20"/>
          <w:color w:val="auto"/>
        </w:rPr>
        <w:tab/>
      </w:r>
      <w:r>
        <w:rPr>
          <w:rFonts w:ascii="Times New Roman" w:cs="Times New Roman" w:eastAsia="Times New Roman" w:hAnsi="Times New Roman"/>
          <w:sz w:val="18"/>
          <w:szCs w:val="18"/>
          <w:color w:val="auto"/>
        </w:rPr>
        <w:t>Warrant to Purchase Common Stock issued to Morrison &amp; Foerster LLP on August 31, 2012 to purchase 425,000 shares of the Company’s common stock (Amended Morrison &amp; Foerster Warrant), incorporated by reference from Exhibit 10.6 to the Company’s Current Report on Form 8-K filed on September 6, 2012.</w:t>
      </w:r>
    </w:p>
    <w:p>
      <w:pPr>
        <w:spacing w:after="0" w:line="1" w:lineRule="exact"/>
        <w:rPr>
          <w:sz w:val="20"/>
          <w:szCs w:val="20"/>
          <w:color w:val="auto"/>
        </w:rPr>
      </w:pPr>
    </w:p>
    <w:p>
      <w:pPr>
        <w:ind w:left="940" w:right="120" w:hanging="907"/>
        <w:spacing w:after="0" w:line="281" w:lineRule="auto"/>
        <w:tabs>
          <w:tab w:leader="none" w:pos="920" w:val="left"/>
        </w:tabs>
        <w:rPr>
          <w:sz w:val="20"/>
          <w:szCs w:val="20"/>
          <w:color w:val="auto"/>
        </w:rPr>
      </w:pPr>
      <w:r>
        <w:rPr>
          <w:rFonts w:ascii="Times New Roman" w:cs="Times New Roman" w:eastAsia="Times New Roman" w:hAnsi="Times New Roman"/>
          <w:sz w:val="18"/>
          <w:szCs w:val="18"/>
          <w:color w:val="0563C1"/>
        </w:rPr>
        <w:t>10.67</w:t>
      </w:r>
      <w:r>
        <w:rPr>
          <w:sz w:val="20"/>
          <w:szCs w:val="20"/>
          <w:color w:val="auto"/>
        </w:rPr>
        <w:tab/>
      </w:r>
      <w:r>
        <w:rPr>
          <w:rFonts w:ascii="Times New Roman" w:cs="Times New Roman" w:eastAsia="Times New Roman" w:hAnsi="Times New Roman"/>
          <w:sz w:val="16"/>
          <w:szCs w:val="16"/>
          <w:color w:val="auto"/>
        </w:rPr>
        <w:t>Note Exchange and Purchase Agreement dated as of October 11, 2012 by and between VistaGen Therapeutics, Inc. and Platinum Long Term Growth VII, LLP, incorporated by reference from Exhibit 10.1 to the Company’s Current Report on Form 8-K filed on October 16,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-271780</wp:posOffset>
            </wp:positionV>
            <wp:extent cx="7246620" cy="2743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40" w:hanging="907"/>
        <w:spacing w:after="0" w:line="281" w:lineRule="auto"/>
        <w:tabs>
          <w:tab w:leader="none" w:pos="920" w:val="left"/>
        </w:tabs>
        <w:rPr>
          <w:sz w:val="20"/>
          <w:szCs w:val="20"/>
          <w:color w:val="auto"/>
        </w:rPr>
      </w:pPr>
      <w:r>
        <w:rPr>
          <w:rFonts w:ascii="Times New Roman" w:cs="Times New Roman" w:eastAsia="Times New Roman" w:hAnsi="Times New Roman"/>
          <w:sz w:val="18"/>
          <w:szCs w:val="18"/>
          <w:color w:val="0563C1"/>
        </w:rPr>
        <w:t>10.68</w:t>
      </w:r>
      <w:r>
        <w:rPr>
          <w:sz w:val="20"/>
          <w:szCs w:val="20"/>
          <w:color w:val="auto"/>
        </w:rPr>
        <w:tab/>
      </w:r>
      <w:r>
        <w:rPr>
          <w:rFonts w:ascii="Times New Roman" w:cs="Times New Roman" w:eastAsia="Times New Roman" w:hAnsi="Times New Roman"/>
          <w:sz w:val="16"/>
          <w:szCs w:val="16"/>
          <w:color w:val="auto"/>
        </w:rPr>
        <w:t>Form of Senior Secured Convertible Promissory Note issued to Platinum Long Term Growth VII, LLP under the Note Exchange and Purchase Agreement, incorporated by reference from Exhibit 10.2 to the Company’s Current Report on Form 8-K filed on October 16, 2012.</w:t>
      </w:r>
    </w:p>
    <w:p>
      <w:pPr>
        <w:spacing w:after="0" w:line="1" w:lineRule="exact"/>
        <w:rPr>
          <w:sz w:val="20"/>
          <w:szCs w:val="20"/>
          <w:color w:val="auto"/>
        </w:rPr>
      </w:pPr>
    </w:p>
    <w:p>
      <w:pPr>
        <w:ind w:left="940" w:right="120" w:hanging="907"/>
        <w:spacing w:after="0" w:line="281" w:lineRule="auto"/>
        <w:tabs>
          <w:tab w:leader="none" w:pos="920" w:val="left"/>
        </w:tabs>
        <w:rPr>
          <w:sz w:val="20"/>
          <w:szCs w:val="20"/>
          <w:color w:val="auto"/>
        </w:rPr>
      </w:pPr>
      <w:r>
        <w:rPr>
          <w:rFonts w:ascii="Times New Roman" w:cs="Times New Roman" w:eastAsia="Times New Roman" w:hAnsi="Times New Roman"/>
          <w:sz w:val="18"/>
          <w:szCs w:val="18"/>
          <w:color w:val="0563C1"/>
        </w:rPr>
        <w:t>10.69</w:t>
      </w:r>
      <w:r>
        <w:rPr>
          <w:sz w:val="20"/>
          <w:szCs w:val="20"/>
          <w:color w:val="auto"/>
        </w:rPr>
        <w:tab/>
      </w:r>
      <w:r>
        <w:rPr>
          <w:rFonts w:ascii="Times New Roman" w:cs="Times New Roman" w:eastAsia="Times New Roman" w:hAnsi="Times New Roman"/>
          <w:sz w:val="16"/>
          <w:szCs w:val="16"/>
          <w:color w:val="auto"/>
        </w:rPr>
        <w:t>Form of Warrant to Purchase Shares of Common Stock issued to Platinum Long Term Growth VII, LLP under the Note Exchange and Purchase Agreement, incorporated by reference from Exhibit 10.3 to the Company’s Current Report on Form 8-K filed on October 16,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-271780</wp:posOffset>
            </wp:positionV>
            <wp:extent cx="7246620" cy="2743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40" w:right="280" w:hanging="907"/>
        <w:spacing w:after="0" w:line="281" w:lineRule="auto"/>
        <w:tabs>
          <w:tab w:leader="none" w:pos="920" w:val="left"/>
        </w:tabs>
        <w:rPr>
          <w:sz w:val="20"/>
          <w:szCs w:val="20"/>
          <w:color w:val="auto"/>
        </w:rPr>
      </w:pPr>
      <w:r>
        <w:rPr>
          <w:rFonts w:ascii="Times New Roman" w:cs="Times New Roman" w:eastAsia="Times New Roman" w:hAnsi="Times New Roman"/>
          <w:sz w:val="18"/>
          <w:szCs w:val="18"/>
          <w:color w:val="0563C1"/>
        </w:rPr>
        <w:t>10.70</w:t>
      </w:r>
      <w:r>
        <w:rPr>
          <w:sz w:val="20"/>
          <w:szCs w:val="20"/>
          <w:color w:val="auto"/>
        </w:rPr>
        <w:tab/>
      </w:r>
      <w:r>
        <w:rPr>
          <w:rFonts w:ascii="Times New Roman" w:cs="Times New Roman" w:eastAsia="Times New Roman" w:hAnsi="Times New Roman"/>
          <w:sz w:val="16"/>
          <w:szCs w:val="16"/>
          <w:color w:val="auto"/>
        </w:rPr>
        <w:t>Amended and Restated Security Agreement as of October 11, 2012 between VistaGen Therapeutics, Inc. and Platinum Long Term Growth VII, LLP, incorporated by reference from Exhibit 10.4 to the Company’s Current Report on Form 8-K filed on October 16, 2012.</w:t>
      </w:r>
    </w:p>
    <w:p>
      <w:pPr>
        <w:spacing w:after="0" w:line="1" w:lineRule="exact"/>
        <w:rPr>
          <w:sz w:val="20"/>
          <w:szCs w:val="20"/>
          <w:color w:val="auto"/>
        </w:rPr>
      </w:pPr>
    </w:p>
    <w:p>
      <w:pPr>
        <w:jc w:val="right"/>
        <w:ind w:left="40" w:right="340"/>
        <w:spacing w:after="0" w:line="250" w:lineRule="auto"/>
        <w:rPr>
          <w:sz w:val="20"/>
          <w:szCs w:val="20"/>
          <w:color w:val="auto"/>
        </w:rPr>
      </w:pPr>
      <w:r>
        <w:rPr>
          <w:rFonts w:ascii="Times New Roman" w:cs="Times New Roman" w:eastAsia="Times New Roman" w:hAnsi="Times New Roman"/>
          <w:sz w:val="18"/>
          <w:szCs w:val="18"/>
          <w:color w:val="0563C1"/>
        </w:rPr>
        <w:t xml:space="preserve">10.71      </w:t>
      </w:r>
      <w:r>
        <w:rPr>
          <w:rFonts w:ascii="Times New Roman" w:cs="Times New Roman" w:eastAsia="Times New Roman" w:hAnsi="Times New Roman"/>
          <w:sz w:val="18"/>
          <w:szCs w:val="18"/>
          <w:color w:val="000000"/>
        </w:rPr>
        <w:t>Intellectual Property Security and Stock Pledge Agreement as of October 11, 2012 between VistaGen California and Platinum Long Term</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color w:val="000000"/>
        </w:rPr>
        <w:t>Growth VII, LLP, incorporated by reference from Exhibit 10.5 to the Company’s Current Report on Form 8-K filed on October 16,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-271780</wp:posOffset>
            </wp:positionV>
            <wp:extent cx="7246620" cy="274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40" w:right="260" w:hanging="907"/>
        <w:spacing w:after="0" w:line="281" w:lineRule="auto"/>
        <w:tabs>
          <w:tab w:leader="none" w:pos="920" w:val="left"/>
        </w:tabs>
        <w:rPr>
          <w:sz w:val="20"/>
          <w:szCs w:val="20"/>
          <w:color w:val="auto"/>
        </w:rPr>
      </w:pPr>
      <w:r>
        <w:rPr>
          <w:rFonts w:ascii="Times New Roman" w:cs="Times New Roman" w:eastAsia="Times New Roman" w:hAnsi="Times New Roman"/>
          <w:sz w:val="18"/>
          <w:szCs w:val="18"/>
          <w:color w:val="0563C1"/>
        </w:rPr>
        <w:t>10.72</w:t>
      </w:r>
      <w:r>
        <w:rPr>
          <w:sz w:val="20"/>
          <w:szCs w:val="20"/>
          <w:color w:val="auto"/>
        </w:rPr>
        <w:tab/>
      </w:r>
      <w:r>
        <w:rPr>
          <w:rFonts w:ascii="Times New Roman" w:cs="Times New Roman" w:eastAsia="Times New Roman" w:hAnsi="Times New Roman"/>
          <w:sz w:val="16"/>
          <w:szCs w:val="16"/>
          <w:color w:val="auto"/>
        </w:rPr>
        <w:t>Negative Covenant Agreement dated October 11, 2012 between VistaGen California, Artemis Neuroscience, Inc. and Platinum Long Term Growth VII, LLP, incorporated by reference from Exhibit 10.6 to the Company’s Current Report on Form 8-K filed on October 16, 2012.</w:t>
      </w:r>
    </w:p>
    <w:p>
      <w:pPr>
        <w:spacing w:after="0" w:line="1" w:lineRule="exact"/>
        <w:rPr>
          <w:sz w:val="20"/>
          <w:szCs w:val="20"/>
          <w:color w:val="auto"/>
        </w:rPr>
      </w:pPr>
    </w:p>
    <w:p>
      <w:pPr>
        <w:jc w:val="both"/>
        <w:ind w:left="940" w:right="240" w:hanging="907"/>
        <w:spacing w:after="0" w:line="250" w:lineRule="auto"/>
        <w:tabs>
          <w:tab w:leader="none" w:pos="920" w:val="left"/>
        </w:tabs>
        <w:rPr>
          <w:sz w:val="20"/>
          <w:szCs w:val="20"/>
          <w:color w:val="auto"/>
        </w:rPr>
      </w:pPr>
      <w:r>
        <w:rPr>
          <w:rFonts w:ascii="Times New Roman" w:cs="Times New Roman" w:eastAsia="Times New Roman" w:hAnsi="Times New Roman"/>
          <w:sz w:val="18"/>
          <w:szCs w:val="18"/>
          <w:color w:val="0563C1"/>
        </w:rPr>
        <w:t>10.73</w:t>
      </w:r>
      <w:r>
        <w:rPr>
          <w:sz w:val="20"/>
          <w:szCs w:val="20"/>
          <w:color w:val="auto"/>
        </w:rPr>
        <w:tab/>
      </w:r>
      <w:r>
        <w:rPr>
          <w:rFonts w:ascii="Times New Roman" w:cs="Times New Roman" w:eastAsia="Times New Roman" w:hAnsi="Times New Roman"/>
          <w:sz w:val="18"/>
          <w:szCs w:val="18"/>
          <w:color w:val="auto"/>
        </w:rPr>
        <w:t>Amendment to Note Exchange and Purchase Agreement as of November 14, 2012 between VistaGen Therapeutics Inc. and Platinum Long Term Growth VII, LLP, incorporated by reference from Exhibit 10.1 to the Company’s Current Report on Form 8-K filed on November 20,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-408940</wp:posOffset>
            </wp:positionV>
            <wp:extent cx="7246620" cy="4114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ind w:left="940" w:hanging="907"/>
        <w:spacing w:after="0" w:line="250" w:lineRule="auto"/>
        <w:tabs>
          <w:tab w:leader="none" w:pos="920" w:val="left"/>
        </w:tabs>
        <w:rPr>
          <w:sz w:val="20"/>
          <w:szCs w:val="20"/>
          <w:color w:val="auto"/>
        </w:rPr>
      </w:pPr>
      <w:r>
        <w:rPr>
          <w:rFonts w:ascii="Times New Roman" w:cs="Times New Roman" w:eastAsia="Times New Roman" w:hAnsi="Times New Roman"/>
          <w:sz w:val="18"/>
          <w:szCs w:val="18"/>
          <w:color w:val="0563C1"/>
        </w:rPr>
        <w:t>10.75</w:t>
      </w:r>
      <w:r>
        <w:rPr>
          <w:sz w:val="20"/>
          <w:szCs w:val="20"/>
          <w:color w:val="auto"/>
        </w:rPr>
        <w:tab/>
      </w:r>
      <w:r>
        <w:rPr>
          <w:rFonts w:ascii="Times New Roman" w:cs="Times New Roman" w:eastAsia="Times New Roman" w:hAnsi="Times New Roman"/>
          <w:sz w:val="18"/>
          <w:szCs w:val="18"/>
          <w:color w:val="auto"/>
        </w:rPr>
        <w:t>Amendment No. 2 to Note Exchange and Purchase Agreement as of January 31, 2013 between VistaGen Therapeutics Inc. and Platinum Long Term Growth VII, LLP, incorporated by reference from Exhibit 10.1 to the Company’s Quarterly Report on Form 10-Q filed on February 14, 2013.</w:t>
      </w:r>
    </w:p>
    <w:p>
      <w:pPr>
        <w:spacing w:after="0" w:line="1" w:lineRule="exact"/>
        <w:rPr>
          <w:sz w:val="20"/>
          <w:szCs w:val="20"/>
          <w:color w:val="auto"/>
        </w:rPr>
      </w:pPr>
    </w:p>
    <w:p>
      <w:pPr>
        <w:ind w:left="940" w:right="180" w:hanging="907"/>
        <w:spacing w:after="0" w:line="250" w:lineRule="auto"/>
        <w:tabs>
          <w:tab w:leader="none" w:pos="920" w:val="left"/>
        </w:tabs>
        <w:rPr>
          <w:sz w:val="20"/>
          <w:szCs w:val="20"/>
          <w:color w:val="auto"/>
        </w:rPr>
      </w:pPr>
      <w:r>
        <w:rPr>
          <w:rFonts w:ascii="Times New Roman" w:cs="Times New Roman" w:eastAsia="Times New Roman" w:hAnsi="Times New Roman"/>
          <w:sz w:val="18"/>
          <w:szCs w:val="18"/>
          <w:color w:val="0563C1"/>
        </w:rPr>
        <w:t>10.76</w:t>
      </w:r>
      <w:r>
        <w:rPr>
          <w:sz w:val="20"/>
          <w:szCs w:val="20"/>
          <w:color w:val="auto"/>
        </w:rPr>
        <w:tab/>
      </w:r>
      <w:r>
        <w:rPr>
          <w:rFonts w:ascii="Times New Roman" w:cs="Times New Roman" w:eastAsia="Times New Roman" w:hAnsi="Times New Roman"/>
          <w:sz w:val="18"/>
          <w:szCs w:val="18"/>
          <w:color w:val="auto"/>
        </w:rPr>
        <w:t>Amendment No. 3 to Note Exchange and Purchase Agreement as of February 22, 2013 between VistaGen Therapeutics Inc. and Platinum Long Term Growth VII, LLP, incorporated by reference from Exhibit 10.1 to the Company’s Current Report on Form 8-K filed on February 28,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-408940</wp:posOffset>
            </wp:positionV>
            <wp:extent cx="7246620" cy="4114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ind w:left="940" w:right="140" w:hanging="907"/>
        <w:spacing w:after="0" w:line="281" w:lineRule="auto"/>
        <w:tabs>
          <w:tab w:leader="none" w:pos="920" w:val="left"/>
        </w:tabs>
        <w:rPr>
          <w:sz w:val="20"/>
          <w:szCs w:val="20"/>
          <w:color w:val="auto"/>
        </w:rPr>
      </w:pPr>
      <w:r>
        <w:rPr>
          <w:rFonts w:ascii="Times New Roman" w:cs="Times New Roman" w:eastAsia="Times New Roman" w:hAnsi="Times New Roman"/>
          <w:sz w:val="18"/>
          <w:szCs w:val="18"/>
          <w:color w:val="0563C1"/>
        </w:rPr>
        <w:t>10.77</w:t>
      </w:r>
      <w:r>
        <w:rPr>
          <w:sz w:val="20"/>
          <w:szCs w:val="20"/>
          <w:color w:val="auto"/>
        </w:rPr>
        <w:tab/>
      </w:r>
      <w:r>
        <w:rPr>
          <w:rFonts w:ascii="Times New Roman" w:cs="Times New Roman" w:eastAsia="Times New Roman" w:hAnsi="Times New Roman"/>
          <w:sz w:val="16"/>
          <w:szCs w:val="16"/>
          <w:color w:val="auto"/>
        </w:rPr>
        <w:t>Form of Warrant to Purchase Common Stock issued to independent members of the Company’s Board of Directors and its executive officers on March 3, 2013, incorporated by reference from Exhibit 10.1 to the Company’s Current Report on Form 8-K filed on March 6, 2013.</w:t>
      </w:r>
    </w:p>
    <w:p>
      <w:pPr>
        <w:spacing w:after="0" w:line="1" w:lineRule="exact"/>
        <w:rPr>
          <w:sz w:val="20"/>
          <w:szCs w:val="20"/>
          <w:color w:val="auto"/>
        </w:rPr>
      </w:pPr>
    </w:p>
    <w:p>
      <w:pPr>
        <w:ind w:left="940" w:right="20" w:hanging="907"/>
        <w:spacing w:after="0" w:line="250" w:lineRule="auto"/>
        <w:tabs>
          <w:tab w:leader="none" w:pos="920" w:val="left"/>
        </w:tabs>
        <w:rPr>
          <w:sz w:val="20"/>
          <w:szCs w:val="20"/>
          <w:color w:val="auto"/>
        </w:rPr>
      </w:pPr>
      <w:r>
        <w:rPr>
          <w:rFonts w:ascii="Times New Roman" w:cs="Times New Roman" w:eastAsia="Times New Roman" w:hAnsi="Times New Roman"/>
          <w:sz w:val="18"/>
          <w:szCs w:val="18"/>
          <w:color w:val="0563C1"/>
        </w:rPr>
        <w:t>10.80</w:t>
      </w:r>
      <w:r>
        <w:rPr>
          <w:sz w:val="20"/>
          <w:szCs w:val="20"/>
          <w:color w:val="auto"/>
        </w:rPr>
        <w:tab/>
      </w:r>
      <w:r>
        <w:rPr>
          <w:rFonts w:ascii="Times New Roman" w:cs="Times New Roman" w:eastAsia="Times New Roman" w:hAnsi="Times New Roman"/>
          <w:sz w:val="18"/>
          <w:szCs w:val="18"/>
          <w:color w:val="auto"/>
        </w:rPr>
        <w:t>Note Conversion Agreement as of April 4, 2013 between VistaGen Therapeutics Inc. and Platinum Long Term Growth VII, LLP, incorporated by reference from Exhibit 10.3 to the Company’s Current Report on Form 8-K filed on April 10,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-271780</wp:posOffset>
            </wp:positionV>
            <wp:extent cx="7246620" cy="274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40" w:right="20" w:hanging="907"/>
        <w:spacing w:after="0" w:line="250" w:lineRule="auto"/>
        <w:tabs>
          <w:tab w:leader="none" w:pos="920" w:val="left"/>
        </w:tabs>
        <w:rPr>
          <w:sz w:val="20"/>
          <w:szCs w:val="20"/>
          <w:color w:val="auto"/>
        </w:rPr>
      </w:pPr>
      <w:r>
        <w:rPr>
          <w:rFonts w:ascii="Times New Roman" w:cs="Times New Roman" w:eastAsia="Times New Roman" w:hAnsi="Times New Roman"/>
          <w:sz w:val="18"/>
          <w:szCs w:val="18"/>
          <w:color w:val="0563C1"/>
        </w:rPr>
        <w:t>10.83</w:t>
      </w:r>
      <w:r>
        <w:rPr>
          <w:sz w:val="20"/>
          <w:szCs w:val="20"/>
          <w:color w:val="auto"/>
        </w:rPr>
        <w:tab/>
      </w:r>
      <w:r>
        <w:rPr>
          <w:rFonts w:ascii="Times New Roman" w:cs="Times New Roman" w:eastAsia="Times New Roman" w:hAnsi="Times New Roman"/>
          <w:sz w:val="18"/>
          <w:szCs w:val="18"/>
          <w:color w:val="auto"/>
        </w:rPr>
        <w:t>Lease between Bayside Area Development, LLC and VistaGen Therapeutics, Inc. (California) dated April 24, 2013, incorporated by reference from Exhibit 10.83 to the Company’s Annual Report on Form 10-K filed July 18, 2013.</w:t>
      </w:r>
    </w:p>
    <w:p>
      <w:pPr>
        <w:spacing w:after="0" w:line="1" w:lineRule="exact"/>
        <w:rPr>
          <w:sz w:val="20"/>
          <w:szCs w:val="20"/>
          <w:color w:val="auto"/>
        </w:rPr>
      </w:pPr>
    </w:p>
    <w:p>
      <w:pPr>
        <w:ind w:left="940" w:right="160" w:hanging="907"/>
        <w:spacing w:after="0" w:line="250" w:lineRule="auto"/>
        <w:tabs>
          <w:tab w:leader="none" w:pos="920" w:val="left"/>
        </w:tabs>
        <w:rPr>
          <w:sz w:val="20"/>
          <w:szCs w:val="20"/>
          <w:color w:val="auto"/>
        </w:rPr>
      </w:pPr>
      <w:r>
        <w:rPr>
          <w:rFonts w:ascii="Times New Roman" w:cs="Times New Roman" w:eastAsia="Times New Roman" w:hAnsi="Times New Roman"/>
          <w:sz w:val="18"/>
          <w:szCs w:val="18"/>
          <w:color w:val="0563C1"/>
        </w:rPr>
        <w:t>10.84</w:t>
      </w:r>
      <w:r>
        <w:rPr>
          <w:sz w:val="20"/>
          <w:szCs w:val="20"/>
          <w:color w:val="auto"/>
        </w:rPr>
        <w:tab/>
      </w:r>
      <w:r>
        <w:rPr>
          <w:rFonts w:ascii="Times New Roman" w:cs="Times New Roman" w:eastAsia="Times New Roman" w:hAnsi="Times New Roman"/>
          <w:sz w:val="18"/>
          <w:szCs w:val="18"/>
          <w:color w:val="auto"/>
        </w:rPr>
        <w:t>Indemnification Agreement effective May 20, 2013 between the Company and Jon S. Saxe, incorporated by reference from Exhibit 10.84 to the Company’s Annual Report on Form 10-K filed on July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-271780</wp:posOffset>
            </wp:positionV>
            <wp:extent cx="7246620" cy="2743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40" w:right="20" w:hanging="907"/>
        <w:spacing w:after="0" w:line="250" w:lineRule="auto"/>
        <w:tabs>
          <w:tab w:leader="none" w:pos="920" w:val="left"/>
        </w:tabs>
        <w:rPr>
          <w:sz w:val="20"/>
          <w:szCs w:val="20"/>
          <w:color w:val="auto"/>
        </w:rPr>
      </w:pPr>
      <w:r>
        <w:rPr>
          <w:rFonts w:ascii="Times New Roman" w:cs="Times New Roman" w:eastAsia="Times New Roman" w:hAnsi="Times New Roman"/>
          <w:sz w:val="18"/>
          <w:szCs w:val="18"/>
          <w:color w:val="0563C1"/>
        </w:rPr>
        <w:t>10.85</w:t>
      </w:r>
      <w:r>
        <w:rPr>
          <w:sz w:val="20"/>
          <w:szCs w:val="20"/>
          <w:color w:val="auto"/>
        </w:rPr>
        <w:tab/>
      </w:r>
      <w:r>
        <w:rPr>
          <w:rFonts w:ascii="Times New Roman" w:cs="Times New Roman" w:eastAsia="Times New Roman" w:hAnsi="Times New Roman"/>
          <w:sz w:val="18"/>
          <w:szCs w:val="18"/>
          <w:color w:val="auto"/>
        </w:rPr>
        <w:t>Indemnification Agreement effective May 20, 2013 between the Company and Shawn K. Singh, incorporated by reference from Exhibit 10.85 to the Company’s Annual Report on Form 10-K filed on July 18, 2013.</w:t>
      </w:r>
    </w:p>
    <w:p>
      <w:pPr>
        <w:spacing w:after="0" w:line="1" w:lineRule="exact"/>
        <w:rPr>
          <w:sz w:val="20"/>
          <w:szCs w:val="20"/>
          <w:color w:val="auto"/>
        </w:rPr>
      </w:pPr>
    </w:p>
    <w:p>
      <w:pPr>
        <w:ind w:left="40"/>
        <w:spacing w:after="0"/>
        <w:tabs>
          <w:tab w:leader="none" w:pos="920" w:val="left"/>
        </w:tabs>
        <w:rPr>
          <w:sz w:val="20"/>
          <w:szCs w:val="20"/>
          <w:color w:val="auto"/>
        </w:rPr>
      </w:pPr>
      <w:r>
        <w:rPr>
          <w:rFonts w:ascii="Times New Roman" w:cs="Times New Roman" w:eastAsia="Times New Roman" w:hAnsi="Times New Roman"/>
          <w:sz w:val="18"/>
          <w:szCs w:val="18"/>
          <w:color w:val="0563C1"/>
        </w:rPr>
        <w:t>10.86</w:t>
      </w:r>
      <w:r>
        <w:rPr>
          <w:sz w:val="20"/>
          <w:szCs w:val="20"/>
          <w:color w:val="auto"/>
        </w:rPr>
        <w:tab/>
      </w:r>
      <w:r>
        <w:rPr>
          <w:rFonts w:ascii="Times New Roman" w:cs="Times New Roman" w:eastAsia="Times New Roman" w:hAnsi="Times New Roman"/>
          <w:sz w:val="16"/>
          <w:szCs w:val="16"/>
          <w:color w:val="auto"/>
        </w:rPr>
        <w:t>Indemnification Agreement effective May 20, 2013 between the Company and H. Ralph Snodgrass, incorporated by reference from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-129540</wp:posOffset>
            </wp:positionV>
            <wp:extent cx="7246620" cy="2743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8"/>
          <w:szCs w:val="18"/>
          <w:color w:val="auto"/>
        </w:rPr>
        <w:t>10.86 to the Company’s Annual Report on Form 10-K filed on July 18, 2013.</w:t>
      </w:r>
    </w:p>
    <w:p>
      <w:pPr>
        <w:spacing w:after="0" w:line="9" w:lineRule="exact"/>
        <w:rPr>
          <w:sz w:val="20"/>
          <w:szCs w:val="20"/>
          <w:color w:val="auto"/>
        </w:rPr>
      </w:pPr>
    </w:p>
    <w:p>
      <w:pPr>
        <w:ind w:left="40"/>
        <w:spacing w:after="0"/>
        <w:tabs>
          <w:tab w:leader="none" w:pos="920" w:val="left"/>
        </w:tabs>
        <w:rPr>
          <w:sz w:val="20"/>
          <w:szCs w:val="20"/>
          <w:color w:val="auto"/>
        </w:rPr>
      </w:pPr>
      <w:r>
        <w:rPr>
          <w:rFonts w:ascii="Times New Roman" w:cs="Times New Roman" w:eastAsia="Times New Roman" w:hAnsi="Times New Roman"/>
          <w:sz w:val="18"/>
          <w:szCs w:val="18"/>
          <w:color w:val="0563C1"/>
        </w:rPr>
        <w:t>10.87</w:t>
      </w:r>
      <w:r>
        <w:rPr>
          <w:sz w:val="20"/>
          <w:szCs w:val="20"/>
          <w:color w:val="auto"/>
        </w:rPr>
        <w:tab/>
      </w:r>
      <w:r>
        <w:rPr>
          <w:rFonts w:ascii="Times New Roman" w:cs="Times New Roman" w:eastAsia="Times New Roman" w:hAnsi="Times New Roman"/>
          <w:sz w:val="16"/>
          <w:szCs w:val="16"/>
          <w:color w:val="auto"/>
        </w:rPr>
        <w:t>Indemnification Agreement effective May 20, 2013 between the Company and Brian J. Underdown, incorporated by reference from Exhibit</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10.87 to the Company’s Annual Report on Form 10-K filed on July 18, 2013.</w:t>
      </w:r>
    </w:p>
    <w:p>
      <w:pPr>
        <w:spacing w:after="0" w:line="9" w:lineRule="exact"/>
        <w:rPr>
          <w:sz w:val="20"/>
          <w:szCs w:val="20"/>
          <w:color w:val="auto"/>
        </w:rPr>
      </w:pPr>
    </w:p>
    <w:p>
      <w:pPr>
        <w:ind w:left="40"/>
        <w:spacing w:after="0"/>
        <w:tabs>
          <w:tab w:leader="none" w:pos="920" w:val="left"/>
        </w:tabs>
        <w:rPr>
          <w:sz w:val="20"/>
          <w:szCs w:val="20"/>
          <w:color w:val="auto"/>
        </w:rPr>
      </w:pPr>
      <w:r>
        <w:rPr>
          <w:rFonts w:ascii="Times New Roman" w:cs="Times New Roman" w:eastAsia="Times New Roman" w:hAnsi="Times New Roman"/>
          <w:sz w:val="18"/>
          <w:szCs w:val="18"/>
          <w:color w:val="0563C1"/>
        </w:rPr>
        <w:t>10.88</w:t>
      </w:r>
      <w:r>
        <w:rPr>
          <w:sz w:val="20"/>
          <w:szCs w:val="20"/>
          <w:color w:val="auto"/>
        </w:rPr>
        <w:tab/>
      </w:r>
      <w:r>
        <w:rPr>
          <w:rFonts w:ascii="Times New Roman" w:cs="Times New Roman" w:eastAsia="Times New Roman" w:hAnsi="Times New Roman"/>
          <w:sz w:val="16"/>
          <w:szCs w:val="16"/>
          <w:color w:val="auto"/>
        </w:rPr>
        <w:t>Indemnification Agreement effective May 20, 2013 between the Company and Jerrold D. Dotson, incorporated by reference from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-129540</wp:posOffset>
            </wp:positionV>
            <wp:extent cx="7246620" cy="2743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8"/>
          <w:szCs w:val="18"/>
          <w:color w:val="auto"/>
        </w:rPr>
        <w:t>10.88 to the Company’s Annual Report on Form 10-K filed on July 18, 2013.</w:t>
      </w:r>
    </w:p>
    <w:p>
      <w:pPr>
        <w:spacing w:after="0" w:line="9" w:lineRule="exact"/>
        <w:rPr>
          <w:sz w:val="20"/>
          <w:szCs w:val="20"/>
          <w:color w:val="auto"/>
        </w:rPr>
      </w:pPr>
    </w:p>
    <w:p>
      <w:pPr>
        <w:ind w:left="940" w:right="20" w:hanging="907"/>
        <w:spacing w:after="0" w:line="250" w:lineRule="auto"/>
        <w:tabs>
          <w:tab w:leader="none" w:pos="920" w:val="left"/>
        </w:tabs>
        <w:rPr>
          <w:sz w:val="20"/>
          <w:szCs w:val="20"/>
          <w:color w:val="auto"/>
        </w:rPr>
      </w:pPr>
      <w:r>
        <w:rPr>
          <w:rFonts w:ascii="Times New Roman" w:cs="Times New Roman" w:eastAsia="Times New Roman" w:hAnsi="Times New Roman"/>
          <w:sz w:val="18"/>
          <w:szCs w:val="18"/>
          <w:color w:val="0563C1"/>
        </w:rPr>
        <w:t>10.89</w:t>
      </w:r>
      <w:r>
        <w:rPr>
          <w:sz w:val="20"/>
          <w:szCs w:val="20"/>
          <w:color w:val="auto"/>
        </w:rPr>
        <w:tab/>
      </w:r>
      <w:r>
        <w:rPr>
          <w:rFonts w:ascii="Times New Roman" w:cs="Times New Roman" w:eastAsia="Times New Roman" w:hAnsi="Times New Roman"/>
          <w:sz w:val="18"/>
          <w:szCs w:val="18"/>
          <w:color w:val="auto"/>
        </w:rPr>
        <w:t>Amendment and Waiver effective May 24, 2013 between the Company and Platinum Long Term Growth VII, LLC, incorporated by reference from Exhibit 10.1 to the Company’s Current Report on Form 8-K filed on June 3, 2013.</w:t>
      </w:r>
    </w:p>
    <w:p>
      <w:pPr>
        <w:spacing w:after="0" w:line="1" w:lineRule="exact"/>
        <w:rPr>
          <w:sz w:val="20"/>
          <w:szCs w:val="20"/>
          <w:color w:val="auto"/>
        </w:rPr>
      </w:pPr>
    </w:p>
    <w:p>
      <w:pPr>
        <w:ind w:left="40"/>
        <w:spacing w:after="0"/>
        <w:tabs>
          <w:tab w:leader="none" w:pos="920" w:val="left"/>
        </w:tabs>
        <w:rPr>
          <w:sz w:val="20"/>
          <w:szCs w:val="20"/>
          <w:color w:val="auto"/>
        </w:rPr>
      </w:pPr>
      <w:r>
        <w:rPr>
          <w:rFonts w:ascii="Times New Roman" w:cs="Times New Roman" w:eastAsia="Times New Roman" w:hAnsi="Times New Roman"/>
          <w:sz w:val="18"/>
          <w:szCs w:val="18"/>
          <w:color w:val="0563C1"/>
        </w:rPr>
        <w:t>10.90</w:t>
      </w:r>
      <w:r>
        <w:rPr>
          <w:sz w:val="20"/>
          <w:szCs w:val="20"/>
          <w:color w:val="auto"/>
        </w:rPr>
        <w:tab/>
      </w:r>
      <w:r>
        <w:rPr>
          <w:rFonts w:ascii="Times New Roman" w:cs="Times New Roman" w:eastAsia="Times New Roman" w:hAnsi="Times New Roman"/>
          <w:sz w:val="16"/>
          <w:szCs w:val="16"/>
          <w:color w:val="auto"/>
        </w:rPr>
        <w:t>Amendment No 2 to Securities Purchase Agreement dated June 27, 2013 between the Company, Autilion AG and Bergamo 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-129540</wp:posOffset>
            </wp:positionV>
            <wp:extent cx="7246620" cy="2743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8"/>
          <w:szCs w:val="18"/>
          <w:color w:val="auto"/>
        </w:rPr>
        <w:t>PTE LTD, incorporated by reference from Exhibit 10.1 to the Company’s Current Report on Form 8-K filed on June 28, 2013.</w:t>
      </w:r>
    </w:p>
    <w:p>
      <w:pPr>
        <w:spacing w:after="0" w:line="9" w:lineRule="exact"/>
        <w:rPr>
          <w:sz w:val="20"/>
          <w:szCs w:val="20"/>
          <w:color w:val="auto"/>
        </w:rPr>
      </w:pPr>
    </w:p>
    <w:p>
      <w:pPr>
        <w:ind w:left="940" w:right="80" w:hanging="907"/>
        <w:spacing w:after="0" w:line="250" w:lineRule="auto"/>
        <w:tabs>
          <w:tab w:leader="none" w:pos="920" w:val="left"/>
        </w:tabs>
        <w:rPr>
          <w:sz w:val="20"/>
          <w:szCs w:val="20"/>
          <w:color w:val="auto"/>
        </w:rPr>
      </w:pPr>
      <w:r>
        <w:rPr>
          <w:rFonts w:ascii="Times New Roman" w:cs="Times New Roman" w:eastAsia="Times New Roman" w:hAnsi="Times New Roman"/>
          <w:sz w:val="18"/>
          <w:szCs w:val="18"/>
          <w:color w:val="0563C1"/>
        </w:rPr>
        <w:t>10.91</w:t>
      </w:r>
      <w:r>
        <w:rPr>
          <w:sz w:val="20"/>
          <w:szCs w:val="20"/>
          <w:color w:val="auto"/>
        </w:rPr>
        <w:tab/>
      </w:r>
      <w:r>
        <w:rPr>
          <w:rFonts w:ascii="Times New Roman" w:cs="Times New Roman" w:eastAsia="Times New Roman" w:hAnsi="Times New Roman"/>
          <w:sz w:val="18"/>
          <w:szCs w:val="18"/>
          <w:color w:val="auto"/>
        </w:rPr>
        <w:t>Senior Secured Convertible Promissory Note, dated July 26, 2013 issued to Platinum Long Term Growth VII, LLP, incorporated by reference from Exhibit 10.1 to the Company’s Current Report on Form 8-K filed on August 2, 2013.</w:t>
      </w:r>
    </w:p>
    <w:p>
      <w:pPr>
        <w:spacing w:after="0" w:line="1" w:lineRule="exact"/>
        <w:rPr>
          <w:sz w:val="20"/>
          <w:szCs w:val="20"/>
          <w:color w:val="auto"/>
        </w:rPr>
      </w:pPr>
    </w:p>
    <w:p>
      <w:pPr>
        <w:ind w:left="940" w:right="60" w:hanging="907"/>
        <w:spacing w:after="0" w:line="250" w:lineRule="auto"/>
        <w:tabs>
          <w:tab w:leader="none" w:pos="920" w:val="left"/>
        </w:tabs>
        <w:rPr>
          <w:sz w:val="20"/>
          <w:szCs w:val="20"/>
          <w:color w:val="auto"/>
        </w:rPr>
      </w:pPr>
      <w:r>
        <w:rPr>
          <w:rFonts w:ascii="Times New Roman" w:cs="Times New Roman" w:eastAsia="Times New Roman" w:hAnsi="Times New Roman"/>
          <w:sz w:val="18"/>
          <w:szCs w:val="18"/>
          <w:color w:val="0563C1"/>
        </w:rPr>
        <w:t>10.92</w:t>
      </w:r>
      <w:r>
        <w:rPr>
          <w:sz w:val="20"/>
          <w:szCs w:val="20"/>
          <w:color w:val="auto"/>
        </w:rPr>
        <w:tab/>
      </w:r>
      <w:r>
        <w:rPr>
          <w:rFonts w:ascii="Times New Roman" w:cs="Times New Roman" w:eastAsia="Times New Roman" w:hAnsi="Times New Roman"/>
          <w:sz w:val="18"/>
          <w:szCs w:val="18"/>
          <w:color w:val="auto"/>
        </w:rPr>
        <w:t>Common Stock Warrant, dated July 26, 2013 issued to Platinum Long Term Growth VII, LLP, incorporated by reference from Exhibit 10.2 to the Company’s Current Report on Form 8-K filed on August 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-271780</wp:posOffset>
            </wp:positionV>
            <wp:extent cx="7246620" cy="2743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40" w:hanging="907"/>
        <w:spacing w:after="0" w:line="250" w:lineRule="auto"/>
        <w:tabs>
          <w:tab w:leader="none" w:pos="920" w:val="left"/>
        </w:tabs>
        <w:rPr>
          <w:sz w:val="20"/>
          <w:szCs w:val="20"/>
          <w:color w:val="auto"/>
        </w:rPr>
      </w:pPr>
      <w:r>
        <w:rPr>
          <w:rFonts w:ascii="Times New Roman" w:cs="Times New Roman" w:eastAsia="Times New Roman" w:hAnsi="Times New Roman"/>
          <w:sz w:val="18"/>
          <w:szCs w:val="18"/>
          <w:color w:val="0563C1"/>
        </w:rPr>
        <w:t>10.93</w:t>
      </w:r>
      <w:r>
        <w:rPr>
          <w:sz w:val="20"/>
          <w:szCs w:val="20"/>
          <w:color w:val="auto"/>
        </w:rPr>
        <w:tab/>
      </w:r>
      <w:r>
        <w:rPr>
          <w:rFonts w:ascii="Times New Roman" w:cs="Times New Roman" w:eastAsia="Times New Roman" w:hAnsi="Times New Roman"/>
          <w:sz w:val="18"/>
          <w:szCs w:val="18"/>
          <w:color w:val="auto"/>
        </w:rPr>
        <w:t>Form of Subscription Agreement between the Company and investors in the Fall 2013 Unit Private Placement, incorporated by reference from Exhibit 10.93 to the Company’s Annual Report on Form 10-K filed on June 25, 2014.</w:t>
      </w:r>
    </w:p>
    <w:p>
      <w:pPr>
        <w:spacing w:after="0" w:line="1" w:lineRule="exact"/>
        <w:rPr>
          <w:sz w:val="20"/>
          <w:szCs w:val="20"/>
          <w:color w:val="auto"/>
        </w:rPr>
      </w:pPr>
    </w:p>
    <w:p>
      <w:pPr>
        <w:ind w:left="940" w:right="40" w:hanging="907"/>
        <w:spacing w:after="0" w:line="250" w:lineRule="auto"/>
        <w:tabs>
          <w:tab w:leader="none" w:pos="920" w:val="left"/>
        </w:tabs>
        <w:rPr>
          <w:sz w:val="20"/>
          <w:szCs w:val="20"/>
          <w:color w:val="auto"/>
        </w:rPr>
      </w:pPr>
      <w:r>
        <w:rPr>
          <w:rFonts w:ascii="Times New Roman" w:cs="Times New Roman" w:eastAsia="Times New Roman" w:hAnsi="Times New Roman"/>
          <w:sz w:val="18"/>
          <w:szCs w:val="18"/>
          <w:color w:val="0563C1"/>
        </w:rPr>
        <w:t>10.94</w:t>
      </w:r>
      <w:r>
        <w:rPr>
          <w:sz w:val="20"/>
          <w:szCs w:val="20"/>
          <w:color w:val="auto"/>
        </w:rPr>
        <w:tab/>
      </w:r>
      <w:r>
        <w:rPr>
          <w:rFonts w:ascii="Times New Roman" w:cs="Times New Roman" w:eastAsia="Times New Roman" w:hAnsi="Times New Roman"/>
          <w:sz w:val="18"/>
          <w:szCs w:val="18"/>
          <w:color w:val="auto"/>
        </w:rPr>
        <w:t>Form of Convertible Promissory Note between the Company and investors in the Fall 2013 Unit Private Placement, incorporated by reference from Exhibit 10.94 to the Company’s Annual Report on Form 10-K filed on June 25,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-271780</wp:posOffset>
            </wp:positionV>
            <wp:extent cx="7246620" cy="2743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40" w:right="420" w:hanging="907"/>
        <w:spacing w:after="0" w:line="250" w:lineRule="auto"/>
        <w:tabs>
          <w:tab w:leader="none" w:pos="920" w:val="left"/>
        </w:tabs>
        <w:rPr>
          <w:sz w:val="20"/>
          <w:szCs w:val="20"/>
          <w:color w:val="auto"/>
        </w:rPr>
      </w:pPr>
      <w:r>
        <w:rPr>
          <w:rFonts w:ascii="Times New Roman" w:cs="Times New Roman" w:eastAsia="Times New Roman" w:hAnsi="Times New Roman"/>
          <w:sz w:val="18"/>
          <w:szCs w:val="18"/>
          <w:color w:val="0563C1"/>
        </w:rPr>
        <w:t>10.95</w:t>
      </w:r>
      <w:r>
        <w:rPr>
          <w:sz w:val="20"/>
          <w:szCs w:val="20"/>
          <w:color w:val="auto"/>
        </w:rPr>
        <w:tab/>
      </w:r>
      <w:r>
        <w:rPr>
          <w:rFonts w:ascii="Times New Roman" w:cs="Times New Roman" w:eastAsia="Times New Roman" w:hAnsi="Times New Roman"/>
          <w:sz w:val="18"/>
          <w:szCs w:val="18"/>
          <w:color w:val="auto"/>
        </w:rPr>
        <w:t>Form of Common Stock Purchase Warrant between the Company and investors in the Fall 2013 Unit Private Placement, incorporated by reference from Exhibit 10.95 to the Company’s Annual Report on Form 10-K filed on June 25, 2014.</w:t>
      </w:r>
    </w:p>
    <w:p>
      <w:pPr>
        <w:spacing w:after="0" w:line="1" w:lineRule="exact"/>
        <w:rPr>
          <w:sz w:val="20"/>
          <w:szCs w:val="20"/>
          <w:color w:val="auto"/>
        </w:rPr>
      </w:pPr>
    </w:p>
    <w:p>
      <w:pPr>
        <w:ind w:left="940" w:right="280" w:hanging="907"/>
        <w:spacing w:after="0" w:line="250" w:lineRule="auto"/>
        <w:tabs>
          <w:tab w:leader="none" w:pos="920" w:val="left"/>
        </w:tabs>
        <w:rPr>
          <w:sz w:val="20"/>
          <w:szCs w:val="20"/>
          <w:color w:val="auto"/>
        </w:rPr>
      </w:pPr>
      <w:r>
        <w:rPr>
          <w:rFonts w:ascii="Times New Roman" w:cs="Times New Roman" w:eastAsia="Times New Roman" w:hAnsi="Times New Roman"/>
          <w:sz w:val="18"/>
          <w:szCs w:val="18"/>
          <w:color w:val="0563C1"/>
        </w:rPr>
        <w:t>10.96</w:t>
      </w:r>
      <w:r>
        <w:rPr>
          <w:sz w:val="20"/>
          <w:szCs w:val="20"/>
          <w:color w:val="auto"/>
        </w:rPr>
        <w:tab/>
      </w:r>
      <w:r>
        <w:rPr>
          <w:rFonts w:ascii="Times New Roman" w:cs="Times New Roman" w:eastAsia="Times New Roman" w:hAnsi="Times New Roman"/>
          <w:sz w:val="18"/>
          <w:szCs w:val="18"/>
          <w:color w:val="auto"/>
        </w:rPr>
        <w:t>Form of Amendment to Convertible Promissory Note and Warrant between the Company and investors in the Fall 2013 Unit Private Placement, effective May 31, 2014, incorporated by reference from Exhibit 10.96 to the Company’s Annual Report on Form 10-K filed on June 24,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-408940</wp:posOffset>
            </wp:positionV>
            <wp:extent cx="7246620" cy="4114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ind w:left="940" w:right="280" w:hanging="907"/>
        <w:spacing w:after="0" w:line="250" w:lineRule="auto"/>
        <w:tabs>
          <w:tab w:leader="none" w:pos="920" w:val="left"/>
        </w:tabs>
        <w:rPr>
          <w:sz w:val="20"/>
          <w:szCs w:val="20"/>
          <w:color w:val="auto"/>
        </w:rPr>
      </w:pPr>
      <w:r>
        <w:rPr>
          <w:rFonts w:ascii="Times New Roman" w:cs="Times New Roman" w:eastAsia="Times New Roman" w:hAnsi="Times New Roman"/>
          <w:sz w:val="18"/>
          <w:szCs w:val="18"/>
          <w:color w:val="0563C1"/>
        </w:rPr>
        <w:t>10.97</w:t>
      </w:r>
      <w:r>
        <w:rPr>
          <w:sz w:val="20"/>
          <w:szCs w:val="20"/>
          <w:color w:val="auto"/>
        </w:rPr>
        <w:tab/>
      </w:r>
      <w:r>
        <w:rPr>
          <w:rFonts w:ascii="Times New Roman" w:cs="Times New Roman" w:eastAsia="Times New Roman" w:hAnsi="Times New Roman"/>
          <w:sz w:val="18"/>
          <w:szCs w:val="18"/>
          <w:color w:val="auto"/>
        </w:rPr>
        <w:t>Form of Unit Subscription Agreement between the Company and investors in the Spring 2014 Unit Private Placement dated April 1, 2014, incorporated by reference from Exhibit 10.1 to the Company’s Current Report on Form 8-K filed on April 8, 2014.</w:t>
      </w:r>
    </w:p>
    <w:p>
      <w:pPr>
        <w:spacing w:after="0" w:line="1" w:lineRule="exact"/>
        <w:rPr>
          <w:sz w:val="20"/>
          <w:szCs w:val="20"/>
          <w:color w:val="auto"/>
        </w:rPr>
      </w:pPr>
    </w:p>
    <w:p>
      <w:pPr>
        <w:ind w:left="40"/>
        <w:spacing w:after="0"/>
        <w:tabs>
          <w:tab w:leader="none" w:pos="920" w:val="left"/>
        </w:tabs>
        <w:rPr>
          <w:sz w:val="20"/>
          <w:szCs w:val="20"/>
          <w:color w:val="auto"/>
        </w:rPr>
      </w:pPr>
      <w:r>
        <w:rPr>
          <w:rFonts w:ascii="Times New Roman" w:cs="Times New Roman" w:eastAsia="Times New Roman" w:hAnsi="Times New Roman"/>
          <w:sz w:val="18"/>
          <w:szCs w:val="18"/>
          <w:color w:val="0563C1"/>
        </w:rPr>
        <w:t>10.98</w:t>
      </w:r>
      <w:r>
        <w:rPr>
          <w:sz w:val="20"/>
          <w:szCs w:val="20"/>
          <w:color w:val="auto"/>
        </w:rPr>
        <w:tab/>
      </w:r>
      <w:r>
        <w:rPr>
          <w:rFonts w:ascii="Times New Roman" w:cs="Times New Roman" w:eastAsia="Times New Roman" w:hAnsi="Times New Roman"/>
          <w:sz w:val="16"/>
          <w:szCs w:val="16"/>
          <w:color w:val="auto"/>
        </w:rPr>
        <w:t>Form of Subordinate Convertible Promissory Note between the Company and investors in the Spring 2014 Unit Private Placement dated April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-129540</wp:posOffset>
            </wp:positionV>
            <wp:extent cx="7246620" cy="274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8"/>
          <w:szCs w:val="18"/>
          <w:color w:val="auto"/>
        </w:rPr>
        <w:t>1, 2014, incorporated by reference from Exhibit 10.2 to the Company’s Current Report on Form 8-K filed on April 8, 2014.</w:t>
      </w:r>
    </w:p>
    <w:p>
      <w:pPr>
        <w:spacing w:after="0" w:line="9" w:lineRule="exact"/>
        <w:rPr>
          <w:sz w:val="20"/>
          <w:szCs w:val="20"/>
          <w:color w:val="auto"/>
        </w:rPr>
      </w:pPr>
    </w:p>
    <w:p>
      <w:pPr>
        <w:ind w:left="40"/>
        <w:spacing w:after="0"/>
        <w:tabs>
          <w:tab w:leader="none" w:pos="920" w:val="left"/>
        </w:tabs>
        <w:rPr>
          <w:sz w:val="20"/>
          <w:szCs w:val="20"/>
          <w:color w:val="auto"/>
        </w:rPr>
      </w:pPr>
      <w:r>
        <w:rPr>
          <w:rFonts w:ascii="Times New Roman" w:cs="Times New Roman" w:eastAsia="Times New Roman" w:hAnsi="Times New Roman"/>
          <w:sz w:val="18"/>
          <w:szCs w:val="18"/>
          <w:color w:val="0563C1"/>
        </w:rPr>
        <w:t>10.99</w:t>
      </w:r>
      <w:r>
        <w:rPr>
          <w:sz w:val="20"/>
          <w:szCs w:val="20"/>
          <w:color w:val="auto"/>
        </w:rPr>
        <w:tab/>
      </w:r>
      <w:r>
        <w:rPr>
          <w:rFonts w:ascii="Times New Roman" w:cs="Times New Roman" w:eastAsia="Times New Roman" w:hAnsi="Times New Roman"/>
          <w:sz w:val="16"/>
          <w:szCs w:val="16"/>
          <w:color w:val="auto"/>
        </w:rPr>
        <w:t>Form of Common Stock Purchase Warrant between the Company and investors in the Spring 2014 Unit Private Placement dated April 1,</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2014, incorporated by reference from Exhibit 10.3 to the Company’s Current Report on Form 8-K filed on April 8, 2014.</w:t>
      </w:r>
    </w:p>
    <w:p>
      <w:pPr>
        <w:spacing w:after="0" w:line="9" w:lineRule="exact"/>
        <w:rPr>
          <w:sz w:val="20"/>
          <w:szCs w:val="20"/>
          <w:color w:val="auto"/>
        </w:rPr>
      </w:pPr>
    </w:p>
    <w:p>
      <w:pPr>
        <w:ind w:left="940" w:right="300" w:hanging="951"/>
        <w:spacing w:after="0" w:line="250" w:lineRule="auto"/>
        <w:tabs>
          <w:tab w:leader="none" w:pos="920" w:val="left"/>
        </w:tabs>
        <w:rPr>
          <w:sz w:val="20"/>
          <w:szCs w:val="20"/>
          <w:color w:val="auto"/>
        </w:rPr>
      </w:pPr>
      <w:r>
        <w:rPr>
          <w:rFonts w:ascii="Times New Roman" w:cs="Times New Roman" w:eastAsia="Times New Roman" w:hAnsi="Times New Roman"/>
          <w:sz w:val="18"/>
          <w:szCs w:val="18"/>
          <w:color w:val="0563C1"/>
        </w:rPr>
        <w:t>10.100</w:t>
      </w:r>
      <w:r>
        <w:rPr>
          <w:sz w:val="20"/>
          <w:szCs w:val="20"/>
          <w:color w:val="auto"/>
        </w:rPr>
        <w:tab/>
      </w:r>
      <w:r>
        <w:rPr>
          <w:rFonts w:ascii="Times New Roman" w:cs="Times New Roman" w:eastAsia="Times New Roman" w:hAnsi="Times New Roman"/>
          <w:sz w:val="18"/>
          <w:szCs w:val="18"/>
          <w:color w:val="auto"/>
        </w:rPr>
        <w:t>Common Stock Purchase Warrant between the Company and Platinum Long Term Growth Fund VII dated May 14, 2014, incorporated by reference from Exhibit 10.1 to the Company’s Current Report on Form 8-K filed on May 19,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-271780</wp:posOffset>
            </wp:positionV>
            <wp:extent cx="7246620" cy="2743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jc w:val="center"/>
        <w:ind w:right="880"/>
        <w:spacing w:after="0" w:line="250" w:lineRule="auto"/>
        <w:rPr>
          <w:sz w:val="20"/>
          <w:szCs w:val="20"/>
          <w:color w:val="auto"/>
        </w:rPr>
      </w:pPr>
      <w:r>
        <w:rPr>
          <w:rFonts w:ascii="Times New Roman" w:cs="Times New Roman" w:eastAsia="Times New Roman" w:hAnsi="Times New Roman"/>
          <w:sz w:val="18"/>
          <w:szCs w:val="18"/>
          <w:color w:val="0563C1"/>
        </w:rPr>
        <w:t xml:space="preserve">10.101     </w:t>
      </w:r>
      <w:r>
        <w:rPr>
          <w:rFonts w:ascii="Times New Roman" w:cs="Times New Roman" w:eastAsia="Times New Roman" w:hAnsi="Times New Roman"/>
          <w:sz w:val="18"/>
          <w:szCs w:val="18"/>
          <w:color w:val="000000"/>
        </w:rPr>
        <w:t>Subordinate Convertible Promissory Note between the Company and Platinum Long Term Growth Fund VII dated May 14, 2014,</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color w:val="000000"/>
        </w:rPr>
        <w:t>incorporated by reference from Exhibit 10.2 to the Company’s Current Report on Form 8-K filed on May 19, 2014.</w:t>
      </w:r>
    </w:p>
    <w:p>
      <w:pPr>
        <w:spacing w:after="0" w:line="1" w:lineRule="exact"/>
        <w:rPr>
          <w:sz w:val="20"/>
          <w:szCs w:val="20"/>
          <w:color w:val="auto"/>
        </w:rPr>
      </w:pPr>
    </w:p>
    <w:p>
      <w:pPr>
        <w:ind w:left="940" w:right="20" w:hanging="951"/>
        <w:spacing w:after="0" w:line="250" w:lineRule="auto"/>
        <w:tabs>
          <w:tab w:leader="none" w:pos="920" w:val="left"/>
        </w:tabs>
        <w:rPr>
          <w:sz w:val="20"/>
          <w:szCs w:val="20"/>
          <w:color w:val="auto"/>
        </w:rPr>
      </w:pPr>
      <w:r>
        <w:rPr>
          <w:rFonts w:ascii="Times New Roman" w:cs="Times New Roman" w:eastAsia="Times New Roman" w:hAnsi="Times New Roman"/>
          <w:sz w:val="18"/>
          <w:szCs w:val="18"/>
          <w:color w:val="0563C1"/>
        </w:rPr>
        <w:t>10.102</w:t>
      </w:r>
      <w:r>
        <w:rPr>
          <w:sz w:val="20"/>
          <w:szCs w:val="20"/>
          <w:color w:val="auto"/>
        </w:rPr>
        <w:tab/>
      </w:r>
      <w:r>
        <w:rPr>
          <w:rFonts w:ascii="Times New Roman" w:cs="Times New Roman" w:eastAsia="Times New Roman" w:hAnsi="Times New Roman"/>
          <w:sz w:val="18"/>
          <w:szCs w:val="18"/>
          <w:color w:val="auto"/>
        </w:rPr>
        <w:t>Form of Promissory Note and Form of Warrant issued by the Company to Icahn School of Business at Mount Sinai effective April 10, 2014 in satisfaction of technology license maintenance fees and reimbursable patent costs, incorporated by reference from Exhibit 10.102 to the Company’s Annual Report on Form 10-K filed on June 25,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-408940</wp:posOffset>
            </wp:positionV>
            <wp:extent cx="7246620" cy="4114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ind w:left="940" w:right="220" w:hanging="951"/>
        <w:spacing w:after="0" w:line="281" w:lineRule="auto"/>
        <w:tabs>
          <w:tab w:leader="none" w:pos="920" w:val="left"/>
        </w:tabs>
        <w:rPr>
          <w:sz w:val="20"/>
          <w:szCs w:val="20"/>
          <w:color w:val="auto"/>
        </w:rPr>
      </w:pPr>
      <w:r>
        <w:rPr>
          <w:rFonts w:ascii="Times New Roman" w:cs="Times New Roman" w:eastAsia="Times New Roman" w:hAnsi="Times New Roman"/>
          <w:sz w:val="18"/>
          <w:szCs w:val="18"/>
          <w:color w:val="0563C1"/>
        </w:rPr>
        <w:t>10.103</w:t>
      </w:r>
      <w:r>
        <w:rPr>
          <w:sz w:val="20"/>
          <w:szCs w:val="20"/>
          <w:color w:val="auto"/>
        </w:rPr>
        <w:tab/>
      </w:r>
      <w:r>
        <w:rPr>
          <w:rFonts w:ascii="Times New Roman" w:cs="Times New Roman" w:eastAsia="Times New Roman" w:hAnsi="Times New Roman"/>
          <w:sz w:val="16"/>
          <w:szCs w:val="16"/>
          <w:color w:val="auto"/>
        </w:rPr>
        <w:t>Amendment No. 3 to Sponsored Research Collaboration Agreement, dated April 25, 2011, by and between VistaGen and University Health Network, incorporated by reference from Exhibit 10.103 to the Company’s Annual Report on Form 10-K filed on June 25, 2014.</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0563C1"/>
        </w:rPr>
        <w:t>10.104</w:t>
      </w:r>
      <w:r>
        <w:rPr>
          <w:sz w:val="20"/>
          <w:szCs w:val="20"/>
          <w:color w:val="auto"/>
        </w:rPr>
        <w:tab/>
      </w:r>
      <w:r>
        <w:rPr>
          <w:rFonts w:ascii="Times New Roman" w:cs="Times New Roman" w:eastAsia="Times New Roman" w:hAnsi="Times New Roman"/>
          <w:sz w:val="16"/>
          <w:szCs w:val="16"/>
          <w:color w:val="auto"/>
        </w:rPr>
        <w:t>Amendment No. 5 to Sponsored Research Collaboration Agreement, dated October 10, 2012, by and between VistaGen and University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-129540</wp:posOffset>
            </wp:positionV>
            <wp:extent cx="7246620" cy="2743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Network, incorporated by reference from Exhibit 10.104 to the Company’s Annual Report on Form 10-K filed on June 25, 2014.</w:t>
      </w:r>
    </w:p>
    <w:p>
      <w:pPr>
        <w:sectPr>
          <w:pgSz w:w="11900" w:h="16838" w:orient="portrait"/>
          <w:cols w:equalWidth="0" w:num="1">
            <w:col w:w="10960"/>
          </w:cols>
          <w:pgMar w:left="680" w:top="125" w:right="259" w:bottom="0" w:gutter="0" w:footer="0" w:header="0"/>
        </w:sectPr>
      </w:pPr>
    </w:p>
    <w:bookmarkStart w:id="173" w:name="page174"/>
    <w:bookmarkEnd w:id="173"/>
    <w:p>
      <w:pPr>
        <w:ind w:left="1380" w:right="40" w:hanging="951"/>
        <w:spacing w:after="0" w:line="255" w:lineRule="auto"/>
        <w:tabs>
          <w:tab w:leader="none" w:pos="1360" w:val="left"/>
        </w:tabs>
        <w:rPr>
          <w:sz w:val="20"/>
          <w:szCs w:val="20"/>
          <w:color w:val="auto"/>
        </w:rPr>
      </w:pPr>
      <w:r>
        <w:rPr>
          <w:rFonts w:ascii="Times New Roman" w:cs="Times New Roman" w:eastAsia="Times New Roman" w:hAnsi="Times New Roman"/>
          <w:sz w:val="18"/>
          <w:szCs w:val="18"/>
          <w:color w:val="auto"/>
        </w:rPr>
        <w:t>10.105</w:t>
      </w:r>
      <w:r>
        <w:rPr>
          <w:sz w:val="20"/>
          <w:szCs w:val="20"/>
          <w:color w:val="auto"/>
        </w:rPr>
        <w:tab/>
      </w:r>
      <w:r>
        <w:rPr>
          <w:rFonts w:ascii="Times New Roman" w:cs="Times New Roman" w:eastAsia="Times New Roman" w:hAnsi="Times New Roman"/>
          <w:sz w:val="18"/>
          <w:szCs w:val="18"/>
          <w:color w:val="auto"/>
        </w:rPr>
        <w:t>Amended and Restated Note Conversion Agreement and Warrant Amendment, by and between VistaGen Therapeutics, Inc. and Platinum Long Term Growth VII, LLC, dated July 18, 2014, incorporated by reference from Exhibit 10.1 to the Company’s Current Report on Form 8-K filed on July 22, 2014.</w:t>
      </w:r>
    </w:p>
    <w:p>
      <w:pPr>
        <w:spacing w:after="0" w:line="1" w:lineRule="exact"/>
        <w:rPr>
          <w:sz w:val="20"/>
          <w:szCs w:val="20"/>
          <w:color w:val="auto"/>
        </w:rPr>
      </w:pPr>
    </w:p>
    <w:p>
      <w:pPr>
        <w:ind w:left="1380" w:right="60" w:hanging="951"/>
        <w:spacing w:after="0" w:line="250" w:lineRule="auto"/>
        <w:tabs>
          <w:tab w:leader="none" w:pos="1360" w:val="left"/>
        </w:tabs>
        <w:rPr>
          <w:sz w:val="20"/>
          <w:szCs w:val="20"/>
          <w:color w:val="auto"/>
        </w:rPr>
      </w:pPr>
      <w:r>
        <w:rPr>
          <w:rFonts w:ascii="Times New Roman" w:cs="Times New Roman" w:eastAsia="Times New Roman" w:hAnsi="Times New Roman"/>
          <w:sz w:val="18"/>
          <w:szCs w:val="18"/>
          <w:color w:val="0563C1"/>
        </w:rPr>
        <w:t>10.106</w:t>
      </w:r>
      <w:r>
        <w:rPr>
          <w:sz w:val="20"/>
          <w:szCs w:val="20"/>
          <w:color w:val="auto"/>
        </w:rPr>
        <w:tab/>
      </w:r>
      <w:r>
        <w:rPr>
          <w:rFonts w:ascii="Times New Roman" w:cs="Times New Roman" w:eastAsia="Times New Roman" w:hAnsi="Times New Roman"/>
          <w:sz w:val="18"/>
          <w:szCs w:val="18"/>
          <w:color w:val="auto"/>
        </w:rPr>
        <w:t>Amendment No. 1 to Amended and Restated Note Conversion Agreement and Warrant Amendment, by and between VistaGen Therapeutics, Inc. and Platinum Long Term Growth VII, LLC, dated September 2, 2014, incorporated by reference from Exhibit 10.1 to the Company’s Current Report on Form 8-K filed on September 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4114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ind w:left="1380" w:right="60" w:hanging="951"/>
        <w:spacing w:after="0" w:line="250" w:lineRule="auto"/>
        <w:tabs>
          <w:tab w:leader="none" w:pos="1360" w:val="left"/>
        </w:tabs>
        <w:rPr>
          <w:sz w:val="20"/>
          <w:szCs w:val="20"/>
          <w:color w:val="auto"/>
        </w:rPr>
      </w:pPr>
      <w:r>
        <w:rPr>
          <w:rFonts w:ascii="Times New Roman" w:cs="Times New Roman" w:eastAsia="Times New Roman" w:hAnsi="Times New Roman"/>
          <w:sz w:val="18"/>
          <w:szCs w:val="18"/>
          <w:color w:val="auto"/>
        </w:rPr>
        <w:t>10.107</w:t>
      </w:r>
      <w:r>
        <w:rPr>
          <w:sz w:val="20"/>
          <w:szCs w:val="20"/>
          <w:color w:val="auto"/>
        </w:rPr>
        <w:tab/>
      </w:r>
      <w:r>
        <w:rPr>
          <w:rFonts w:ascii="Times New Roman" w:cs="Times New Roman" w:eastAsia="Times New Roman" w:hAnsi="Times New Roman"/>
          <w:sz w:val="18"/>
          <w:szCs w:val="18"/>
          <w:color w:val="auto"/>
        </w:rPr>
        <w:t>Amendment No. 2 to Amended and Restated Note Conversion Agreement and Warrant Amendment, by and between VistaGen Therapeutics, Inc. and Platinum Long Term Growth VII, LLC, dated September 30, 2014, incorporated by reference from Exhibit 10.1 to the Company’s Current Report on Form 8-K filed on October 3, 2014.</w:t>
      </w:r>
    </w:p>
    <w:p>
      <w:pPr>
        <w:spacing w:after="0" w:line="1" w:lineRule="exact"/>
        <w:rPr>
          <w:sz w:val="20"/>
          <w:szCs w:val="20"/>
          <w:color w:val="auto"/>
        </w:rPr>
      </w:pPr>
    </w:p>
    <w:p>
      <w:pPr>
        <w:ind w:left="1380" w:right="320" w:hanging="951"/>
        <w:spacing w:after="0" w:line="250" w:lineRule="auto"/>
        <w:tabs>
          <w:tab w:leader="none" w:pos="1360" w:val="left"/>
        </w:tabs>
        <w:rPr>
          <w:sz w:val="20"/>
          <w:szCs w:val="20"/>
          <w:color w:val="auto"/>
        </w:rPr>
      </w:pPr>
      <w:r>
        <w:rPr>
          <w:rFonts w:ascii="Times New Roman" w:cs="Times New Roman" w:eastAsia="Times New Roman" w:hAnsi="Times New Roman"/>
          <w:sz w:val="18"/>
          <w:szCs w:val="18"/>
          <w:color w:val="0563C1"/>
        </w:rPr>
        <w:t>10.108</w:t>
      </w:r>
      <w:r>
        <w:rPr>
          <w:sz w:val="20"/>
          <w:szCs w:val="20"/>
          <w:color w:val="auto"/>
        </w:rPr>
        <w:tab/>
      </w:r>
      <w:r>
        <w:rPr>
          <w:rFonts w:ascii="Times New Roman" w:cs="Times New Roman" w:eastAsia="Times New Roman" w:hAnsi="Times New Roman"/>
          <w:sz w:val="18"/>
          <w:szCs w:val="18"/>
          <w:color w:val="auto"/>
        </w:rPr>
        <w:t>Agreement, by and between VistaGen Therapeutics, Inc. and Platinum Long Term Growth VII, LLC, dated May 5, 2015, incorporated by reference from Exhibit 10.1 to the Company’s Current Report on Form 8-K filed on May 13,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743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440"/>
        <w:spacing w:after="0"/>
        <w:tabs>
          <w:tab w:leader="none" w:pos="1360" w:val="left"/>
        </w:tabs>
        <w:rPr>
          <w:sz w:val="20"/>
          <w:szCs w:val="20"/>
          <w:color w:val="auto"/>
        </w:rPr>
      </w:pPr>
      <w:r>
        <w:rPr>
          <w:rFonts w:ascii="Times New Roman" w:cs="Times New Roman" w:eastAsia="Times New Roman" w:hAnsi="Times New Roman"/>
          <w:sz w:val="18"/>
          <w:szCs w:val="18"/>
          <w:color w:val="auto"/>
        </w:rPr>
        <w:t>10.109</w:t>
      </w:r>
      <w:r>
        <w:rPr>
          <w:sz w:val="20"/>
          <w:szCs w:val="20"/>
          <w:color w:val="auto"/>
        </w:rPr>
        <w:tab/>
      </w:r>
      <w:r>
        <w:rPr>
          <w:rFonts w:ascii="Times New Roman" w:cs="Times New Roman" w:eastAsia="Times New Roman" w:hAnsi="Times New Roman"/>
          <w:sz w:val="16"/>
          <w:szCs w:val="16"/>
          <w:color w:val="auto"/>
        </w:rPr>
        <w:t>Acknowledgement and Agreement, by and between VistaGen Therapeutics, Inc. and Platinum Long Term Growth VII, LLC, dated May 12,</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2015, incorporated by reference from Exhibit 10.2 to the Company’s Current Report on Form 8-K filed on May 13, 2015.</w:t>
      </w:r>
    </w:p>
    <w:p>
      <w:pPr>
        <w:spacing w:after="0" w:line="9"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8"/>
          <w:szCs w:val="18"/>
          <w:color w:val="0563C1"/>
        </w:rPr>
        <w:t>10.110</w:t>
      </w:r>
      <w:r>
        <w:rPr>
          <w:sz w:val="20"/>
          <w:szCs w:val="20"/>
          <w:color w:val="auto"/>
        </w:rPr>
        <w:tab/>
      </w:r>
      <w:r>
        <w:rPr>
          <w:rFonts w:ascii="Times New Roman" w:cs="Times New Roman" w:eastAsia="Times New Roman" w:hAnsi="Times New Roman"/>
          <w:sz w:val="16"/>
          <w:szCs w:val="16"/>
          <w:color w:val="auto"/>
        </w:rPr>
        <w:t>Form of Securities Purchase Agreement by and between VistaGen Therapeutics, Inc. and Platinum Long Term Growth VII, LLC, dated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2743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380"/>
        <w:spacing w:after="0"/>
        <w:rPr>
          <w:sz w:val="20"/>
          <w:szCs w:val="20"/>
          <w:color w:val="auto"/>
        </w:rPr>
      </w:pPr>
      <w:r>
        <w:rPr>
          <w:rFonts w:ascii="Times New Roman" w:cs="Times New Roman" w:eastAsia="Times New Roman" w:hAnsi="Times New Roman"/>
          <w:sz w:val="18"/>
          <w:szCs w:val="18"/>
          <w:color w:val="auto"/>
        </w:rPr>
        <w:t>12, 2015, incorporated by reference from Exhibit 10.3 to the Company’s Current Report on Form 8-K filed on May 13, 2015.</w:t>
      </w:r>
    </w:p>
    <w:p>
      <w:pPr>
        <w:spacing w:after="0" w:line="9" w:lineRule="exact"/>
        <w:rPr>
          <w:sz w:val="20"/>
          <w:szCs w:val="20"/>
          <w:color w:val="auto"/>
        </w:rPr>
      </w:pPr>
    </w:p>
    <w:p>
      <w:pPr>
        <w:ind w:left="1380" w:right="40" w:hanging="945"/>
        <w:spacing w:after="0" w:line="250" w:lineRule="auto"/>
        <w:tabs>
          <w:tab w:leader="none" w:pos="1360" w:val="left"/>
        </w:tabs>
        <w:rPr>
          <w:sz w:val="20"/>
          <w:szCs w:val="20"/>
          <w:color w:val="auto"/>
        </w:rPr>
      </w:pPr>
      <w:r>
        <w:rPr>
          <w:rFonts w:ascii="Times New Roman" w:cs="Times New Roman" w:eastAsia="Times New Roman" w:hAnsi="Times New Roman"/>
          <w:sz w:val="18"/>
          <w:szCs w:val="18"/>
          <w:color w:val="0563C1"/>
        </w:rPr>
        <w:t>10.111</w:t>
      </w:r>
      <w:r>
        <w:rPr>
          <w:sz w:val="20"/>
          <w:szCs w:val="20"/>
          <w:color w:val="auto"/>
        </w:rPr>
        <w:tab/>
      </w:r>
      <w:r>
        <w:rPr>
          <w:rFonts w:ascii="Times New Roman" w:cs="Times New Roman" w:eastAsia="Times New Roman" w:hAnsi="Times New Roman"/>
          <w:sz w:val="18"/>
          <w:szCs w:val="18"/>
          <w:color w:val="auto"/>
        </w:rPr>
        <w:t>Exchange Agreement, by and between VistaGen Therapeutics, Inc., and Platinum Long Term Growth VII, LLC and Montsant Partners, LLC, dated January 25, 2016, incorporated by reference from Exhibit 10.1 to the Company’s Current Report on Form 8-K filed on January 29, 2016.</w:t>
      </w:r>
    </w:p>
    <w:p>
      <w:pPr>
        <w:spacing w:after="0" w:line="1" w:lineRule="exact"/>
        <w:rPr>
          <w:sz w:val="20"/>
          <w:szCs w:val="20"/>
          <w:color w:val="auto"/>
        </w:rPr>
      </w:pPr>
    </w:p>
    <w:p>
      <w:pPr>
        <w:ind w:left="1380" w:right="40" w:hanging="948"/>
        <w:spacing w:after="0" w:line="250" w:lineRule="auto"/>
        <w:tabs>
          <w:tab w:leader="none" w:pos="1360" w:val="left"/>
        </w:tabs>
        <w:rPr>
          <w:sz w:val="20"/>
          <w:szCs w:val="20"/>
          <w:color w:val="auto"/>
        </w:rPr>
      </w:pPr>
      <w:r>
        <w:rPr>
          <w:rFonts w:ascii="Times New Roman" w:cs="Times New Roman" w:eastAsia="Times New Roman" w:hAnsi="Times New Roman"/>
          <w:sz w:val="18"/>
          <w:szCs w:val="18"/>
          <w:color w:val="0563C1"/>
        </w:rPr>
        <w:t>10.112</w:t>
      </w:r>
      <w:r>
        <w:rPr>
          <w:sz w:val="20"/>
          <w:szCs w:val="20"/>
          <w:color w:val="auto"/>
        </w:rPr>
        <w:tab/>
      </w:r>
      <w:r>
        <w:rPr>
          <w:rFonts w:ascii="Times New Roman" w:cs="Times New Roman" w:eastAsia="Times New Roman" w:hAnsi="Times New Roman"/>
          <w:sz w:val="18"/>
          <w:szCs w:val="18"/>
          <w:color w:val="auto"/>
        </w:rPr>
        <w:t>Indemnification Agreement effective April 8, 2016 between the Company and Jerry B. Gin, incorporated by reference from Exhibit 10.112 to the Company’s Annual Report on Form 10-K filed on June 24,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743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jc w:val="both"/>
        <w:ind w:left="1380" w:right="260" w:hanging="948"/>
        <w:spacing w:after="0" w:line="250" w:lineRule="auto"/>
        <w:tabs>
          <w:tab w:leader="none" w:pos="1360" w:val="left"/>
        </w:tabs>
        <w:rPr>
          <w:sz w:val="20"/>
          <w:szCs w:val="20"/>
          <w:color w:val="auto"/>
        </w:rPr>
      </w:pPr>
      <w:r>
        <w:rPr>
          <w:rFonts w:ascii="Times New Roman" w:cs="Times New Roman" w:eastAsia="Times New Roman" w:hAnsi="Times New Roman"/>
          <w:sz w:val="18"/>
          <w:szCs w:val="18"/>
          <w:color w:val="0563C1"/>
        </w:rPr>
        <w:t>10.113</w:t>
      </w:r>
      <w:r>
        <w:rPr>
          <w:sz w:val="20"/>
          <w:szCs w:val="20"/>
          <w:color w:val="auto"/>
        </w:rPr>
        <w:tab/>
      </w:r>
      <w:r>
        <w:rPr>
          <w:rFonts w:ascii="Times New Roman" w:cs="Times New Roman" w:eastAsia="Times New Roman" w:hAnsi="Times New Roman"/>
          <w:sz w:val="18"/>
          <w:szCs w:val="18"/>
          <w:color w:val="auto"/>
        </w:rPr>
        <w:t>Underwriting Agreement, by and between Chardan Capital Markets, LLC and WallachBeth Capital, LLC, as representatives of the several underwriters, and VistaGen Therapeutics, Inc., dated May 10, 2016, incorporated by reference from Exhibit 1.1 to the Company’s Current Report on Form 8-K filed on May 16, 2016.</w:t>
      </w:r>
    </w:p>
    <w:p>
      <w:pPr>
        <w:spacing w:after="0" w:line="1" w:lineRule="exact"/>
        <w:rPr>
          <w:sz w:val="20"/>
          <w:szCs w:val="20"/>
          <w:color w:val="auto"/>
        </w:rPr>
      </w:pPr>
    </w:p>
    <w:p>
      <w:pPr>
        <w:ind w:left="1380" w:right="360" w:hanging="948"/>
        <w:spacing w:after="0" w:line="250" w:lineRule="auto"/>
        <w:tabs>
          <w:tab w:leader="none" w:pos="1360" w:val="left"/>
        </w:tabs>
        <w:rPr>
          <w:sz w:val="20"/>
          <w:szCs w:val="20"/>
          <w:color w:val="auto"/>
        </w:rPr>
      </w:pPr>
      <w:r>
        <w:rPr>
          <w:rFonts w:ascii="Times New Roman" w:cs="Times New Roman" w:eastAsia="Times New Roman" w:hAnsi="Times New Roman"/>
          <w:sz w:val="18"/>
          <w:szCs w:val="18"/>
          <w:color w:val="0563C1"/>
        </w:rPr>
        <w:t>10.114</w:t>
      </w:r>
      <w:r>
        <w:rPr>
          <w:sz w:val="20"/>
          <w:szCs w:val="20"/>
          <w:color w:val="auto"/>
        </w:rPr>
        <w:tab/>
      </w:r>
      <w:r>
        <w:rPr>
          <w:rFonts w:ascii="Times New Roman" w:cs="Times New Roman" w:eastAsia="Times New Roman" w:hAnsi="Times New Roman"/>
          <w:sz w:val="18"/>
          <w:szCs w:val="18"/>
          <w:color w:val="auto"/>
        </w:rPr>
        <w:t>Warrant Agency Agreement, by and between Computershare, Inc. and VistaGen Therapeutics, Inc., dated May 16, 2016, incorporated by reference from Exhibit 4.1 to the Company’s Current Report on Form 8-K filed on May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743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440"/>
        <w:spacing w:after="0"/>
        <w:tabs>
          <w:tab w:leader="none" w:pos="1360" w:val="left"/>
        </w:tabs>
        <w:rPr>
          <w:sz w:val="20"/>
          <w:szCs w:val="20"/>
          <w:color w:val="auto"/>
        </w:rPr>
      </w:pPr>
      <w:r>
        <w:rPr>
          <w:rFonts w:ascii="Times New Roman" w:cs="Times New Roman" w:eastAsia="Times New Roman" w:hAnsi="Times New Roman"/>
          <w:sz w:val="18"/>
          <w:szCs w:val="18"/>
          <w:color w:val="0563C1"/>
        </w:rPr>
        <w:t>10.115</w:t>
      </w:r>
      <w:r>
        <w:rPr>
          <w:sz w:val="20"/>
          <w:szCs w:val="20"/>
          <w:color w:val="auto"/>
        </w:rPr>
        <w:tab/>
      </w:r>
      <w:r>
        <w:rPr>
          <w:rFonts w:ascii="Times New Roman" w:cs="Times New Roman" w:eastAsia="Times New Roman" w:hAnsi="Times New Roman"/>
          <w:sz w:val="16"/>
          <w:szCs w:val="16"/>
          <w:color w:val="auto"/>
        </w:rPr>
        <w:t>Form of Warrant; incorporated by reference from Exhibit 4.2 to the Company’s Current Report on Form 8-K filed on May 16, 2016.</w:t>
      </w:r>
    </w:p>
    <w:p>
      <w:pPr>
        <w:spacing w:after="0" w:line="9" w:lineRule="exact"/>
        <w:rPr>
          <w:sz w:val="20"/>
          <w:szCs w:val="20"/>
          <w:color w:val="auto"/>
        </w:rPr>
      </w:pPr>
    </w:p>
    <w:p>
      <w:pPr>
        <w:ind w:left="1380" w:right="420" w:hanging="948"/>
        <w:spacing w:after="0" w:line="250" w:lineRule="auto"/>
        <w:tabs>
          <w:tab w:leader="none" w:pos="1360" w:val="left"/>
        </w:tabs>
        <w:rPr>
          <w:sz w:val="20"/>
          <w:szCs w:val="20"/>
          <w:color w:val="auto"/>
        </w:rPr>
      </w:pPr>
      <w:r>
        <w:rPr>
          <w:rFonts w:ascii="Times New Roman" w:cs="Times New Roman" w:eastAsia="Times New Roman" w:hAnsi="Times New Roman"/>
          <w:sz w:val="18"/>
          <w:szCs w:val="18"/>
          <w:color w:val="0563C1"/>
        </w:rPr>
        <w:t>10.116</w:t>
      </w:r>
      <w:r>
        <w:rPr>
          <w:sz w:val="20"/>
          <w:szCs w:val="20"/>
          <w:color w:val="auto"/>
        </w:rPr>
        <w:tab/>
      </w:r>
      <w:r>
        <w:rPr>
          <w:rFonts w:ascii="Times New Roman" w:cs="Times New Roman" w:eastAsia="Times New Roman" w:hAnsi="Times New Roman"/>
          <w:sz w:val="18"/>
          <w:szCs w:val="18"/>
          <w:color w:val="auto"/>
        </w:rPr>
        <w:t>Second Amendment to Employment Agreement by and between VistaGen Therapeutics, Inc. and Shawn K. Singh, dated June 22, 2016, incorporated by reference from Exhibit 10.116 to the Company’s Annual Report on Form 10-K filed on June 24,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743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440"/>
        <w:spacing w:after="0"/>
        <w:tabs>
          <w:tab w:leader="none" w:pos="1360" w:val="left"/>
        </w:tabs>
        <w:rPr>
          <w:sz w:val="20"/>
          <w:szCs w:val="20"/>
          <w:color w:val="auto"/>
        </w:rPr>
      </w:pPr>
      <w:r>
        <w:rPr>
          <w:rFonts w:ascii="Times New Roman" w:cs="Times New Roman" w:eastAsia="Times New Roman" w:hAnsi="Times New Roman"/>
          <w:sz w:val="18"/>
          <w:szCs w:val="18"/>
          <w:color w:val="0563C1"/>
        </w:rPr>
        <w:t>10.117</w:t>
      </w:r>
      <w:r>
        <w:rPr>
          <w:sz w:val="20"/>
          <w:szCs w:val="20"/>
          <w:color w:val="auto"/>
        </w:rPr>
        <w:tab/>
      </w:r>
      <w:r>
        <w:rPr>
          <w:rFonts w:ascii="Times New Roman" w:cs="Times New Roman" w:eastAsia="Times New Roman" w:hAnsi="Times New Roman"/>
          <w:sz w:val="16"/>
          <w:szCs w:val="16"/>
          <w:color w:val="auto"/>
        </w:rPr>
        <w:t>Second Amendment to Employment Agreement by and between VistaGen Therapeutics, Inc. and H. Ralph Snodgrass, Ph.D., dated June 22,</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2016, incorporated by reference from Exhibit 10.117 to the Company’s Annual Report on Form 10-K filed on June 24, 2016.</w:t>
      </w:r>
    </w:p>
    <w:p>
      <w:pPr>
        <w:spacing w:after="0" w:line="9" w:lineRule="exact"/>
        <w:rPr>
          <w:sz w:val="20"/>
          <w:szCs w:val="20"/>
          <w:color w:val="auto"/>
        </w:rPr>
      </w:pPr>
    </w:p>
    <w:p>
      <w:pPr>
        <w:ind w:left="1380" w:hanging="948"/>
        <w:spacing w:after="0" w:line="250" w:lineRule="auto"/>
        <w:tabs>
          <w:tab w:leader="none" w:pos="1360" w:val="left"/>
        </w:tabs>
        <w:rPr>
          <w:sz w:val="20"/>
          <w:szCs w:val="20"/>
          <w:color w:val="auto"/>
        </w:rPr>
      </w:pPr>
      <w:r>
        <w:rPr>
          <w:rFonts w:ascii="Times New Roman" w:cs="Times New Roman" w:eastAsia="Times New Roman" w:hAnsi="Times New Roman"/>
          <w:sz w:val="18"/>
          <w:szCs w:val="18"/>
          <w:color w:val="0563C1"/>
        </w:rPr>
        <w:t>10.118</w:t>
      </w:r>
      <w:r>
        <w:rPr>
          <w:sz w:val="20"/>
          <w:szCs w:val="20"/>
          <w:color w:val="auto"/>
        </w:rPr>
        <w:tab/>
      </w:r>
      <w:r>
        <w:rPr>
          <w:rFonts w:ascii="Times New Roman" w:cs="Times New Roman" w:eastAsia="Times New Roman" w:hAnsi="Times New Roman"/>
          <w:sz w:val="18"/>
          <w:szCs w:val="18"/>
          <w:color w:val="auto"/>
        </w:rPr>
        <w:t>Second Amendment to Lease between Bayside Area Development and the Company, effective November 10, 2016, incorporated by reference from Exhibit 10.1 to the Company’s Quarterly report on Form 10-Q filed on November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743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440"/>
        <w:spacing w:after="0"/>
        <w:tabs>
          <w:tab w:leader="none" w:pos="1360" w:val="left"/>
        </w:tabs>
        <w:rPr>
          <w:sz w:val="20"/>
          <w:szCs w:val="20"/>
          <w:color w:val="auto"/>
        </w:rPr>
      </w:pPr>
      <w:r>
        <w:rPr>
          <w:rFonts w:ascii="Times New Roman" w:cs="Times New Roman" w:eastAsia="Times New Roman" w:hAnsi="Times New Roman"/>
          <w:sz w:val="18"/>
          <w:szCs w:val="18"/>
          <w:color w:val="0563C1"/>
        </w:rPr>
        <w:t>10.119</w:t>
      </w:r>
      <w:r>
        <w:rPr>
          <w:sz w:val="20"/>
          <w:szCs w:val="20"/>
          <w:color w:val="auto"/>
        </w:rPr>
        <w:tab/>
      </w:r>
      <w:r>
        <w:rPr>
          <w:rFonts w:ascii="Times New Roman" w:cs="Times New Roman" w:eastAsia="Times New Roman" w:hAnsi="Times New Roman"/>
          <w:sz w:val="16"/>
          <w:szCs w:val="16"/>
          <w:color w:val="auto"/>
        </w:rPr>
        <w:t>Indemnification Agreement effective November 10, 2016 between the Company and Mark A. Smith, incorporated by reference from Exhibit</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10.2 to the Company’s Quarterly report on Form 10-Q filed on November 15, 2016.</w:t>
      </w:r>
    </w:p>
    <w:p>
      <w:pPr>
        <w:spacing w:after="0" w:line="9" w:lineRule="exact"/>
        <w:rPr>
          <w:sz w:val="20"/>
          <w:szCs w:val="20"/>
          <w:color w:val="auto"/>
        </w:rPr>
      </w:pPr>
    </w:p>
    <w:p>
      <w:pPr>
        <w:ind w:left="400"/>
        <w:spacing w:after="0"/>
        <w:tabs>
          <w:tab w:leader="none" w:pos="1360" w:val="left"/>
        </w:tabs>
        <w:rPr>
          <w:sz w:val="20"/>
          <w:szCs w:val="20"/>
          <w:color w:val="auto"/>
        </w:rPr>
      </w:pPr>
      <w:r>
        <w:rPr>
          <w:rFonts w:ascii="Times New Roman" w:cs="Times New Roman" w:eastAsia="Times New Roman" w:hAnsi="Times New Roman"/>
          <w:sz w:val="18"/>
          <w:szCs w:val="18"/>
          <w:color w:val="auto"/>
        </w:rPr>
        <w:t>10.120+</w:t>
      </w:r>
      <w:r>
        <w:rPr>
          <w:sz w:val="20"/>
          <w:szCs w:val="20"/>
          <w:color w:val="auto"/>
        </w:rPr>
        <w:tab/>
      </w:r>
      <w:r>
        <w:rPr>
          <w:rFonts w:ascii="Times New Roman" w:cs="Times New Roman" w:eastAsia="Times New Roman" w:hAnsi="Times New Roman"/>
          <w:sz w:val="16"/>
          <w:szCs w:val="16"/>
          <w:color w:val="auto"/>
        </w:rPr>
        <w:t>Exclusive License and Sublicense Agreement by and between VistaGen Therapeutics, Inc. and Apollo Biologics LP, effective December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2743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380"/>
        <w:spacing w:after="0"/>
        <w:rPr>
          <w:sz w:val="20"/>
          <w:szCs w:val="20"/>
          <w:color w:val="auto"/>
        </w:rPr>
      </w:pPr>
      <w:r>
        <w:rPr>
          <w:rFonts w:ascii="Times New Roman" w:cs="Times New Roman" w:eastAsia="Times New Roman" w:hAnsi="Times New Roman"/>
          <w:sz w:val="18"/>
          <w:szCs w:val="18"/>
          <w:color w:val="auto"/>
        </w:rPr>
        <w:t>2016, incorporated by reference from Exhibit 10.1 to the Company’s Quarterly Report on Form 10-Q filed on May 11, 2017.</w:t>
      </w:r>
    </w:p>
    <w:p>
      <w:pPr>
        <w:spacing w:after="0" w:line="9" w:lineRule="exact"/>
        <w:rPr>
          <w:sz w:val="20"/>
          <w:szCs w:val="20"/>
          <w:color w:val="auto"/>
        </w:rPr>
      </w:pPr>
    </w:p>
    <w:p>
      <w:pPr>
        <w:ind w:left="1380" w:right="340" w:hanging="979"/>
        <w:spacing w:after="0" w:line="250" w:lineRule="auto"/>
        <w:tabs>
          <w:tab w:leader="none" w:pos="1360" w:val="left"/>
        </w:tabs>
        <w:rPr>
          <w:sz w:val="20"/>
          <w:szCs w:val="20"/>
          <w:color w:val="auto"/>
        </w:rPr>
      </w:pPr>
      <w:r>
        <w:rPr>
          <w:rFonts w:ascii="Times New Roman" w:cs="Times New Roman" w:eastAsia="Times New Roman" w:hAnsi="Times New Roman"/>
          <w:sz w:val="18"/>
          <w:szCs w:val="18"/>
          <w:color w:val="auto"/>
        </w:rPr>
        <w:t>10.121+</w:t>
      </w:r>
      <w:r>
        <w:rPr>
          <w:sz w:val="20"/>
          <w:szCs w:val="20"/>
          <w:color w:val="auto"/>
        </w:rPr>
        <w:tab/>
      </w:r>
      <w:r>
        <w:rPr>
          <w:rFonts w:ascii="Times New Roman" w:cs="Times New Roman" w:eastAsia="Times New Roman" w:hAnsi="Times New Roman"/>
          <w:sz w:val="18"/>
          <w:szCs w:val="18"/>
          <w:color w:val="auto"/>
        </w:rPr>
        <w:t>Patent License Amendment Agreement between VistaGen Therapeutics Inc. and University Health Network effective December 9, 2016, incorporated by reference from Exhibit 10.2 to the Company’s Quarterly Report on Form 10-Q/A filed on May 1, 2017.</w:t>
      </w:r>
    </w:p>
    <w:p>
      <w:pPr>
        <w:spacing w:after="0" w:line="1" w:lineRule="exact"/>
        <w:rPr>
          <w:sz w:val="20"/>
          <w:szCs w:val="20"/>
          <w:color w:val="auto"/>
        </w:rPr>
      </w:pPr>
    </w:p>
    <w:p>
      <w:pPr>
        <w:ind w:left="440"/>
        <w:spacing w:after="0"/>
        <w:tabs>
          <w:tab w:leader="none" w:pos="1360" w:val="left"/>
        </w:tabs>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u w:val="single" w:color="auto"/>
            <w:color w:val="0000EE"/>
          </w:rPr>
          <w:t>10.122</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6"/>
          <w:szCs w:val="16"/>
          <w:color w:val="0000EE"/>
        </w:rPr>
        <w:t>Amended and Restated 2016 Stock Incentive Plan, incorporated by reference from Exhibit 10.122 to the Company’s Annual Report 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2743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380"/>
        <w:spacing w:after="0"/>
        <w:rPr>
          <w:sz w:val="20"/>
          <w:szCs w:val="20"/>
          <w:color w:val="auto"/>
        </w:rPr>
      </w:pPr>
      <w:r>
        <w:rPr>
          <w:rFonts w:ascii="Times New Roman" w:cs="Times New Roman" w:eastAsia="Times New Roman" w:hAnsi="Times New Roman"/>
          <w:sz w:val="18"/>
          <w:szCs w:val="18"/>
          <w:color w:val="auto"/>
        </w:rPr>
        <w:t>10-K filed on June 29, 2017.</w:t>
      </w:r>
    </w:p>
    <w:p>
      <w:pPr>
        <w:spacing w:after="0" w:line="9" w:lineRule="exact"/>
        <w:rPr>
          <w:sz w:val="20"/>
          <w:szCs w:val="20"/>
          <w:color w:val="auto"/>
        </w:rPr>
      </w:pPr>
    </w:p>
    <w:p>
      <w:pPr>
        <w:ind w:left="440"/>
        <w:spacing w:after="0"/>
        <w:tabs>
          <w:tab w:leader="none" w:pos="1360" w:val="left"/>
        </w:tabs>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u w:val="single" w:color="auto"/>
            <w:color w:val="0000EE"/>
          </w:rPr>
          <w:t>10.123</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6"/>
          <w:szCs w:val="16"/>
          <w:color w:val="0000EE"/>
        </w:rPr>
        <w:t>Underwriting Agreement, dated as of August 31, 2017, by and between VistaGen Therapeutics, Inc. and Oppenheimer &amp; Co. Inc.,</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incorporated by reference from Exhibit 1.1 to the Company’s Current Report on Form 8-K filed on August 31, 2017.</w:t>
      </w:r>
    </w:p>
    <w:p>
      <w:pPr>
        <w:spacing w:after="0" w:line="9" w:lineRule="exact"/>
        <w:rPr>
          <w:sz w:val="20"/>
          <w:szCs w:val="20"/>
          <w:color w:val="auto"/>
        </w:rPr>
      </w:pPr>
    </w:p>
    <w:p>
      <w:pPr>
        <w:ind w:left="440"/>
        <w:spacing w:after="0"/>
        <w:tabs>
          <w:tab w:leader="none" w:pos="1360" w:val="left"/>
        </w:tabs>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u w:val="single" w:color="auto"/>
            <w:color w:val="0000EE"/>
          </w:rPr>
          <w:t>10.124</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6"/>
          <w:szCs w:val="16"/>
          <w:color w:val="0000EE"/>
        </w:rPr>
        <w:t>Form of Series A1 Warrant, incorporated by reference from Exhibit 4.1 to the Company’s Current Report on Form 8-K filed on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2743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380"/>
        <w:spacing w:after="0"/>
        <w:rPr>
          <w:sz w:val="20"/>
          <w:szCs w:val="20"/>
          <w:color w:val="auto"/>
        </w:rPr>
      </w:pPr>
      <w:r>
        <w:rPr>
          <w:rFonts w:ascii="Times New Roman" w:cs="Times New Roman" w:eastAsia="Times New Roman" w:hAnsi="Times New Roman"/>
          <w:sz w:val="18"/>
          <w:szCs w:val="18"/>
          <w:color w:val="auto"/>
        </w:rPr>
        <w:t>2017.</w:t>
      </w:r>
    </w:p>
    <w:p>
      <w:pPr>
        <w:spacing w:after="0" w:line="9" w:lineRule="exact"/>
        <w:rPr>
          <w:sz w:val="20"/>
          <w:szCs w:val="20"/>
          <w:color w:val="auto"/>
        </w:rPr>
      </w:pPr>
    </w:p>
    <w:p>
      <w:pPr>
        <w:ind w:left="440"/>
        <w:spacing w:after="0"/>
        <w:tabs>
          <w:tab w:leader="none" w:pos="1360" w:val="left"/>
        </w:tabs>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u w:val="single" w:color="auto"/>
            <w:color w:val="0000EE"/>
          </w:rPr>
          <w:t>10.125</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6"/>
          <w:szCs w:val="16"/>
          <w:color w:val="0000EE"/>
        </w:rPr>
        <w:t>Form of Series A2 Warrant, incorporated by reference from Exhibit 4.2 to the Company’s Current Report on Form 8-K filed on August 31,</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2017.</w:t>
      </w:r>
    </w:p>
    <w:p>
      <w:pPr>
        <w:spacing w:after="0" w:line="9" w:lineRule="exact"/>
        <w:rPr>
          <w:sz w:val="20"/>
          <w:szCs w:val="20"/>
          <w:color w:val="auto"/>
        </w:rPr>
      </w:pPr>
    </w:p>
    <w:p>
      <w:pPr>
        <w:ind w:left="500"/>
        <w:spacing w:after="0"/>
        <w:tabs>
          <w:tab w:leader="none" w:pos="1360" w:val="left"/>
        </w:tabs>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u w:val="single" w:color="auto"/>
            <w:color w:val="0000EE"/>
          </w:rPr>
          <w:t>21.1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ab/>
      </w:r>
      <w:r>
        <w:rPr>
          <w:rFonts w:ascii="Times New Roman" w:cs="Times New Roman" w:eastAsia="Times New Roman" w:hAnsi="Times New Roman"/>
          <w:sz w:val="16"/>
          <w:szCs w:val="16"/>
          <w:color w:val="0000EE"/>
        </w:rPr>
        <w:t>List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40"/>
        <w:spacing w:after="0"/>
        <w:tabs>
          <w:tab w:leader="none" w:pos="1360" w:val="left"/>
        </w:tabs>
        <w:rPr>
          <w:rFonts w:ascii="Times New Roman" w:cs="Times New Roman" w:eastAsia="Times New Roman" w:hAnsi="Times New Roman"/>
          <w:sz w:val="18"/>
          <w:szCs w:val="18"/>
          <w:color w:val="0000EE"/>
        </w:rPr>
      </w:pPr>
      <w:hyperlink w:anchor="page220">
        <w:r>
          <w:rPr>
            <w:rFonts w:ascii="Times New Roman" w:cs="Times New Roman" w:eastAsia="Times New Roman" w:hAnsi="Times New Roman"/>
            <w:sz w:val="18"/>
            <w:szCs w:val="18"/>
            <w:u w:val="single" w:color="auto"/>
            <w:color w:val="0000EE"/>
          </w:rPr>
          <w:t>23.1</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6"/>
          <w:szCs w:val="16"/>
          <w:color w:val="0000EE"/>
        </w:rPr>
        <w:t>Consent of Disclosure Law Group.</w:t>
      </w:r>
    </w:p>
    <w:p>
      <w:pPr>
        <w:spacing w:after="0" w:line="9" w:lineRule="exact"/>
        <w:rPr>
          <w:sz w:val="20"/>
          <w:szCs w:val="20"/>
          <w:color w:val="auto"/>
        </w:rPr>
      </w:pPr>
    </w:p>
    <w:p>
      <w:pPr>
        <w:ind w:left="520"/>
        <w:spacing w:after="0"/>
        <w:tabs>
          <w:tab w:leader="none" w:pos="1360" w:val="left"/>
        </w:tabs>
        <w:rPr>
          <w:rFonts w:ascii="Times New Roman" w:cs="Times New Roman" w:eastAsia="Times New Roman" w:hAnsi="Times New Roman"/>
          <w:sz w:val="18"/>
          <w:szCs w:val="18"/>
          <w:color w:val="0000EE"/>
        </w:rPr>
      </w:pPr>
      <w:hyperlink w:anchor="page222">
        <w:r>
          <w:rPr>
            <w:rFonts w:ascii="Times New Roman" w:cs="Times New Roman" w:eastAsia="Times New Roman" w:hAnsi="Times New Roman"/>
            <w:sz w:val="18"/>
            <w:szCs w:val="18"/>
            <w:u w:val="single" w:color="auto"/>
            <w:color w:val="0000EE"/>
          </w:rPr>
          <w:t>23.2</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6"/>
          <w:szCs w:val="16"/>
          <w:color w:val="0000EE"/>
        </w:rPr>
        <w:t>Consent of OUM &amp; Co., LLP, independent registered public accounting firm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20"/>
        <w:spacing w:after="0"/>
        <w:tabs>
          <w:tab w:leader="none" w:pos="1360" w:val="left"/>
        </w:tabs>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u w:val="single" w:color="auto"/>
            <w:color w:val="0000EE"/>
          </w:rPr>
          <w:t>24.1</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6"/>
          <w:szCs w:val="16"/>
          <w:color w:val="0000EE"/>
        </w:rPr>
        <w:t>Power of Attorney (included on signature page to the registration statement on Form S-1, filed on October 18, 2017).</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17" w:lineRule="exact"/>
        <w:rPr>
          <w:sz w:val="20"/>
          <w:szCs w:val="20"/>
          <w:color w:val="auto"/>
        </w:rPr>
      </w:pPr>
    </w:p>
    <w:p>
      <w:pPr>
        <w:ind w:right="2780" w:firstLine="8"/>
        <w:spacing w:after="0" w:line="525" w:lineRule="auto"/>
        <w:tabs>
          <w:tab w:leader="none" w:pos="17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like-numbered exhibit filed with our Current Report on Form 8-K on May 16, 2011. + Confidential treatment has been granted for certain confidential portions of this agreement.</w:t>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type w:val="continuous"/>
        </w:sectPr>
      </w:pPr>
    </w:p>
    <w:bookmarkStart w:id="174" w:name="page175"/>
    <w:bookmarkEnd w:id="174"/>
    <w:p>
      <w:pPr>
        <w:ind w:left="10600"/>
        <w:spacing w:after="0"/>
        <w:rPr>
          <w:sz w:val="20"/>
          <w:szCs w:val="20"/>
          <w:color w:val="auto"/>
        </w:rPr>
      </w:pPr>
      <w:r>
        <w:rPr>
          <w:rFonts w:ascii="Times New Roman" w:cs="Times New Roman" w:eastAsia="Times New Roman" w:hAnsi="Times New Roman"/>
          <w:sz w:val="16"/>
          <w:szCs w:val="16"/>
          <w:b w:val="1"/>
          <w:bCs w:val="1"/>
          <w:color w:val="auto"/>
        </w:rPr>
        <w:t>Exhibit 1.1</w:t>
      </w:r>
    </w:p>
    <w:p>
      <w:pPr>
        <w:spacing w:after="0" w:line="18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5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[_] Shares of Common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[_] Warrants to Purchase up to [_]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[_],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Oppenheimer &amp; Co.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named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I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 Broad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VistaGen Therapeutics, Inc., a Nevada corporation (the "Company") proposes, subject to the terms and conditions contained herein, to sell to you and the other underwriters named on Schedule I to this Agreement (the "Underwriters"), for whom you are acting as Representative (the “Representative”), an aggregate of (i) [_] shares (the "Shares") of the Company's common stock, $0.001 par value per share (the "Common Stock"), and (ii) warrants (the “Warrants”) to purchase up to an aggregate of [_] shares of Common Stock (the “Warrant Shares”). Each Share is being sold together with 1.0 Warrant to purchase one Warrant Share. The Shares, the Warrants and the Warrant Shares are collectively referred to as the “Securities”. The Shares and the Warrants will be issued separately, but will be purchased together in the offering. The respective amounts of the Securities to be purchased by each of the several Underwriters are set forth opposite their names on Schedule I hereto.</w:t>
      </w:r>
    </w:p>
    <w:p>
      <w:pPr>
        <w:spacing w:after="0" w:line="128"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16"/>
          <w:szCs w:val="16"/>
          <w:color w:val="auto"/>
        </w:rPr>
        <w:t>The Company has prepared and filed in conformity with the requirements of the Securities Act of 1933, as amended (the "Securities Act"), and the published rules and regulations thereunder (the "Rules") adopted by the Securities and Exchange Commission (the "Commission") a Registration Statement (as hereinafter defined) on Form S-1 (No. 333-221009), including a preliminary prospectus relating to the Shares and the Warrants, and such amendments thereof as may have been required to the date of this Agreement. Copies of such Registration Statement (including all amendments thereof) and of the related Preliminary Prospectus (as hereinafter defined) have heretofore been delivered by the Company to you. The term "Preliminary Prospectus" means any preliminary prospectus included at any time as a part of the Registration Statement or filed with the Commission by the Company pursuant to Rule 424(a) of the Rules. The term "Registration Statement" as used in this Agreement means the initial registration statement (including all exhibits, financial schedules), as amended at the time and on the date it becomes effective (the "Effective Date"), including the information (if any) contained in the form of final prospectus filed with the Commission pursuant to Rule 424(b) of the Rules and deemed to be part thereof at the time of effectiveness pursuant to Rule 430A of the Rules. If the Company has filed an abbreviated registration statement to register additional Securities pursuant to Rule 462(b) under the Rules (the "462(b) Registration Statement"), then any reference herein to the Registration Statement shall also be deemed to include such 462(b) Registration Statement. The term "Prospectus" as used in this Agreement means the prospectus in the form included in the Registration Statement at the time of effectiveness or, if Rule 430A of the Rules is relied on, the term Prospectus shall also include the final prospectus filed with the Commission pursuant to and within the time limits described in Rule 424(b) of the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75" w:name="page176"/>
    <w:bookmarkEnd w:id="175"/>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The Company understands that the Underwriters propose to make a public offering of the Shares and the Warrants, as set forth in and pursuant to the Statutory Prospectus (as hereinafter defined) and the Prospectus, as soon after the Effective Date and the date of this Agreement as the Representative deems advisable. The Company hereby confirms that the Underwriters and dealers have been authorized to distribute or cause to be distributed each Preliminary Prospectus, and each Issuer Free Writing Prospectus (as hereinafter defined) and are authorized to distribute the Prospectus (as from time to time amended or supplemented if the Company furnishes amendments or supplements thereto to the Underwriters).</w:t>
      </w:r>
    </w:p>
    <w:p>
      <w:pPr>
        <w:spacing w:after="0" w:line="152" w:lineRule="exact"/>
        <w:rPr>
          <w:sz w:val="20"/>
          <w:szCs w:val="20"/>
          <w:color w:val="auto"/>
        </w:rPr>
      </w:pPr>
    </w:p>
    <w:p>
      <w:pPr>
        <w:ind w:right="200" w:firstLine="656"/>
        <w:spacing w:after="0" w:line="275" w:lineRule="auto"/>
        <w:tabs>
          <w:tab w:leader="none" w:pos="83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Purchase, Delivery and Payment for the Shares and the Warrants</w:t>
      </w:r>
      <w:r>
        <w:rPr>
          <w:rFonts w:ascii="Times New Roman" w:cs="Times New Roman" w:eastAsia="Times New Roman" w:hAnsi="Times New Roman"/>
          <w:sz w:val="18"/>
          <w:szCs w:val="18"/>
          <w:color w:val="auto"/>
        </w:rPr>
        <w:t>. On the basis of the representations, warranties and agreements contained in, and subject to the terms and conditions of, this Agreement:</w:t>
      </w:r>
    </w:p>
    <w:p>
      <w:pPr>
        <w:spacing w:after="0" w:line="106" w:lineRule="exact"/>
        <w:rPr>
          <w:sz w:val="20"/>
          <w:szCs w:val="20"/>
          <w:color w:val="auto"/>
        </w:rPr>
      </w:pPr>
    </w:p>
    <w:p>
      <w:pPr>
        <w:ind w:right="120" w:firstLine="656"/>
        <w:spacing w:after="0" w:line="256" w:lineRule="auto"/>
        <w:tabs>
          <w:tab w:leader="none" w:pos="127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issue and sell to each of the Underwriters, and each of the Underwriters agrees, severally and not jointly, to purchase from the Company, at a purchase price of $[_] per Share and related Warrant, (i) the number of Shares set forth opposite the name of such Underwriter under the column "Number of Shares to be Purchased from the Company" on Schedule I to this Agreement and (ii) the number of Warrants set forth opposite the name of the Underwriter under the column “Number of Warrants to be Purchased from the Company” on Schedule I to this Agreement, subject to adjustment in accordance with Section 8 hereof.</w:t>
      </w:r>
    </w:p>
    <w:p>
      <w:pPr>
        <w:spacing w:after="0" w:line="125" w:lineRule="exact"/>
        <w:rPr>
          <w:rFonts w:ascii="Times New Roman" w:cs="Times New Roman" w:eastAsia="Times New Roman" w:hAnsi="Times New Roman"/>
          <w:sz w:val="18"/>
          <w:szCs w:val="18"/>
          <w:color w:val="auto"/>
        </w:rPr>
      </w:pPr>
    </w:p>
    <w:p>
      <w:pPr>
        <w:ind w:right="100" w:firstLine="656"/>
        <w:spacing w:after="0" w:line="234" w:lineRule="auto"/>
        <w:tabs>
          <w:tab w:leader="none" w:pos="129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purchase price for, and delivery of certificates for, the Shares and the Warrants shall be made at the offices of Oppenheimer &amp; Co. Inc., 85 Broad Street, 23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Floor New York, New York 10004, at 10:00 a.m., New York City time, on the third business day following the date of this Agreement or at such time on such other date, not later than ten (10) business days after the date of this Agreement, as shall be agreed upon by the Company and the Representative (such time and date of delivery and payment are called the "Closing Date").</w:t>
      </w:r>
    </w:p>
    <w:p>
      <w:pPr>
        <w:spacing w:after="0" w:line="138" w:lineRule="exact"/>
        <w:rPr>
          <w:rFonts w:ascii="Times New Roman" w:cs="Times New Roman" w:eastAsia="Times New Roman" w:hAnsi="Times New Roman"/>
          <w:sz w:val="18"/>
          <w:szCs w:val="18"/>
          <w:color w:val="auto"/>
        </w:rPr>
      </w:pPr>
    </w:p>
    <w:p>
      <w:pPr>
        <w:jc w:val="both"/>
        <w:ind w:right="20" w:firstLine="656"/>
        <w:spacing w:after="0" w:line="262" w:lineRule="auto"/>
        <w:tabs>
          <w:tab w:leader="none" w:pos="128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be made to the Company by wire transfer of immediately available funds or by certified or official bank check or checks payable in New York Clearing House (same day) funds drawn to the order of the Company, against delivery of certificates representing the Shares and the Warrants to the account of the Representative for the respective accounts of the Underwriters.</w:t>
      </w:r>
    </w:p>
    <w:p>
      <w:pPr>
        <w:spacing w:after="0" w:line="118" w:lineRule="exact"/>
        <w:rPr>
          <w:rFonts w:ascii="Times New Roman" w:cs="Times New Roman" w:eastAsia="Times New Roman" w:hAnsi="Times New Roman"/>
          <w:sz w:val="18"/>
          <w:szCs w:val="18"/>
          <w:color w:val="auto"/>
        </w:rPr>
      </w:pPr>
    </w:p>
    <w:p>
      <w:pPr>
        <w:ind w:firstLine="656"/>
        <w:spacing w:after="0" w:line="255" w:lineRule="auto"/>
        <w:tabs>
          <w:tab w:leader="none" w:pos="129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evidencing the Shares and the Warrants shall be registered in such names and shall be in such denominations as the Representative shall request at least two full business days before the Closing Date and shall be delivered by or on behalf of the Company (i) in the case of the Shares, as directed by the Representative through the facilities of the Depository Trust Company ("DTC") for the respective accounts of the Underwriters and (ii) in the case of the Warrants, by physical delivery to be received or directed by the Representative no later than one (1) business day following the Closing Date. The Company will cause the certificates representing the Shares and the Warrants to be made available for checking and packaging, at such place as is designated by the Representative, on the full business day before the Closing Date.</w:t>
      </w:r>
    </w:p>
    <w:p>
      <w:pPr>
        <w:spacing w:after="0" w:line="153" w:lineRule="exact"/>
        <w:rPr>
          <w:sz w:val="20"/>
          <w:szCs w:val="20"/>
          <w:color w:val="auto"/>
        </w:rPr>
      </w:pPr>
    </w:p>
    <w:p>
      <w:pPr>
        <w:ind w:right="360" w:firstLine="656"/>
        <w:spacing w:after="0" w:line="275" w:lineRule="auto"/>
        <w:tabs>
          <w:tab w:leader="none" w:pos="99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each Underwriter as of the date hereof and as of the Closing Date, as follows:</w:t>
      </w:r>
    </w:p>
    <w:p>
      <w:pPr>
        <w:spacing w:after="0" w:line="106" w:lineRule="exact"/>
        <w:rPr>
          <w:sz w:val="20"/>
          <w:szCs w:val="20"/>
          <w:color w:val="auto"/>
        </w:rPr>
      </w:pPr>
    </w:p>
    <w:p>
      <w:pPr>
        <w:ind w:firstLine="656"/>
        <w:spacing w:after="0" w:line="253" w:lineRule="auto"/>
        <w:tabs>
          <w:tab w:leader="none" w:pos="128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the Registration Statement complied, and on the date of the Prospectus, the date any post-effective amendment to the Registration Statement becomes effective, the date any supplement or amendment to the Prospectus is filed with the Commission and each Closing Date, the Registration Statement, the Prospectus (and any amendment thereof or supplement thereto) will comply, in all material respects, with the requirements of the Securities Act and the Rules and the Securities and Exchange Act of 1934, as amended (the “Exchange Act”) and the rules and regulations of the Commission thereunder. The Registration Statement did not, as of the Effective Date, contain any untrue statement of a material fact or omit to state any material fact required to be stated therein or necessary in order to make the statements therein not misleading; and on the Effective Date and the other dates referred to above neither the Registration Statement nor the Prospectus, nor any amendment thereof or supplement thereto, will contain any untrue statement of a material fact or will omit to state any material fact required to be stated therein or necessary in order to make the statements therein, in the case of the Prospectus and any amendment thereof or supplement thereto, in light of the circumstances under which they were made, not misleading. When any Preliminary Prospectus was first filed with the Commission (whether filed as part of the Registration Statement or any amendment thereto or pursuant to Rule 424(a) of the Rules) and when any amendment thereof or supplement thereto was first filed with the Commission, such Preliminary Prospectus as amended or</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76" w:name="page177"/>
    <w:bookmarkEnd w:id="176"/>
    <w:p>
      <w:pPr>
        <w:ind w:right="40"/>
        <w:spacing w:after="0" w:line="253" w:lineRule="auto"/>
        <w:rPr>
          <w:sz w:val="20"/>
          <w:szCs w:val="20"/>
          <w:color w:val="auto"/>
        </w:rPr>
      </w:pPr>
      <w:r>
        <w:rPr>
          <w:rFonts w:ascii="Times New Roman" w:cs="Times New Roman" w:eastAsia="Times New Roman" w:hAnsi="Times New Roman"/>
          <w:sz w:val="18"/>
          <w:szCs w:val="18"/>
          <w:color w:val="auto"/>
        </w:rPr>
        <w:t>supplemented complied in all material respects with the applicable provisions of the Securities Act and the Rules and did not contain any untrue statement of a material fact or omit to state any material fact required to be stated therein or necessary in order to make the statements therein not misleading. If applicable, each Preliminary Prospectus and the Prospectus delivered to the Underwriters for use in connection with this offering was identical to the electronically transmitted copies thereof filed with the Commission pursuant to EDGAR, except to the extent permitted by Regulation S-T. Notwithstanding the foregoing, none of the representations and warranties in this paragraph 2(a) shall apply to statements in, or omissions from, the Registration Statement, any Preliminary Prospectus or the Prospectus made in reliance upon, and in conformity with, information herein or otherwise furnished in writing by the Representative on behalf of the several Underwriters specifically for use in the Registration Statement, any Preliminary Prospectus or the Prospectus, as the case may be. With respect to the preceding sentence, the Company acknowledges that the only information furnished in writing by the Representative on behalf of the several Underwriters for use in the Registration Statement, any Preliminary Prospectus or the Prospectus is the statements contained in the 4th and 10th paragraphs under the caption "Underwriting" in the Prospectus (collectively, the “Underwriter Information”).</w:t>
      </w:r>
    </w:p>
    <w:p>
      <w:pPr>
        <w:spacing w:after="0" w:line="154" w:lineRule="exact"/>
        <w:rPr>
          <w:sz w:val="20"/>
          <w:szCs w:val="20"/>
          <w:color w:val="auto"/>
        </w:rPr>
      </w:pPr>
    </w:p>
    <w:p>
      <w:pPr>
        <w:ind w:right="180" w:firstLine="656"/>
        <w:spacing w:after="0" w:line="293" w:lineRule="auto"/>
        <w:tabs>
          <w:tab w:leader="none" w:pos="1302"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Applicable Time (as hereinafter defined), neither (i) (a) the Statutory Prospectus (as hereinafter defined) nor (b) the information set forth on Schedule III hereto which will be provided orally to investors, all considered together (collectively, the “General Disclosure Package”) nor (ii) any individual Issuer Free Writing Prospectus when considered together with the General Disclosure Package, included, includes or will include, nor will it include any untrue statement of a material fact or omitted, omits or will omit to state any material fact required to be stated therein or necessary in order to make the statements therein, in the light of the circumstances under which they were made, not misleading; provided, however, that this representation and warranty shall not apply to statements in or omissions in the General Disclosure Package made in reliance upon and in conformity with the Underwriter Information.</w:t>
      </w:r>
    </w:p>
    <w:p>
      <w:pPr>
        <w:spacing w:after="0" w:line="9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Each Issuer Free Writing Prospectus (as hereinafter defined), including any electronic road show (including without limitation any “bona fide electronic road show” as defined in Rule 433(h)(5) under the Securities Act) (each, a “Road Show”) (i) is identified in Schedule IV hereto and (iii) complied when issued, and complies, in all material respects with the requirements of the Securities Act and the Rules and the Exchange Act and the rules and regulations of the Commission thereunder.</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Section and elsewhere in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“Applicable Time” means 8:00 am (Eastern time) on the date of this Underwriting Agreement.</w:t>
      </w:r>
    </w:p>
    <w:p>
      <w:pPr>
        <w:spacing w:after="0" w:line="158" w:lineRule="exact"/>
        <w:rPr>
          <w:sz w:val="20"/>
          <w:szCs w:val="20"/>
          <w:color w:val="auto"/>
        </w:rPr>
      </w:pPr>
    </w:p>
    <w:p>
      <w:pPr>
        <w:ind w:right="740" w:firstLine="648"/>
        <w:spacing w:after="0" w:line="275" w:lineRule="auto"/>
        <w:rPr>
          <w:sz w:val="20"/>
          <w:szCs w:val="20"/>
          <w:color w:val="auto"/>
        </w:rPr>
      </w:pPr>
      <w:r>
        <w:rPr>
          <w:rFonts w:ascii="Times New Roman" w:cs="Times New Roman" w:eastAsia="Times New Roman" w:hAnsi="Times New Roman"/>
          <w:sz w:val="18"/>
          <w:szCs w:val="18"/>
          <w:color w:val="auto"/>
        </w:rPr>
        <w:t>“Statutory Prospectus” as of any time means the Preliminary Prospectus relating to the Securities that is included in the Registration Statement immediately prior to the Applicable Time.</w:t>
      </w:r>
    </w:p>
    <w:p>
      <w:pPr>
        <w:spacing w:after="0" w:line="106"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8"/>
          <w:szCs w:val="18"/>
          <w:color w:val="auto"/>
        </w:rPr>
        <w:t>“Issuer Free Writing Prospectus” means each “free writing prospectus” (as defined in Rule 405 of the Rules) prepared by or on behalf of the Company or used or referred to by the Company in connection with the offering of the Securities, including , without limitation, each Road Show.</w:t>
      </w:r>
    </w:p>
    <w:p>
      <w:pPr>
        <w:spacing w:after="0" w:line="133" w:lineRule="exact"/>
        <w:rPr>
          <w:sz w:val="20"/>
          <w:szCs w:val="20"/>
          <w:color w:val="auto"/>
        </w:rPr>
      </w:pPr>
    </w:p>
    <w:p>
      <w:pPr>
        <w:ind w:right="20" w:firstLine="656"/>
        <w:spacing w:after="0" w:line="255" w:lineRule="auto"/>
        <w:tabs>
          <w:tab w:leader="none" w:pos="129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is effective under the Securities Act and no stop order preventing or suspending the effectiveness of the Registration Statement or suspending or preventing the use of any Preliminary Prospectus, the Prospectus or any “free writing prospectus,” as defined in Rule 405 under the Rules, has been issued by the Commission and no proceedings for that purpose have been instituted or are threatened under the Securities Act. Any required filing of any Preliminary Prospectus and/or the Prospectus and any supplement thereto pursuant to Rule 424(b) of the Rules has been or will be made in the manner and within the time period required by such Rule 424(b). Any material required to be filed by the Company pursuant to Rule 443(d) or Rule 163(b)(2) of the Rules has been or will be made in the manner and within the time period required by such Rules.</w:t>
      </w:r>
    </w:p>
    <w:p>
      <w:pPr>
        <w:spacing w:after="0" w:line="153" w:lineRule="exact"/>
        <w:rPr>
          <w:sz w:val="20"/>
          <w:szCs w:val="20"/>
          <w:color w:val="auto"/>
        </w:rPr>
      </w:pPr>
    </w:p>
    <w:p>
      <w:pPr>
        <w:ind w:firstLine="656"/>
        <w:spacing w:after="0" w:line="310" w:lineRule="auto"/>
        <w:tabs>
          <w:tab w:leader="none" w:pos="1292"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Issuer Free Writing Prospectus, as of its issue date and at all subsequent times through the completion of the public offer and sale of the Securities or until any earlier date that the Company notified or notifies the Representative as described in the next sentence, did not, does not and will not include any information that conflicted, conflicts or will conflict with the information contained in the Registration Statement, the Statutory Prospectus or the Prospectus.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7" w:name="page178"/>
    <w:bookmarkEnd w:id="177"/>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If at any time following issuance of an Issuer Free Writing Prospectus there occurred or occurs an event or development as a result of which such Issuer Free Writing Prospectus conflicted or would conflict with the information contained in the Registration Statement, the Statutory Prospectus or the Prospectus or included or would include an untrue statement of a material fact or omitted or would omit to state a material fact required to be stated therein or necessary in order to make the statements therein, in the light of the circumstances prevailing at the subsequent time, not misleading, the Company has promptly notified or will promptly notify the Representative and has promptly amended or will promptly amend or supplement, at its own expense, such Issuer Free Writing Prospectus to eliminate or correct such conflict, untrue statement or omission.</w:t>
      </w:r>
    </w:p>
    <w:p>
      <w:pPr>
        <w:spacing w:after="0" w:line="193" w:lineRule="exact"/>
        <w:rPr>
          <w:sz w:val="20"/>
          <w:szCs w:val="20"/>
          <w:color w:val="auto"/>
        </w:rPr>
      </w:pPr>
    </w:p>
    <w:p>
      <w:pPr>
        <w:ind w:right="120" w:firstLine="656"/>
        <w:spacing w:after="0" w:line="291" w:lineRule="auto"/>
        <w:tabs>
          <w:tab w:leader="none" w:pos="1263"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statements of the Company (including all notes and schedules thereto) included in the Registration Statement, the Statutory Prospectus and Prospectus present fairly the financial position of the Company and its consolidated subsidiaries at the dates indicated and the statement of operations, stockholders' equity and cash flows of the Company and its consolidated subsidiaries for the periods specified; and such financial statements and related schedules and notes thereto, and the unaudited financial information filed with the Commission as part of the Registration Statement, have been prepared in conformity with generally accepted accounting principles, consistently applied throughout the periods involved. The summary and selected financial data, if any, included in the Statutory Prospectus and Prospectus present fairly the information shown therein as at the respective dates and for the respective periods specified and have been presented on a basis consistent with the consolidated financial statements set forth in the Prospectus and other financial information.</w:t>
      </w:r>
    </w:p>
    <w:p>
      <w:pPr>
        <w:spacing w:after="0" w:line="99" w:lineRule="exact"/>
        <w:rPr>
          <w:rFonts w:ascii="Times New Roman" w:cs="Times New Roman" w:eastAsia="Times New Roman" w:hAnsi="Times New Roman"/>
          <w:sz w:val="16"/>
          <w:szCs w:val="16"/>
          <w:color w:val="auto"/>
        </w:rPr>
      </w:pPr>
    </w:p>
    <w:p>
      <w:pPr>
        <w:ind w:right="440" w:firstLine="656"/>
        <w:spacing w:after="0" w:line="275" w:lineRule="auto"/>
        <w:tabs>
          <w:tab w:leader="none" w:pos="129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OUM &amp; Co. LLP (the “Auditor”) whose reports are filed with the Commission as a part of the Registration Statement, are and, during the periods covered by their reports, were independent public accountants as required by the Securities Act and the Rules.</w:t>
      </w:r>
    </w:p>
    <w:p>
      <w:pPr>
        <w:spacing w:after="0" w:line="106" w:lineRule="exact"/>
        <w:rPr>
          <w:rFonts w:ascii="Times New Roman" w:cs="Times New Roman" w:eastAsia="Times New Roman" w:hAnsi="Times New Roman"/>
          <w:sz w:val="18"/>
          <w:szCs w:val="18"/>
          <w:color w:val="auto"/>
        </w:rPr>
      </w:pPr>
    </w:p>
    <w:p>
      <w:pPr>
        <w:ind w:right="20" w:firstLine="656"/>
        <w:spacing w:after="0" w:line="252" w:lineRule="auto"/>
        <w:tabs>
          <w:tab w:leader="none" w:pos="128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including each entity (corporation, partnership, joint venture, association or other business organization) controlled directly or indirectly by the Company (each, a “subsidiary”), is duly organized, validly existing and in good standing under the laws of their respective jurisdictions of incorporation or organization and each such entity has all requisite power and authority to carry on its business as is currently being conducted as described in the Statutory Prospectus and the Prospectus, and to own, lease and operate its properties. All of the issued shares of capital stock of, or other ownership interests in, each subsidiary have been duly and validly authorized and issued and are fully paid and non-assessable and are owned, directly or indirectly, by the Company, free and clear of any lien, charge, mortgage, pledge, security interest, claim, limitation on voting rights, equity, trust or other encumbrance, preferential arrangement, defect or restriction of any kind whatsoever. The Company and each of its subsidiaries is duly qualified to do business and is in good standing as a foreign corporation in each jurisdiction in which the nature of the business conducted by it or location of the assets or properties owned, leased or licensed by it requires such qualification, except for such jurisdictions where the failure to so qualify individually or in the aggregate would not have a material adverse effect on the assets, properties, condition, financial or otherwise, or in the results of operations, business affairs or business prospects of the Company and its subsidiaries considered as a whole (a "Material Adverse Effect"); and to the Company's knowledge, no proceeding has been instituted in any such jurisdiction revoking, limiting or curtailing, or seeking to revoke, limit or curtail, such power and authority or qualification. The Company does not own, lease or license any asset or property or conduct any business outside the United States of America.</w:t>
      </w:r>
    </w:p>
    <w:p>
      <w:pPr>
        <w:spacing w:after="0" w:line="132" w:lineRule="exact"/>
        <w:rPr>
          <w:sz w:val="20"/>
          <w:szCs w:val="20"/>
          <w:color w:val="auto"/>
        </w:rPr>
      </w:pPr>
    </w:p>
    <w:p>
      <w:pPr>
        <w:ind w:firstLine="656"/>
        <w:spacing w:after="0" w:line="291" w:lineRule="auto"/>
        <w:tabs>
          <w:tab w:leader="none" w:pos="1253"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subsidiaries has all requisite corporate power and authority, and all necessary authorizations, approvals, consents, orders, licenses, certificates and permits of and from all governmental or regulatory bodies or any other person or entity (collectively, the "Permits"), to own, lease and license its assets and properties and conduct its business, all of which are valid and in full force and effect, except where the lack of such Permits, individually or in the aggregate, would not have a Material Adverse Effect. The Company and each of its subsidiaries has fulfilled and performed in all material respects all of its obligations with respect to such Permits and no event has occurred that allows, or after notice or lapse of time would allow, revocation or termination thereof or results in any other material impairment of the rights of the Company thereunder. Except as may be required under the Securities Act and state and foreign Blue Sky laws, no other Permits are required to enter into, deliver and perform this Agreement and to issue and sell the Securities.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78" w:name="page179"/>
    <w:bookmarkEnd w:id="178"/>
    <w:p>
      <w:pPr>
        <w:ind w:left="-8" w:right="40" w:firstLine="656"/>
        <w:spacing w:after="0" w:line="265" w:lineRule="auto"/>
        <w:tabs>
          <w:tab w:leader="none" w:pos="128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At the time of filing the Registration Statement and (ii) at the date hereof</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Company was not and is not an “ineligible issuer,” as defined in Rule 405 of the Rules, including (but not limited to) the Company or any other subsidiary in the preceding three years not having been convicted of a felony or misdemeanor or having been made the subject of a judicial or administrative decree or order as described in Rule 405 of the Rules.</w:t>
      </w:r>
    </w:p>
    <w:p>
      <w:pPr>
        <w:spacing w:after="0" w:line="115" w:lineRule="exact"/>
        <w:rPr>
          <w:rFonts w:ascii="Times New Roman" w:cs="Times New Roman" w:eastAsia="Times New Roman" w:hAnsi="Times New Roman"/>
          <w:sz w:val="18"/>
          <w:szCs w:val="18"/>
          <w:color w:val="auto"/>
        </w:rPr>
      </w:pPr>
    </w:p>
    <w:p>
      <w:pPr>
        <w:ind w:left="-8" w:right="140" w:firstLine="656"/>
        <w:spacing w:after="0" w:line="258" w:lineRule="auto"/>
        <w:tabs>
          <w:tab w:leader="none" w:pos="124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owns or possesses legally enforceable rights to use all patents, patent rights, inventions, trademarks, trademark applications, trade names, service marks, copyrights, copyright applications, licenses, know-how and other similar rights and proprietary knowledge (collectively, "Intangibles") necessary for the conduct of its business. Neither the Company nor any of its subsidiaries has received any notice of, or is not aware of, any infringement of or conflict with asserted rights of others with respect to any Intangibles.</w:t>
      </w:r>
    </w:p>
    <w:p>
      <w:pPr>
        <w:spacing w:after="0" w:line="190" w:lineRule="exact"/>
        <w:rPr>
          <w:rFonts w:ascii="Times New Roman" w:cs="Times New Roman" w:eastAsia="Times New Roman" w:hAnsi="Times New Roman"/>
          <w:sz w:val="18"/>
          <w:szCs w:val="18"/>
          <w:color w:val="auto"/>
        </w:rPr>
      </w:pPr>
    </w:p>
    <w:p>
      <w:pPr>
        <w:ind w:left="-8" w:firstLine="656"/>
        <w:spacing w:after="0" w:line="255" w:lineRule="auto"/>
        <w:tabs>
          <w:tab w:leader="none" w:pos="132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good and marketable title in fee simple to all real property, and good and marketable title to all other property owned by it, in each case free and clear of all liens, encumbrances, claims, security interests and defects, except such as do not materially affect the value of such property and do not materially interfere with the use made or proposed to be made of such property by the Company and its subsidiaries. All property held under lease by the Company and its subsidiaries is held by them under valid, existing and enforceable leases, free and clear of all liens, encumbrances, claims, security interests and defects, except such as are not material and do not materially interfere with the use made or proposed to be made of such property by the Company and its subsidiaries.</w:t>
      </w:r>
    </w:p>
    <w:p>
      <w:pPr>
        <w:spacing w:after="0" w:line="1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Subsequent to the respective dates as of which information is given in the Registration Statement, the Statutory Prospectus and the Prospectus,</w:t>
      </w:r>
    </w:p>
    <w:p>
      <w:pPr>
        <w:spacing w:after="0" w:line="44" w:lineRule="exact"/>
        <w:rPr>
          <w:rFonts w:ascii="Times New Roman" w:cs="Times New Roman" w:eastAsia="Times New Roman" w:hAnsi="Times New Roman"/>
          <w:sz w:val="16"/>
          <w:szCs w:val="16"/>
          <w:color w:val="auto"/>
        </w:rPr>
      </w:pPr>
    </w:p>
    <w:p>
      <w:pPr>
        <w:ind w:left="-8" w:right="20" w:firstLine="8"/>
        <w:spacing w:after="0" w:line="281" w:lineRule="auto"/>
        <w:tabs>
          <w:tab w:leader="none" w:pos="202"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has not been any event which could have a Material Adverse Effect; (ii) neither the Company nor any of its subsidiaries has sustained any loss or interference with its assets, businesses or properties (whether owned or leased) from fire, explosion, earthquake, flood or other calamity, whether or not covered by insurance, or from any labor dispute or any court or legislative or other governmental action, order or decree which would have a Material Adverse Effect; and</w:t>
      </w:r>
    </w:p>
    <w:p>
      <w:pPr>
        <w:spacing w:after="0" w:line="2" w:lineRule="exact"/>
        <w:rPr>
          <w:rFonts w:ascii="Times New Roman" w:cs="Times New Roman" w:eastAsia="Times New Roman" w:hAnsi="Times New Roman"/>
          <w:sz w:val="16"/>
          <w:szCs w:val="16"/>
          <w:color w:val="auto"/>
        </w:rPr>
      </w:pPr>
    </w:p>
    <w:p>
      <w:pPr>
        <w:ind w:left="-8" w:right="200" w:firstLine="8"/>
        <w:spacing w:after="0" w:line="253" w:lineRule="auto"/>
        <w:tabs>
          <w:tab w:leader="none" w:pos="29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latest balance sheet included in the Registration Statement and the Prospectus, neither the Company nor its subsidiaries has (A) issued any securities or incurred any liability or obligation, direct or contingent, for borrowed money, except such liabilities or obligations incurred in the ordinary course of business, (B) entered into any transaction not in the ordinary course of business or (C) except for regular dividends on the Common Stock in amounts per share that are consistent with past practice, declared or paid any dividend or made any distribution on any shares of its stock or redeemed, purchased or otherwise acquired or agreed to redeem, purchase or otherwise acquire any shares of its capital stock.</w:t>
      </w:r>
    </w:p>
    <w:p>
      <w:pPr>
        <w:spacing w:after="0" w:line="125" w:lineRule="exact"/>
        <w:rPr>
          <w:rFonts w:ascii="Times New Roman" w:cs="Times New Roman" w:eastAsia="Times New Roman" w:hAnsi="Times New Roman"/>
          <w:sz w:val="18"/>
          <w:szCs w:val="18"/>
          <w:color w:val="auto"/>
        </w:rPr>
      </w:pPr>
    </w:p>
    <w:p>
      <w:pPr>
        <w:ind w:left="-8" w:right="80" w:firstLine="656"/>
        <w:spacing w:after="0" w:line="287" w:lineRule="auto"/>
        <w:tabs>
          <w:tab w:leader="none" w:pos="1281"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no document, contract or other agreement required to be described in the Registration Statement, the Statutory Prospectus or the Prospectus or to be filed as an exhibit to the Registration Statement which is not described or filed as required by the Securities Act or Rules. Each description of a contract, document or other agreement in the Registration Statement, the Statutory Prospectus or the Prospectus accurately reflects in all respects the terms of the underlying contract, document or other agreement. Each contract, document or other agreement described in the Registration Statement, the Statutory Prospectus or the Prospectus or listed in the Exhibits to the Registration Statement is in full force and effect and is valid and enforceable by and against the Company or its subsidiary, as the case may be, in accordance with its terms. Neither the Company nor any of its subsidiaries, if a subsidiary is a party, nor to the Company's knowledge, any other party is in default in the observance or performance of any term or obligation to be performed by it under any such agreement, and no event has occurred which with notice or lapse of time or both would constitute such a default, in any such case which default or event, individually or in the aggregate, would have a Material Adverse Effect. No default exists, and no event has occurred which with notice or lapse of time or both would constitute a default, in the due performance and observance of any term, covenant or condition, by the Company or its subsidiary, if a subsidiary is a party thereto, of any other agreement or instrument to which the Company or any of its subsidiaries is a party or by which Company or its properties or business or a subsidiary or its properties or business may be bound or affected which default or event, individually or in the aggregate, would have a Material Adverse Effect.</w:t>
      </w:r>
    </w:p>
    <w:p>
      <w:pPr>
        <w:spacing w:after="0" w:line="321" w:lineRule="exact"/>
        <w:rPr>
          <w:rFonts w:ascii="Times New Roman" w:cs="Times New Roman" w:eastAsia="Times New Roman" w:hAnsi="Times New Roman"/>
          <w:sz w:val="16"/>
          <w:szCs w:val="16"/>
          <w:color w:val="auto"/>
        </w:rPr>
      </w:pPr>
    </w:p>
    <w:p>
      <w:pPr>
        <w:ind w:left="-8" w:right="540" w:firstLine="656"/>
        <w:spacing w:after="0" w:line="275" w:lineRule="auto"/>
        <w:tabs>
          <w:tab w:leader="none" w:pos="128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statistical and market related data included in the Registration Statement, the Statutory Prospectus or the Prospectus are based on or derived from sources that the Company believes to be reliable and accurate.</w:t>
      </w:r>
    </w:p>
    <w:p>
      <w:pPr>
        <w:spacing w:after="0" w:line="32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553" w:right="259" w:bottom="1440" w:gutter="0" w:footer="0" w:header="0"/>
        </w:sectPr>
      </w:pPr>
    </w:p>
    <w:bookmarkStart w:id="179" w:name="page180"/>
    <w:bookmarkEnd w:id="179"/>
    <w:p>
      <w:pPr>
        <w:ind w:left="-8" w:right="40" w:firstLine="656"/>
        <w:spacing w:after="0" w:line="284" w:lineRule="auto"/>
        <w:tabs>
          <w:tab w:leader="none" w:pos="1284"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subsidiary (i) is in violation of its certificate or articles of incorporation, by-laws, certificate of formation, limited liability company agreement, partnership agreement or other organizational documents, (ii) is in default under, and no event has occurred which, with notice or lapse of time, or both, would constitute a default under, or result in the creation or imposition of any lien, charge, mortgage, pledge, security interest, claim, limitation on voting rights, equity, trust or other encumbrance, preferential arrangement, defect or restriction of any kind whatsoever, upon, any property or assets of the Company or any subsidiary pursuant to, any bond, debenture, note, indenture, mortgage, deed of trust, loan agreement or other agreement or instrument to which it is a party or by which it is bound or to which any of its properties or assets is subject or (iii) is in violation of any statute, law, rule, regulation, ordinance, directive, judgment, decree or order of any judicial, regulatory or other legal or governmental agency or body, foreign or domestic, except (in the case of clauses</w:t>
      </w:r>
    </w:p>
    <w:p>
      <w:pPr>
        <w:ind w:left="252" w:hanging="252"/>
        <w:spacing w:after="0"/>
        <w:tabs>
          <w:tab w:leader="none" w:pos="25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above) for violations or defaults that could not (individually or in the aggregate) reasonably be expected to have a Material Adverse Effect.</w:t>
      </w:r>
    </w:p>
    <w:p>
      <w:pPr>
        <w:spacing w:after="0" w:line="212" w:lineRule="exact"/>
        <w:rPr>
          <w:rFonts w:ascii="Times New Roman" w:cs="Times New Roman" w:eastAsia="Times New Roman" w:hAnsi="Times New Roman"/>
          <w:sz w:val="18"/>
          <w:szCs w:val="18"/>
          <w:color w:val="auto"/>
        </w:rPr>
      </w:pPr>
    </w:p>
    <w:p>
      <w:pPr>
        <w:ind w:left="1312" w:hanging="664"/>
        <w:spacing w:after="0"/>
        <w:tabs>
          <w:tab w:leader="none" w:pos="1312"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left="-8" w:right="40" w:firstLine="656"/>
        <w:spacing w:after="0" w:line="253" w:lineRule="auto"/>
        <w:tabs>
          <w:tab w:leader="none" w:pos="1308"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and performance of this Agreement and the Warrants by the Company nor the consummation of any of the transactions contemplated hereby (including, without limitation, the issuance and sale by the Company of the Shares and the Warrants) will give rise to a right to terminate or accelerate the due date of any payment due under, or conflict with or result in the breach of any term or provision of, or constitute a default (or an event which with notice or lapse of time or both would constitute a default) under, or require any consent or waiver under, or result in the execution or imposition of any lien, charge or encumbrance upon any properties or assets of the Company or its subsidiaries pursuant to the terms of, any indenture, mortgage, deed of trust or other agreement or instrument to which the Company or any of its subsidiaries is a party or by which either the Company or its subsidiaries or any of their properties or businesses is bound, or any franchise, license, permit, judgment, decree, order, statute, rule or regulation applicable to the Company or any of its subsidiaries or violate any provision of the charter or by-laws of the Company or any of its subsidiaries, except for such consents or waivers which have already been obtained and are in full force and effect.</w:t>
      </w:r>
    </w:p>
    <w:p>
      <w:pPr>
        <w:spacing w:after="0" w:line="129" w:lineRule="exact"/>
        <w:rPr>
          <w:rFonts w:ascii="Times New Roman" w:cs="Times New Roman" w:eastAsia="Times New Roman" w:hAnsi="Times New Roman"/>
          <w:sz w:val="18"/>
          <w:szCs w:val="18"/>
          <w:color w:val="auto"/>
        </w:rPr>
      </w:pPr>
    </w:p>
    <w:p>
      <w:pPr>
        <w:ind w:left="-8" w:firstLine="656"/>
        <w:spacing w:after="0" w:line="285" w:lineRule="auto"/>
        <w:tabs>
          <w:tab w:leader="none" w:pos="1286"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authorized and outstanding capital stock as set forth under the caption "Description of Securities We Are Offering and Capitalization" in the Statutory Prospectus and the Prospectus. The certificates evidencing the Shares and the Warrants are in due and proper legal form and have been duly authorized for issuance by the Company. All of the issued and outstanding shares of Common Stock have been duly and validly issued and are fully paid and nonassessable. There are no statutory preemptive or other similar rights to subscribe for or to purchase or acquire any shares of Common Stock of the Company or any of its subsidiaries or any such rights pursuant to its Certificate of Incorporation or by-laws or any agreement or instrument to or by which the Company or any of its subsidiaries is a party or bound. The Company has reserved and kept available for the exercise of the Warrants such number of authorized but unissued shares as are sufficient to permit the exercise in full of the Warrants. The Shares, when issued and sold pursuant to this Agreement, and the Warrant Shares, when issued and sold pursuant to the Warrants, will be duly and validly issued, fully paid and nonassessable and none of them will be issued in violation of any preemptive or other similar right. Except as disclosed in the Registration Statement, the Statutory Prospectus and the Prospectus, there is no outstanding option, warrant or other right calling for the issuance of, and there is no commitment, plan or arrangement to issue, any share of stock of the Company or any of its subsidiaries or any security convertible into, or exercisable or exchangeable for, such stock. The exercise price of each option to acquire Common Stock (each, a “Company Stock Option”) is no less than the fair market value of a share of Common Stock as determined on the date of grant of such Company Stock Option. All grants of Company Stock Options were validly issued and properly approved by the Board of Directors of the Company or the Compensation Committee thereof in material compliance with all applicable laws and the terms of the plans under which such Company Stock Options were issued and were recorded on the Company financial statements, including the documents included in the Registration Statement, the Statutory Prospectus and the Prospectus, in accordance with GAAP, and no such grants involved any “back dating”, “forward dating,” “spring loading” or similar practices with respect to the effective date of grant. The Common Stock, the Shares and the Warrants conform in all material respects to all statements in relation thereto contained in the Registration Statement, the Statutory Prospectus and the Prospectus. All outstanding shares of capital stock of each of the Company's subsidiaries have been duly authorized and validly issued, and are fully paid and nonassessable and are owned directly by the Company or by another wholly-owned subsidiary of the Company free and clear of any security interests, liens, encumbrances, equities or claims, other than those described in the Statutory Prospectus and the Prospectus.</w:t>
      </w:r>
    </w:p>
    <w:p>
      <w:pPr>
        <w:spacing w:after="0" w:line="200" w:lineRule="exact"/>
        <w:rPr>
          <w:sz w:val="20"/>
          <w:szCs w:val="20"/>
          <w:color w:val="auto"/>
        </w:rPr>
      </w:pPr>
    </w:p>
    <w:p>
      <w:pPr>
        <w:spacing w:after="0" w:line="33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558" w:right="239" w:bottom="1440" w:gutter="0" w:footer="0" w:header="0"/>
        </w:sectPr>
      </w:pPr>
    </w:p>
    <w:bookmarkStart w:id="180" w:name="page181"/>
    <w:bookmarkEnd w:id="180"/>
    <w:p>
      <w:pPr>
        <w:ind w:left="-20" w:right="20" w:firstLine="656"/>
        <w:spacing w:after="0" w:line="258" w:lineRule="auto"/>
        <w:tabs>
          <w:tab w:leader="none" w:pos="131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holder of any security of the Company has any right, which has not been waived, to have any security owned by such holder included in the Registration Statement or to demand registration of any security owned by such holder for a period of 180 days after the date of this Agreement. Each director and executive officer of the Company and each stockholder of the Company listed on Schedule II hereto has delivered to the Representative his enforceable written lock-up agreement in the form attached to this Agreement as Exhibit A hereto ("Lock-Up Agreement").</w:t>
      </w:r>
    </w:p>
    <w:p>
      <w:pPr>
        <w:spacing w:after="0" w:line="122" w:lineRule="exact"/>
        <w:rPr>
          <w:rFonts w:ascii="Times New Roman" w:cs="Times New Roman" w:eastAsia="Times New Roman" w:hAnsi="Times New Roman"/>
          <w:sz w:val="18"/>
          <w:szCs w:val="18"/>
          <w:color w:val="auto"/>
        </w:rPr>
      </w:pPr>
    </w:p>
    <w:p>
      <w:pPr>
        <w:ind w:left="-20" w:right="60" w:firstLine="656"/>
        <w:spacing w:after="0" w:line="258" w:lineRule="auto"/>
        <w:tabs>
          <w:tab w:leader="none" w:pos="127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pending to which the Company or any of its subsidiaries is a party or of which any property of the Company or any of its subsidiaries is the subject which, if determined adversely to the Company or any of its subsidiaries could individually or in the aggregate have a Material Adverse Effect; and, to the knowledge of the Company, no such proceedings are threatened or contemplated by governmental authorities or threatened by others.</w:t>
      </w:r>
    </w:p>
    <w:p>
      <w:pPr>
        <w:spacing w:after="0" w:line="190" w:lineRule="exact"/>
        <w:rPr>
          <w:rFonts w:ascii="Times New Roman" w:cs="Times New Roman" w:eastAsia="Times New Roman" w:hAnsi="Times New Roman"/>
          <w:sz w:val="18"/>
          <w:szCs w:val="18"/>
          <w:color w:val="auto"/>
        </w:rPr>
      </w:pPr>
    </w:p>
    <w:p>
      <w:pPr>
        <w:ind w:left="-20" w:firstLine="656"/>
        <w:spacing w:after="0" w:line="258" w:lineRule="auto"/>
        <w:tabs>
          <w:tab w:leader="none" w:pos="131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necessary corporate action has been duly and validly taken by the Company and to authorize the execution, delivery and performance of this Agreement and the Warrants, and the issuance and sale of the Shares, the Warrants and the Warrant Shares by the Company. The Warrants have been duly and validly authorized and, upon the execution and delivery thereof by the Company on the Closing Date, will constitute legal, valid and binding obligations of the Company enforceable against the Company in accordance with their terms.</w:t>
      </w:r>
    </w:p>
    <w:p>
      <w:pPr>
        <w:spacing w:after="0" w:line="123" w:lineRule="exact"/>
        <w:rPr>
          <w:sz w:val="20"/>
          <w:szCs w:val="20"/>
          <w:color w:val="auto"/>
        </w:rPr>
      </w:pPr>
    </w:p>
    <w:p>
      <w:pPr>
        <w:ind w:left="-20" w:right="40" w:firstLine="656"/>
        <w:spacing w:after="0" w:line="256" w:lineRule="auto"/>
        <w:tabs>
          <w:tab w:leader="none" w:pos="131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involved in any labor dispute nor, to the knowledge of the Company, is any such dispute threatened, which dispute would have a Material Adverse Effect. The Company is not aware of any existing or imminent labor disturbance by the employees of any of its principal suppliers or contractors which would have a Material Adverse Effect. The Company is not aware of any threatened or pending litigation between the Company or its subsidiaries and any of its executive officers which, if adversely determined, could have a Material Adverse Effect and has no reason to believe that such officers will not remain in the employment of the Company.</w:t>
      </w:r>
    </w:p>
    <w:p>
      <w:pPr>
        <w:spacing w:after="0" w:line="125" w:lineRule="exact"/>
        <w:rPr>
          <w:rFonts w:ascii="Times New Roman" w:cs="Times New Roman" w:eastAsia="Times New Roman" w:hAnsi="Times New Roman"/>
          <w:sz w:val="18"/>
          <w:szCs w:val="18"/>
          <w:color w:val="auto"/>
        </w:rPr>
      </w:pPr>
    </w:p>
    <w:p>
      <w:pPr>
        <w:ind w:left="-20" w:firstLine="656"/>
        <w:spacing w:after="0" w:line="262" w:lineRule="auto"/>
        <w:tabs>
          <w:tab w:leader="none" w:pos="127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transaction has occurred between or among the Company and any of its officers or directors, shareholders or any affiliate or affiliates of any such officer or director or shareholder that is required to be described in and is not described in the Registration Statement, the Statutory Prospectus and the Prospectus.</w:t>
      </w:r>
    </w:p>
    <w:p>
      <w:pPr>
        <w:spacing w:after="0" w:line="118" w:lineRule="exact"/>
        <w:rPr>
          <w:rFonts w:ascii="Times New Roman" w:cs="Times New Roman" w:eastAsia="Times New Roman" w:hAnsi="Times New Roman"/>
          <w:sz w:val="18"/>
          <w:szCs w:val="18"/>
          <w:color w:val="auto"/>
        </w:rPr>
      </w:pPr>
    </w:p>
    <w:p>
      <w:pPr>
        <w:ind w:left="-20" w:right="20" w:firstLine="656"/>
        <w:spacing w:after="0" w:line="262" w:lineRule="auto"/>
        <w:tabs>
          <w:tab w:leader="none" w:pos="127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nor will it take, directly or indirectly, any action designed to or which might reasonably be expected to cause or result in, or which has constituted or which might reasonably be expected to constitute, the stabilization or manipulation of the price of the Common Stock or any security of the Company to facilitate the sale or resale of any of the Securities.</w:t>
      </w:r>
    </w:p>
    <w:p>
      <w:pPr>
        <w:spacing w:after="0" w:line="118" w:lineRule="exact"/>
        <w:rPr>
          <w:rFonts w:ascii="Times New Roman" w:cs="Times New Roman" w:eastAsia="Times New Roman" w:hAnsi="Times New Roman"/>
          <w:sz w:val="18"/>
          <w:szCs w:val="18"/>
          <w:color w:val="auto"/>
        </w:rPr>
      </w:pPr>
    </w:p>
    <w:p>
      <w:pPr>
        <w:ind w:left="-20" w:right="80" w:firstLine="656"/>
        <w:spacing w:after="0" w:line="301" w:lineRule="auto"/>
        <w:tabs>
          <w:tab w:leader="none" w:pos="1262"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subsidiaries has filed all Federal, state, local and foreign tax returns which are required to be filed through the date hereof, which returns are true and correct in all material respects or has received timely extensions thereof, and has paid all taxes shown on such returns and all assessments received by it to the extent that the same are material and have become due. There are no tax audits or investigations pending, which if adversely determined would have a Material Adverse Effect; nor are there any material proposed additional tax assessments against the Company or any of its subsidiaries.</w:t>
      </w:r>
    </w:p>
    <w:p>
      <w:pPr>
        <w:spacing w:after="0" w:line="90" w:lineRule="exact"/>
        <w:rPr>
          <w:sz w:val="20"/>
          <w:szCs w:val="20"/>
          <w:color w:val="auto"/>
        </w:rPr>
      </w:pPr>
    </w:p>
    <w:p>
      <w:pPr>
        <w:ind w:left="-20" w:right="20" w:firstLine="656"/>
        <w:spacing w:after="0" w:line="293" w:lineRule="auto"/>
        <w:tabs>
          <w:tab w:leader="none" w:pos="134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Common Stock is registered pursuant to Section 12(b) of the Exchange Act and is listed on the Nasdaq Capital Market. The Company has taken no action designed to, or likely to have the effect of, terminating the registration of the Common Stock under the Exchange Act or listing of the Common Stock on the Nasdaq Capital Market. There is no action pending by the Company or, to the Company’s knowledge, by the Nasdaq Capital Market to delist the Common Stock from the Nasdaq Capital Market, nor has the Company received any notification that the Nasdaq Capital Market is contemplating terminating such listing. The Company has submitted a Notification Form: Listing of Additional Shares with the Nasdaq Capital Market with respect to the Shares and the Warrant Shares and Nasdaq has raised no objection with respect to the listing of the Shares and the Warrant Shares which has not been resolved.</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57" w:right="259" w:bottom="1440" w:gutter="0" w:footer="0" w:header="0"/>
        </w:sectPr>
      </w:pPr>
    </w:p>
    <w:bookmarkStart w:id="181" w:name="page182"/>
    <w:bookmarkEnd w:id="181"/>
    <w:p>
      <w:pPr>
        <w:ind w:left="-20" w:right="40" w:firstLine="656"/>
        <w:spacing w:after="0" w:line="293" w:lineRule="auto"/>
        <w:tabs>
          <w:tab w:leader="none" w:pos="136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books, records and accounts of the Company and its subsidiaries accurately and fairly reflect, the transactions in, and dispositions of, the assets of, and the results of operations of, the Company and its subsidiaries. The Company and each of its subsidiaries maintains a system of internal accounting controls sufficient to provide reasonable assurances that (i) transactions are executed in accordance with management's general or specific authorizations, (ii) transactions are recorded as necessary to permit preparation of financial statements in accordance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97" w:lineRule="exact"/>
        <w:rPr>
          <w:rFonts w:ascii="Times New Roman" w:cs="Times New Roman" w:eastAsia="Times New Roman" w:hAnsi="Times New Roman"/>
          <w:sz w:val="16"/>
          <w:szCs w:val="16"/>
          <w:color w:val="auto"/>
        </w:rPr>
      </w:pPr>
    </w:p>
    <w:p>
      <w:pPr>
        <w:ind w:left="-20" w:right="140" w:firstLine="656"/>
        <w:spacing w:after="0" w:line="296" w:lineRule="auto"/>
        <w:tabs>
          <w:tab w:leader="none" w:pos="134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established and maintains disclosure controls and procedures (as such term is defined in Rule 13a-15 under the Exchange Act), which: (i) are designed to ensure that material information relating to the Company is made known to the Company’s principal executive officer and its principal financial officer by others within the Company, particularly during the periods in which the periodic reports required under the Exchange Act are required to be prepared; (ii) provide for the periodic evaluation of the effectiveness of such disclosure controls and procedures at the end of the periods in which the periodic reports are required to be prepared; and (iii) are effective in all material respects to perform the functions for which they were established.</w:t>
      </w:r>
    </w:p>
    <w:p>
      <w:pPr>
        <w:spacing w:after="0" w:line="94" w:lineRule="exact"/>
        <w:rPr>
          <w:rFonts w:ascii="Times New Roman" w:cs="Times New Roman" w:eastAsia="Times New Roman" w:hAnsi="Times New Roman"/>
          <w:sz w:val="16"/>
          <w:szCs w:val="16"/>
          <w:color w:val="auto"/>
        </w:rPr>
      </w:pPr>
    </w:p>
    <w:p>
      <w:pPr>
        <w:ind w:left="-20" w:right="420" w:firstLine="656"/>
        <w:spacing w:after="0" w:line="258" w:lineRule="auto"/>
        <w:tabs>
          <w:tab w:leader="none" w:pos="13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evaluation of its disclosure controls and procedures, except as disclosed in the Statutory Prospectus and the Prospectus, the Company is not aware of (i) any material weakness or significant deficiency in the design or operation of internal controls which could adversely affect the Company’s ability to record, process, summarize and report financial data or any material weaknesses in internal controls; or (ii) any fraud, whether or not material, that involves management or other employees who have a role in the Company’s internal controls.</w:t>
      </w:r>
    </w:p>
    <w:p>
      <w:pPr>
        <w:spacing w:after="0" w:line="122" w:lineRule="exact"/>
        <w:rPr>
          <w:rFonts w:ascii="Times New Roman" w:cs="Times New Roman" w:eastAsia="Times New Roman" w:hAnsi="Times New Roman"/>
          <w:sz w:val="18"/>
          <w:szCs w:val="18"/>
          <w:color w:val="auto"/>
        </w:rPr>
      </w:pPr>
    </w:p>
    <w:p>
      <w:pPr>
        <w:ind w:left="-20" w:right="340" w:firstLine="656"/>
        <w:spacing w:after="0" w:line="262" w:lineRule="auto"/>
        <w:tabs>
          <w:tab w:leader="none" w:pos="13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Statutory Prospectus and the Prospectus and as preapproved in accordance with the requirements set forth in Section 10A of the Exchange Act, the Auditor has not been engaged by the Company to perform any “prohibited activities” (as defined in Section 10A of the Exchange Act).</w:t>
      </w:r>
    </w:p>
    <w:p>
      <w:pPr>
        <w:spacing w:after="0" w:line="118" w:lineRule="exact"/>
        <w:rPr>
          <w:rFonts w:ascii="Times New Roman" w:cs="Times New Roman" w:eastAsia="Times New Roman" w:hAnsi="Times New Roman"/>
          <w:sz w:val="18"/>
          <w:szCs w:val="18"/>
          <w:color w:val="auto"/>
        </w:rPr>
      </w:pPr>
    </w:p>
    <w:p>
      <w:pPr>
        <w:ind w:left="-20" w:right="120" w:firstLine="656"/>
        <w:spacing w:after="0" w:line="262" w:lineRule="auto"/>
        <w:tabs>
          <w:tab w:leader="none" w:pos="129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Statutory Prospectus and the Prospectus, there are no material off-balance sheet arrangements (as defined in Item 303 of Regulation S-K) that have or are reasonably likely to have a material current or future effect on the Company’s financial condition, revenues or expenses, changes in financial condition, results of operations, liquidity, capital expenditures or capital resources.</w:t>
      </w:r>
    </w:p>
    <w:p>
      <w:pPr>
        <w:spacing w:after="0" w:line="118" w:lineRule="exact"/>
        <w:rPr>
          <w:rFonts w:ascii="Times New Roman" w:cs="Times New Roman" w:eastAsia="Times New Roman" w:hAnsi="Times New Roman"/>
          <w:sz w:val="18"/>
          <w:szCs w:val="18"/>
          <w:color w:val="auto"/>
        </w:rPr>
      </w:pPr>
    </w:p>
    <w:p>
      <w:pPr>
        <w:ind w:left="-20" w:right="220" w:firstLine="656"/>
        <w:spacing w:after="0" w:line="262" w:lineRule="auto"/>
        <w:tabs>
          <w:tab w:leader="none" w:pos="13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has validly appointed an audit committee whose composition satisfies the requirements of Rule 5605 of the NASDAQ Stock Market and the Board of Directors and/or the audit committee has adopted a charter that satisfies the requirements of Rule 5605 of the NASDAQ Stock Market. The audit committee has reviewed the adequacy of its charter within the past twelve months.</w:t>
      </w:r>
    </w:p>
    <w:p>
      <w:pPr>
        <w:spacing w:after="0" w:line="118" w:lineRule="exact"/>
        <w:rPr>
          <w:rFonts w:ascii="Times New Roman" w:cs="Times New Roman" w:eastAsia="Times New Roman" w:hAnsi="Times New Roman"/>
          <w:sz w:val="18"/>
          <w:szCs w:val="18"/>
          <w:color w:val="auto"/>
        </w:rPr>
      </w:pPr>
    </w:p>
    <w:p>
      <w:pPr>
        <w:ind w:left="-20" w:right="160" w:firstLine="656"/>
        <w:spacing w:after="0" w:line="275" w:lineRule="auto"/>
        <w:tabs>
          <w:tab w:leader="none" w:pos="13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has been no failure on the part of the Company or any of its directors or officers, in their capacities as such, to comply with any provision of the Sarbanes-Oxley Act, including, without limitation, Section 402 related to loans and Sections 302 and 906 related to certifications.</w:t>
      </w:r>
    </w:p>
    <w:p>
      <w:pPr>
        <w:spacing w:after="0" w:line="106" w:lineRule="exact"/>
        <w:rPr>
          <w:rFonts w:ascii="Times New Roman" w:cs="Times New Roman" w:eastAsia="Times New Roman" w:hAnsi="Times New Roman"/>
          <w:sz w:val="18"/>
          <w:szCs w:val="18"/>
          <w:color w:val="auto"/>
        </w:rPr>
      </w:pPr>
    </w:p>
    <w:p>
      <w:pPr>
        <w:ind w:left="-20" w:firstLine="656"/>
        <w:spacing w:after="0" w:line="254" w:lineRule="auto"/>
        <w:tabs>
          <w:tab w:leader="none" w:pos="128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insured by insurers of recognized financial responsibility against such losses and risks and in such amounts as are customary in the businesses in which they are engaged or propose to engage after giving effect to the transactions described in the Statutory Prospectus and the Prospectus; all policies of insurance and fidelity or surety bonds insuring the Company or any of its subsidiaries or the Company's or its subsidiaries' respective businesses, assets, employees, officers and directors are in full force and effect; the Company and each of its subsidiaries are in compliance with the terms of such policies and instruments in all material respects; and neither the Company nor any subsidiary of the Company has any reason to believe that it will not be able to renew its existing insurance coverage as and when such coverage expires or to obtain similar coverage from similar insurers as may be necessary to continue its business at a cost that is not materially greater than the current cost. Neither the Company nor any of its subsidiaries has been denied any insurance coverage which it has sought or for which it has applied.</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57" w:right="259" w:bottom="1440" w:gutter="0" w:footer="0" w:header="0"/>
        </w:sectPr>
      </w:pPr>
    </w:p>
    <w:bookmarkStart w:id="182" w:name="page183"/>
    <w:bookmarkEnd w:id="182"/>
    <w:p>
      <w:pPr>
        <w:ind w:left="-8" w:right="80" w:firstLine="656"/>
        <w:spacing w:after="0" w:line="256" w:lineRule="auto"/>
        <w:tabs>
          <w:tab w:leader="none" w:pos="129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approval, consent, order, authorization, designation, declaration or filing of, by or with any regulatory, administrative or other governmental body necessary in connection with the execution and delivery by the Company of this Agreement and the consummation of the transactions herein contemplated required to be obtained or performed by the Company (except such additional steps as may be required by the Financial Industry Regulatory Authority ("FINRA") or may be necessary to qualify the Securities for public offering by the Underwriters under the state securities or Blue Sky laws) has been obtained or made and is in full force and effect.</w:t>
      </w:r>
    </w:p>
    <w:p>
      <w:pPr>
        <w:spacing w:after="0" w:line="125" w:lineRule="exact"/>
        <w:rPr>
          <w:rFonts w:ascii="Times New Roman" w:cs="Times New Roman" w:eastAsia="Times New Roman" w:hAnsi="Times New Roman"/>
          <w:sz w:val="18"/>
          <w:szCs w:val="18"/>
          <w:color w:val="auto"/>
        </w:rPr>
      </w:pPr>
    </w:p>
    <w:p>
      <w:pPr>
        <w:ind w:left="-8" w:right="440" w:firstLine="656"/>
        <w:spacing w:after="0" w:line="262" w:lineRule="auto"/>
        <w:tabs>
          <w:tab w:leader="none" w:pos="137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affiliations with FINRA among the Company's officers, directors or, to the best of the knowledge of the Company, any five percent or greater stockholder of the Company, except as set forth in the Registration Statement, the Statutory Prospectus and the Prospectus or otherwise disclosed in writing to the Representative.</w:t>
      </w:r>
    </w:p>
    <w:p>
      <w:pPr>
        <w:spacing w:after="0" w:line="118" w:lineRule="exact"/>
        <w:rPr>
          <w:rFonts w:ascii="Times New Roman" w:cs="Times New Roman" w:eastAsia="Times New Roman" w:hAnsi="Times New Roman"/>
          <w:sz w:val="18"/>
          <w:szCs w:val="18"/>
          <w:color w:val="auto"/>
        </w:rPr>
      </w:pPr>
    </w:p>
    <w:p>
      <w:pPr>
        <w:jc w:val="both"/>
        <w:ind w:left="-8" w:right="140" w:firstLine="656"/>
        <w:spacing w:after="0" w:line="289" w:lineRule="auto"/>
        <w:tabs>
          <w:tab w:leader="none" w:pos="1294"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Each of the Company and each of its subsidiaries is in compliance in all material respects with all rules, laws and regulation relating to the use, treatment, storage and disposal of toxic substances and protection of health or the environment ("Environmental Law") which are applicable to its business;</w:t>
      </w:r>
    </w:p>
    <w:p>
      <w:pPr>
        <w:spacing w:after="0" w:line="1" w:lineRule="exact"/>
        <w:rPr>
          <w:rFonts w:ascii="Times New Roman" w:cs="Times New Roman" w:eastAsia="Times New Roman" w:hAnsi="Times New Roman"/>
          <w:sz w:val="16"/>
          <w:szCs w:val="16"/>
          <w:color w:val="auto"/>
        </w:rPr>
      </w:pPr>
    </w:p>
    <w:p>
      <w:pPr>
        <w:ind w:left="-8" w:firstLine="8"/>
        <w:spacing w:after="0" w:line="281" w:lineRule="auto"/>
        <w:tabs>
          <w:tab w:leader="none" w:pos="25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its subsidiaries has received any notice from any governmental authority or third party of an asserted claim under Environmental Laws; (iii) each of the Company and each of its subsidiaries has received all permits, licenses or other approvals required of it under applicable Environmental Laws to conduct its business and is in compliance with all terms and conditions of any such permit, license or approval; (iv) to the Company's knowledge, no facts currently exist that will require the Company or any of its subsidiaries to make future material capital expenditures to comply with Environmental Laws; and</w:t>
      </w:r>
    </w:p>
    <w:p>
      <w:pPr>
        <w:spacing w:after="0" w:line="2" w:lineRule="exact"/>
        <w:rPr>
          <w:rFonts w:ascii="Times New Roman" w:cs="Times New Roman" w:eastAsia="Times New Roman" w:hAnsi="Times New Roman"/>
          <w:sz w:val="16"/>
          <w:szCs w:val="16"/>
          <w:color w:val="auto"/>
        </w:rPr>
      </w:pPr>
    </w:p>
    <w:p>
      <w:pPr>
        <w:ind w:left="-8" w:right="160" w:firstLine="8"/>
        <w:spacing w:after="0" w:line="254" w:lineRule="auto"/>
        <w:tabs>
          <w:tab w:leader="none" w:pos="24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property which is or has been owned, leased or occupied by the Company or its subsidiaries has been designated as a Superfund site pursuant to the Comprehensive Environmental Response, Compensation of Liability Act of 1980, as amended (42 U.S.C. Section 9601, et. seq.) or otherwise designated as a contaminated site under applicable state or local law. Neither the Company nor any of its subsidiaries has been named as a "potentially responsible party" under the CERCLA 1980.</w:t>
      </w:r>
    </w:p>
    <w:p>
      <w:pPr>
        <w:spacing w:after="0" w:line="124" w:lineRule="exact"/>
        <w:rPr>
          <w:rFonts w:ascii="Times New Roman" w:cs="Times New Roman" w:eastAsia="Times New Roman" w:hAnsi="Times New Roman"/>
          <w:sz w:val="18"/>
          <w:szCs w:val="18"/>
          <w:color w:val="auto"/>
        </w:rPr>
      </w:pPr>
    </w:p>
    <w:p>
      <w:pPr>
        <w:ind w:left="-8" w:right="200" w:firstLine="656"/>
        <w:spacing w:after="0" w:line="256" w:lineRule="auto"/>
        <w:tabs>
          <w:tab w:leader="none" w:pos="146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ordinary course of its business, the Company periodically reviews the effect of Environmental Laws on the business, operations and properties of the Company and its subsidiaries, in the course of which the Company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w:t>
      </w:r>
    </w:p>
    <w:p>
      <w:pPr>
        <w:spacing w:after="0" w:line="125" w:lineRule="exact"/>
        <w:rPr>
          <w:rFonts w:ascii="Times New Roman" w:cs="Times New Roman" w:eastAsia="Times New Roman" w:hAnsi="Times New Roman"/>
          <w:sz w:val="18"/>
          <w:szCs w:val="18"/>
          <w:color w:val="auto"/>
        </w:rPr>
      </w:pPr>
    </w:p>
    <w:p>
      <w:pPr>
        <w:ind w:left="-8" w:right="320" w:firstLine="656"/>
        <w:spacing w:after="0" w:line="262" w:lineRule="auto"/>
        <w:tabs>
          <w:tab w:leader="none" w:pos="137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Shares and the Warrants and the application of proceeds thereof (including any cash exercise of the Warrants) as described in the Statutory Prospectus and the Prospectus, will not be an "investment company" within the meaning of the Investment Company Act of 1940, as amended (the "Investment Company Act").</w:t>
      </w:r>
    </w:p>
    <w:p>
      <w:pPr>
        <w:spacing w:after="0" w:line="186" w:lineRule="exact"/>
        <w:rPr>
          <w:sz w:val="20"/>
          <w:szCs w:val="20"/>
          <w:color w:val="auto"/>
        </w:rPr>
      </w:pPr>
    </w:p>
    <w:p>
      <w:pPr>
        <w:ind w:left="-8" w:right="40" w:firstLine="8"/>
        <w:spacing w:after="0" w:line="256" w:lineRule="auto"/>
        <w:tabs>
          <w:tab w:leader="none" w:pos="72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other person associated with or acting on behalf of the Company including, without limitation, any director, officer, agent or employee of the Company or its subsidiaries, has not, directly or indirectly, while acting on behalf of the Company or its subsidiaries (i) used any corporate funds for unlawful contributions, gifts, entertainment or other unlawful expenses relating to political activity; (ii) made any unlawful payment to foreign or domestic government officials or employees or to foreign or domestic political parties or campaigns from corporate funds; (iii) violated any provision of the Foreign Corrupt Practices Act of 1977, as amended; or (iv) made any other unlawful payment.</w:t>
      </w:r>
    </w:p>
    <w:p>
      <w:pPr>
        <w:spacing w:after="0" w:line="125" w:lineRule="exact"/>
        <w:rPr>
          <w:rFonts w:ascii="Times New Roman" w:cs="Times New Roman" w:eastAsia="Times New Roman" w:hAnsi="Times New Roman"/>
          <w:sz w:val="18"/>
          <w:szCs w:val="18"/>
          <w:color w:val="auto"/>
        </w:rPr>
      </w:pPr>
    </w:p>
    <w:p>
      <w:pPr>
        <w:ind w:left="-8" w:right="60" w:firstLine="656"/>
        <w:spacing w:after="0" w:line="255" w:lineRule="auto"/>
        <w:tabs>
          <w:tab w:leader="none" w:pos="137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34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558" w:right="259" w:bottom="1440" w:gutter="0" w:footer="0" w:header="0"/>
        </w:sectPr>
      </w:pPr>
    </w:p>
    <w:bookmarkStart w:id="183" w:name="page184"/>
    <w:bookmarkEnd w:id="183"/>
    <w:p>
      <w:pPr>
        <w:ind w:left="-20" w:firstLine="656"/>
        <w:spacing w:after="0" w:line="256" w:lineRule="auto"/>
        <w:tabs>
          <w:tab w:leader="none" w:pos="13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director, officer, agent, employee or affiliate of the Company or any of its subsidiaries is currently subject to any U.S. sanctions administered by the Office of Foreign Assets Control of the U.S. Treasury Department (“OFAC”);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25" w:lineRule="exact"/>
        <w:rPr>
          <w:rFonts w:ascii="Times New Roman" w:cs="Times New Roman" w:eastAsia="Times New Roman" w:hAnsi="Times New Roman"/>
          <w:sz w:val="18"/>
          <w:szCs w:val="18"/>
          <w:color w:val="auto"/>
        </w:rPr>
      </w:pPr>
    </w:p>
    <w:p>
      <w:pPr>
        <w:jc w:val="both"/>
        <w:ind w:left="-20" w:right="200" w:firstLine="656"/>
        <w:spacing w:after="0" w:line="258" w:lineRule="auto"/>
        <w:tabs>
          <w:tab w:leader="none" w:pos="130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Statutory Prospectus and the Prospectus, the Company has not sold or issued any shares of Common Stock during the six-month period preceding the date of the Prospectus, including any sales pursuant to Rule 144A under, or Regulations D or S of, the Securities Act, other than shares issued pursuant to employee benefit plans, qualified stock options plans or other employee compensation plans or pursuant to outstanding options, rights or warrants.</w:t>
      </w:r>
    </w:p>
    <w:p>
      <w:pPr>
        <w:spacing w:after="0" w:line="122" w:lineRule="exact"/>
        <w:rPr>
          <w:rFonts w:ascii="Times New Roman" w:cs="Times New Roman" w:eastAsia="Times New Roman" w:hAnsi="Times New Roman"/>
          <w:sz w:val="18"/>
          <w:szCs w:val="18"/>
          <w:color w:val="auto"/>
        </w:rPr>
      </w:pPr>
    </w:p>
    <w:p>
      <w:pPr>
        <w:ind w:left="-20" w:right="160" w:firstLine="656"/>
        <w:spacing w:after="0" w:line="256" w:lineRule="auto"/>
        <w:tabs>
          <w:tab w:leader="none" w:pos="131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fulfilled its obligations, if any, under the minimum funding standards of Section 302 of the U.S. Employee Retirement Income Security Act of 1974 ("ERISA") and the regulations and published interpretations thereunder with respect to each "plan" as defined in Section 3(3) of ERISA and such regulations and published interpretations in which its employees are eligible to participate and each such plan is in compliance in all material respects with the presently applicable provisions of ERISA and such regulations and published interpretations. No "Reportable Event" (as defined in 12 ERISA) has occurred with respect to any "Pension Plan" (as defined in ERISA) for which the Company could have any liability.</w:t>
      </w:r>
    </w:p>
    <w:p>
      <w:pPr>
        <w:spacing w:after="0" w:line="219" w:lineRule="exact"/>
        <w:rPr>
          <w:rFonts w:ascii="Times New Roman" w:cs="Times New Roman" w:eastAsia="Times New Roman" w:hAnsi="Times New Roman"/>
          <w:sz w:val="18"/>
          <w:szCs w:val="18"/>
          <w:color w:val="auto"/>
        </w:rPr>
      </w:pPr>
    </w:p>
    <w:p>
      <w:pPr>
        <w:ind w:left="-20" w:right="100" w:firstLine="656"/>
        <w:spacing w:after="0" w:line="258" w:lineRule="auto"/>
        <w:tabs>
          <w:tab w:leader="none" w:pos="129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its directors or its officers has distributed nor will distribute prior to the later of (i) the Closing Date and (ii) completion of the distribution of the Shares and the Warrants, any offering material in connection with the offering and sale of the Shares and the Warrants other than any Preliminary Prospectus, the Prospectus, the Registration Statement and other materials, if any, permitted by the Securities Act and consistent with Section 3(d) below.</w:t>
      </w:r>
    </w:p>
    <w:p>
      <w:pPr>
        <w:spacing w:after="0" w:line="190" w:lineRule="exact"/>
        <w:rPr>
          <w:rFonts w:ascii="Times New Roman" w:cs="Times New Roman" w:eastAsia="Times New Roman" w:hAnsi="Times New Roman"/>
          <w:sz w:val="18"/>
          <w:szCs w:val="18"/>
          <w:color w:val="auto"/>
        </w:rPr>
      </w:pPr>
    </w:p>
    <w:p>
      <w:pPr>
        <w:ind w:left="-20" w:right="60" w:firstLine="656"/>
        <w:spacing w:after="0" w:line="285" w:lineRule="auto"/>
        <w:tabs>
          <w:tab w:leader="none" w:pos="13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described in the Registration Statement, the General Disclosure Package and the Prospectus, the Company and each of its subsidiaries: (A) are and at all times have been, in material compliance with all statutes, rules and regulations applicable to the ownership, testing, development, manufacture, packaging, processing, use, distribution, marketing, labeling, promotion, sale, offer for sale, storage, import, export or disposal of any product sold, under development, manufactured or distributed by the Company or any subsidiary (“Applicable Regulatory Laws”); (B) have not received any Form 483 from the United States Food and Drug Administration (“FDA”), notice of adverse finding, warning letter, or other correspondence or written notice from the FDA, the Drug Enforcement Administration (“DEA”) or any other federal, state, local, national or foreign governmental or regulatory authority alleging or asserting noncompliance with any Applicable Regulatory Laws or any licenses, certificates, approvals, clearances, authorizations, permits and supplements or amendments thereto required by any such Applicable Regulatory Laws (“Authorizations”); (C) possess all Authorizations, if any, and such Authorizations are valid and in full force and effect and neither the Company nor any subsidiary is in material violation of any term of any such Authorizations; (D) have not received written notice of any proceeding, hearing, enforcement, investigation, arbitration or other action from the FDA, the DEA, or any other federal, state, local, national or foreign governmental or regulatory authority or third party alleging that any product, operation or activity is in violation of any Applicable Regulatory Laws or Authorizations and has no knowledge that the FDA, the DEA or any other federal, state, local, national or foreign governmental or regulatory authority or third party is considering any such proceeding; (E) have not received written notice that the FDA, DEA or any other federal, state, local, national or foreign governmental or regulatory authority has taken, is taking or intends to take action to limit, suspend, modify or revoke any Authorizations and has no knowledge that the FDA, DEA or any other federal, state, local, national or foreign governmental or regulatory authority is considering such action; (F) have filed, obtained, maintained or submitted all reports, documents, forms, notices, applications, records, claims, submissions and supplements or amendments as required by any Applicable Regulatory Laws or Authorizations except where the failure to file such reports, documents, forms, notices, applications, records, claims, submissions and supplements or amendments would not result in a Material Adverse Effect on the Company and its subsidiaries, taken as a whole, and that all such reports, documents, forms, notices, applications, records, claims, submissions and supplements or amendments were complete and correct on the date filed (or were corrected or supplemented by a subsequent submission); and (G) has, and, if still pending, is, to the Company’s knowledge, conducting all clinical and preclinical studies in all material respects in accordance with experimental protocols, procedures and controls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57" w:right="239" w:bottom="1440" w:gutter="0" w:footer="0" w:header="0"/>
        </w:sectPr>
      </w:pPr>
    </w:p>
    <w:bookmarkStart w:id="184" w:name="page185"/>
    <w:bookmarkEnd w:id="184"/>
    <w:p>
      <w:pPr>
        <w:spacing w:after="0" w:line="255" w:lineRule="auto"/>
        <w:rPr>
          <w:sz w:val="20"/>
          <w:szCs w:val="20"/>
          <w:color w:val="auto"/>
        </w:rPr>
      </w:pPr>
      <w:r>
        <w:rPr>
          <w:rFonts w:ascii="Times New Roman" w:cs="Times New Roman" w:eastAsia="Times New Roman" w:hAnsi="Times New Roman"/>
          <w:sz w:val="18"/>
          <w:szCs w:val="18"/>
          <w:color w:val="auto"/>
        </w:rPr>
        <w:t>generally used by qualified experts in the clinical or preclinical study of new drugs or diagnostics as applied to comparable products to those being developed by the Company. The descriptions of the results of such studies, trials and tests contained in the Registration Statement, the Statutory Prospectus and the Prospectus are accurate and complete in all material respects, and except as set forth in the Registration Statement, the Statutory Prospectus and the Prospectus, the Company has no knowledge of any other trials, studies or tests, the results of which the Company believes reasonably calls into question the clinical trials, results described or referred to in the Registration Statement and the Prospectus when viewed in the context in which such results are described and the clinical state of development.</w:t>
      </w:r>
    </w:p>
    <w:p>
      <w:pPr>
        <w:spacing w:after="0" w:line="220" w:lineRule="exact"/>
        <w:rPr>
          <w:sz w:val="20"/>
          <w:szCs w:val="20"/>
          <w:color w:val="auto"/>
        </w:rPr>
      </w:pPr>
    </w:p>
    <w:p>
      <w:pPr>
        <w:ind w:right="440" w:firstLine="656"/>
        <w:spacing w:after="0" w:line="275" w:lineRule="auto"/>
        <w:tabs>
          <w:tab w:leader="none" w:pos="83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the Underwriters’ Obligations</w:t>
      </w:r>
      <w:r>
        <w:rPr>
          <w:rFonts w:ascii="Times New Roman" w:cs="Times New Roman" w:eastAsia="Times New Roman" w:hAnsi="Times New Roman"/>
          <w:sz w:val="18"/>
          <w:szCs w:val="18"/>
          <w:color w:val="auto"/>
        </w:rPr>
        <w:t>. The obligations of the Underwriters under this Agreement are several and not joint. The respective obligations of the Underwriters to purchase the Shares and the Warrants are subject to each of the following terms and conditions:</w:t>
      </w:r>
    </w:p>
    <w:p>
      <w:pPr>
        <w:spacing w:after="0" w:line="106" w:lineRule="exact"/>
        <w:rPr>
          <w:sz w:val="20"/>
          <w:szCs w:val="20"/>
          <w:color w:val="auto"/>
        </w:rPr>
      </w:pPr>
    </w:p>
    <w:p>
      <w:pPr>
        <w:ind w:right="100" w:firstLine="656"/>
        <w:spacing w:after="0" w:line="275" w:lineRule="auto"/>
        <w:tabs>
          <w:tab w:leader="none" w:pos="128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shall have been timely filed with the Commission in accordance with Section 4(a) of this Agreement and any material required to be filed by the Company pursuant to Rule 433(d) of the Rules shall have been timely filed with the Commission in accordance with such rule.</w:t>
      </w:r>
    </w:p>
    <w:p>
      <w:pPr>
        <w:spacing w:after="0" w:line="173" w:lineRule="exact"/>
        <w:rPr>
          <w:rFonts w:ascii="Times New Roman" w:cs="Times New Roman" w:eastAsia="Times New Roman" w:hAnsi="Times New Roman"/>
          <w:sz w:val="18"/>
          <w:szCs w:val="18"/>
          <w:color w:val="auto"/>
        </w:rPr>
      </w:pPr>
    </w:p>
    <w:p>
      <w:pPr>
        <w:ind w:right="60" w:firstLine="656"/>
        <w:spacing w:after="0" w:line="254" w:lineRule="auto"/>
        <w:tabs>
          <w:tab w:leader="none" w:pos="13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preventing or suspending the use of any Preliminary Prospectus, the Prospectus or any “free writing prospectus” (as defined in Rule 405 of the Rules) shall have been or shall be in effect and no order suspending the effectiveness of the Registration Statement shall be in effect and no proceedings for such purpose shall be pending before or threatened by the Commission, and any requests for additional information on the part of the Commission (to be included in the Registration Statement or the Prospectus or otherwise) shall have been complied with to the satisfaction of the Commission and the Representative. If the Company has elected to rely upon Rule 430B, Rule 430B information previously omitted from the effective Registration Statement pursuant to Rule 430B shall have been transmitted to the Commission for filing pursuant to Rule 424(b) within the prescribed time period and the Company shall have provided evidence satisfactory to the Representative of such timely filing, or a post-effective amendment providing such information shall have been promptly filed and declared effective in accordance with the requirements of Rule 430B.</w:t>
      </w:r>
    </w:p>
    <w:p>
      <w:pPr>
        <w:spacing w:after="0" w:line="124" w:lineRule="exact"/>
        <w:rPr>
          <w:rFonts w:ascii="Times New Roman" w:cs="Times New Roman" w:eastAsia="Times New Roman" w:hAnsi="Times New Roman"/>
          <w:sz w:val="18"/>
          <w:szCs w:val="18"/>
          <w:color w:val="auto"/>
        </w:rPr>
      </w:pPr>
    </w:p>
    <w:p>
      <w:pPr>
        <w:jc w:val="both"/>
        <w:ind w:right="100" w:firstLine="656"/>
        <w:spacing w:after="0" w:line="262" w:lineRule="auto"/>
        <w:tabs>
          <w:tab w:leader="none" w:pos="128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in this Agreement and in the certificate delivered pursuant to Section 3(d) shall be true and correct when made and on and as of the Closing Date as if made on such date. The Company shall have performed all covenants and agreements and satisfied all the conditions contained in this Agreement required to be performed or satisfied by them at or before the Closing Date.</w:t>
      </w:r>
    </w:p>
    <w:p>
      <w:pPr>
        <w:spacing w:after="0" w:line="118" w:lineRule="exact"/>
        <w:rPr>
          <w:rFonts w:ascii="Times New Roman" w:cs="Times New Roman" w:eastAsia="Times New Roman" w:hAnsi="Times New Roman"/>
          <w:sz w:val="18"/>
          <w:szCs w:val="18"/>
          <w:color w:val="auto"/>
        </w:rPr>
      </w:pPr>
    </w:p>
    <w:p>
      <w:pPr>
        <w:ind w:right="20" w:firstLine="656"/>
        <w:spacing w:after="0" w:line="252" w:lineRule="auto"/>
        <w:tabs>
          <w:tab w:leader="none" w:pos="129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shall have received on the Closing Date a certificate, addressed to the Representative and dated the Closing Date, of the chief executive or chief operating officer and the chief financial officer or chief accounting officer of the Company to the effect that: (i) the representations, warranties and agreements of the Company in this Agreement were true and correct when made and are true and correct as of the Closing Date; (ii) the Company has performed all covenants and agreements and satisfied all conditions contained herein; (iii) they have carefully examined the Registration Statement, the Prospectus, the General Disclosure Package and any Issuer Free Writing Prospectus, and in their opinion (A) as of the Effective Date the Registration Statement and Prospectus did not include, and as of the Applicable Time, neither (i) the General Disclosure Package, nor (ii) any individual Issuer Free Writing Prospectus, when considered together with the General Disclosure Package, included any untrue statement of a material fact and did not omit to state a material fact required to be stated therein or necessary to make the statements therein, in light of the circumstances under which they were made, not misleading, and (B) since the Effective Date no event has occurred which should have been set forth in a supplement or otherwise required an amendment to the Registration Statement, the Statutory Prospectus or the Prospectus; (iv) no stop order suspending the effectiveness of the Registration Statement has been issued and, to their knowledge, no proceedings for that purpose have been instituted or are pending under the Securities Act and (v) there has not occurred any material adverse change in the assets, properties, condition, financial or otherwise, or in the results of operations, business affairs or business prospects of the Company and its subsidiaries considered as a whole.</w:t>
      </w: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185" w:name="page186"/>
    <w:bookmarkEnd w:id="185"/>
    <w:p>
      <w:pPr>
        <w:ind w:left="-20" w:firstLine="656"/>
        <w:spacing w:after="0" w:line="254" w:lineRule="auto"/>
        <w:tabs>
          <w:tab w:leader="none" w:pos="126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shall have received: (i) simultaneously with the execution of this Agreement a signed letter from the Auditor addressed to the Representative and dated the date of this Agreement, in form and substance reasonably satisfactory to the Representative , containing statements and information of the type ordinarily included in accountants’ “comfort letters” to underwriters with respect to the financial statements and certain financial information contained in the Registration Statement and the Disclosure Package, and (ii) on the Closing Date, a signed letter from the Auditor addressed to the Representative and dated the date of the Closing Date, in form and substance reasonably satisfactory to the Representative containing statements and information of the type ordinarily included in accountants' "comfort letters" to underwriters with respect to the financial statements and certain financial information contained in the Registration Statement and the Prospectus.</w:t>
      </w:r>
    </w:p>
    <w:p>
      <w:pPr>
        <w:spacing w:after="0" w:line="127" w:lineRule="exact"/>
        <w:rPr>
          <w:rFonts w:ascii="Times New Roman" w:cs="Times New Roman" w:eastAsia="Times New Roman" w:hAnsi="Times New Roman"/>
          <w:sz w:val="18"/>
          <w:szCs w:val="18"/>
          <w:color w:val="auto"/>
        </w:rPr>
      </w:pPr>
    </w:p>
    <w:p>
      <w:pPr>
        <w:ind w:left="-20" w:right="60" w:firstLine="656"/>
        <w:spacing w:after="0" w:line="262" w:lineRule="auto"/>
        <w:tabs>
          <w:tab w:leader="none" w:pos="124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shall have received on the Closing Date from Disclosure Law Group, a Professional Corporation, counsel for the Company, an opinion and negative assurance statement, addressed to the Representative and dated the Closing Date, in form and substance reasonably satisfactory to the Representative.</w:t>
      </w:r>
    </w:p>
    <w:p>
      <w:pPr>
        <w:spacing w:after="0" w:line="118" w:lineRule="exact"/>
        <w:rPr>
          <w:rFonts w:ascii="Times New Roman" w:cs="Times New Roman" w:eastAsia="Times New Roman" w:hAnsi="Times New Roman"/>
          <w:sz w:val="18"/>
          <w:szCs w:val="18"/>
          <w:color w:val="auto"/>
        </w:rPr>
      </w:pPr>
    </w:p>
    <w:p>
      <w:pPr>
        <w:ind w:left="-20" w:right="200" w:firstLine="656"/>
        <w:spacing w:after="0" w:line="262" w:lineRule="auto"/>
        <w:tabs>
          <w:tab w:leader="none" w:pos="127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shall have received on the Closing Date from Reid Adler, Esq., intellectual property counsel for the Company, an opinion and negative assurance statement, addressed to the Representative and dated the Closing Date, in form and substance reasonably satisfactory to the Representative.</w:t>
      </w:r>
    </w:p>
    <w:p>
      <w:pPr>
        <w:spacing w:after="0" w:line="119" w:lineRule="exact"/>
        <w:rPr>
          <w:sz w:val="20"/>
          <w:szCs w:val="20"/>
          <w:color w:val="auto"/>
        </w:rPr>
      </w:pPr>
    </w:p>
    <w:p>
      <w:pPr>
        <w:ind w:left="-20" w:right="260" w:firstLine="700"/>
        <w:spacing w:after="0" w:line="339" w:lineRule="auto"/>
        <w:tabs>
          <w:tab w:leader="none" w:pos="1313"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Representative shall have received on the Closing Date from Lowenstein Sandler LLP, counsel for the Representative, an opinion and negative assurance statement, addressed to the Representative and dated the Closing Date, in form and substance reasonably satisfactory to the Representative.</w:t>
      </w:r>
    </w:p>
    <w:p>
      <w:pPr>
        <w:spacing w:after="0" w:line="60" w:lineRule="exact"/>
        <w:rPr>
          <w:rFonts w:ascii="Times New Roman" w:cs="Times New Roman" w:eastAsia="Times New Roman" w:hAnsi="Times New Roman"/>
          <w:sz w:val="16"/>
          <w:szCs w:val="16"/>
          <w:color w:val="auto"/>
        </w:rPr>
      </w:pPr>
    </w:p>
    <w:p>
      <w:pPr>
        <w:ind w:left="-20" w:right="40" w:firstLine="656"/>
        <w:spacing w:after="0" w:line="275" w:lineRule="auto"/>
        <w:tabs>
          <w:tab w:leader="none" w:pos="122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proceedings taken in connection with the sale of the Shares and the Warrants as herein contemplated shall be reasonably satisfactory in form and substance to the Representative and its counsel.</w:t>
      </w:r>
    </w:p>
    <w:p>
      <w:pPr>
        <w:spacing w:after="0" w:line="106" w:lineRule="exact"/>
        <w:rPr>
          <w:rFonts w:ascii="Times New Roman" w:cs="Times New Roman" w:eastAsia="Times New Roman" w:hAnsi="Times New Roman"/>
          <w:sz w:val="18"/>
          <w:szCs w:val="18"/>
          <w:color w:val="auto"/>
        </w:rPr>
      </w:pPr>
    </w:p>
    <w:p>
      <w:pPr>
        <w:ind w:left="-20" w:right="60" w:firstLine="656"/>
        <w:spacing w:after="0" w:line="275" w:lineRule="auto"/>
        <w:tabs>
          <w:tab w:leader="none" w:pos="123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execution and delivery of this Agreement, the Representative shall have received copies of the Lock-up Agreements executed by each entity or person listed on Schedule II hereto.</w:t>
      </w:r>
    </w:p>
    <w:p>
      <w:pPr>
        <w:spacing w:after="0" w:line="106" w:lineRule="exact"/>
        <w:rPr>
          <w:rFonts w:ascii="Times New Roman" w:cs="Times New Roman" w:eastAsia="Times New Roman" w:hAnsi="Times New Roman"/>
          <w:sz w:val="18"/>
          <w:szCs w:val="18"/>
          <w:color w:val="auto"/>
        </w:rPr>
      </w:pPr>
    </w:p>
    <w:p>
      <w:pPr>
        <w:ind w:left="-20" w:right="60" w:firstLine="656"/>
        <w:spacing w:after="0" w:line="262" w:lineRule="auto"/>
        <w:tabs>
          <w:tab w:leader="none" w:pos="126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submitted a Notification Form: Listing of Additional Shares Application with the Nasdaq Capital Market with respect to the Shares and Warrant Shares and the Nasdaq Capital Market shall have raised no objection with respect to the listing of the Shares and the Warrant Shares which has not been resolved to the reasonable satisfaction of the Representative on or before the Closing Date.</w:t>
      </w:r>
    </w:p>
    <w:p>
      <w:pPr>
        <w:spacing w:after="0" w:line="145" w:lineRule="exact"/>
        <w:rPr>
          <w:rFonts w:ascii="Times New Roman" w:cs="Times New Roman" w:eastAsia="Times New Roman" w:hAnsi="Times New Roman"/>
          <w:sz w:val="18"/>
          <w:szCs w:val="18"/>
          <w:color w:val="auto"/>
        </w:rPr>
      </w:pPr>
    </w:p>
    <w:p>
      <w:pPr>
        <w:ind w:left="-20" w:right="60" w:firstLine="656"/>
        <w:spacing w:after="0" w:line="288" w:lineRule="auto"/>
        <w:tabs>
          <w:tab w:leader="none" w:pos="1243"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Representative shall be reasonably satisfied that since the respective dates as of which information is given in the Registration Statement, the Statutory Prospectus, the General Disclosure Package and the Prospectus, (i) there shall not have been any material change in the capital stock of the Company or any material change in the indebtedness (other than in the ordinary course of business) of the Company, (ii) except as set forth or contemplated by the Registration Statement, the Statutory Prospectus, the General Disclosure Package or the Prospectus, no material oral or written agreement or other transaction shall have been entered into by the Company that is not in the ordinary course of business or that could reasonably be expected to result in a material reduction in the future earnings of the Company, (iii) no loss or damage (whether or not insured) to the property of the Company shall have been sustained that had or could reasonably be expected to have a Material Adverse Effect, (iv) no legal or governmental action, suit or proceeding affecting the Company or any of its properties that is material to the Company or that affects or could reasonably be expected to affect the transactions contemplated by this Agreement shall have been instituted or threatened and (v) there shall not have been any material change in the assets, properties, condition (financial or otherwise), or in the results of operations, business affairs or business prospects of the Company or its subsidiaries considered as a whole that makes it impractical or inadvisable in the Representative’s judgment to proceed with the purchase or offering of the Shares and the Warrants as contemplated hereby.</w:t>
      </w:r>
    </w:p>
    <w:p>
      <w:pPr>
        <w:spacing w:after="0" w:line="317" w:lineRule="exact"/>
        <w:rPr>
          <w:rFonts w:ascii="Times New Roman" w:cs="Times New Roman" w:eastAsia="Times New Roman" w:hAnsi="Times New Roman"/>
          <w:sz w:val="16"/>
          <w:szCs w:val="16"/>
          <w:color w:val="auto"/>
        </w:rPr>
      </w:pPr>
    </w:p>
    <w:p>
      <w:pPr>
        <w:ind w:left="-20" w:right="40" w:firstLine="656"/>
        <w:spacing w:after="0" w:line="275" w:lineRule="auto"/>
        <w:tabs>
          <w:tab w:leader="none" w:pos="132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Closing Date, FINRA shall have confirmed that it has not raised any objection with respect to the fairness and reasonableness of the underwriting terms and agreements in connection with the offering of the Shares and the Warrants.</w:t>
      </w:r>
    </w:p>
    <w:p>
      <w:pPr>
        <w:spacing w:after="0" w:line="106" w:lineRule="exact"/>
        <w:rPr>
          <w:rFonts w:ascii="Times New Roman" w:cs="Times New Roman" w:eastAsia="Times New Roman" w:hAnsi="Times New Roman"/>
          <w:sz w:val="18"/>
          <w:szCs w:val="18"/>
          <w:color w:val="auto"/>
        </w:rPr>
      </w:pPr>
    </w:p>
    <w:p>
      <w:pPr>
        <w:ind w:left="-20" w:right="100" w:firstLine="656"/>
        <w:spacing w:after="0" w:line="275" w:lineRule="auto"/>
        <w:tabs>
          <w:tab w:leader="none" w:pos="126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or caused to be furnished to the Representative such further certificates or documents as the Representative shall have reasonably requested.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57" w:right="239" w:bottom="1440" w:gutter="0" w:footer="0" w:header="0"/>
        </w:sectPr>
      </w:pPr>
    </w:p>
    <w:bookmarkStart w:id="186" w:name="page187"/>
    <w:bookmarkEnd w:id="186"/>
    <w:p>
      <w:pPr>
        <w:ind w:left="184" w:hanging="184"/>
        <w:spacing w:after="0"/>
        <w:tabs>
          <w:tab w:leader="none" w:pos="18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and other Agreements of the Company and the Underwriters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24" w:hanging="624"/>
        <w:spacing w:after="0"/>
        <w:tabs>
          <w:tab w:leader="none" w:pos="62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as follows:</w:t>
      </w:r>
    </w:p>
    <w:p>
      <w:pPr>
        <w:spacing w:after="0" w:line="157" w:lineRule="exact"/>
        <w:rPr>
          <w:rFonts w:ascii="Times New Roman" w:cs="Times New Roman" w:eastAsia="Times New Roman" w:hAnsi="Times New Roman"/>
          <w:sz w:val="18"/>
          <w:szCs w:val="18"/>
          <w:color w:val="auto"/>
        </w:rPr>
      </w:pPr>
    </w:p>
    <w:p>
      <w:pPr>
        <w:ind w:left="4" w:right="260" w:firstLine="645"/>
        <w:spacing w:after="0" w:line="258" w:lineRule="auto"/>
        <w:tabs>
          <w:tab w:leader="none" w:pos="103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prepare the Prospectus in a form approved by the Representative and file such Prospectus pursuant to Rule 424(b) under the Securities Act not later than the Commission's close of business on the second business day following the execution and delivery of this Agreement, or, if applicable, such earlier time as may be required by the Rules. The Company will file with the Commission all Issuer Free Writing Prospectuses in the time and manner required under Rules 433(d) or 163(b)(2) as the case may be.</w:t>
      </w:r>
    </w:p>
    <w:p>
      <w:pPr>
        <w:spacing w:after="0" w:line="149" w:lineRule="exact"/>
        <w:rPr>
          <w:rFonts w:ascii="Times New Roman" w:cs="Times New Roman" w:eastAsia="Times New Roman" w:hAnsi="Times New Roman"/>
          <w:sz w:val="18"/>
          <w:szCs w:val="18"/>
          <w:color w:val="auto"/>
        </w:rPr>
      </w:pPr>
    </w:p>
    <w:p>
      <w:pPr>
        <w:ind w:left="4" w:firstLine="645"/>
        <w:spacing w:after="0" w:line="253" w:lineRule="auto"/>
        <w:tabs>
          <w:tab w:leader="none" w:pos="105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advise the Representative in writing (A) when any post-effective amendment to the Registration Statement shall have become effective or any supplement to the Prospectus shall have been filed, (B) of any request by the Commission for any amendment of the Registration Statement or the Prospectus or for any additional information, (C) of the issuance by the Commission of any stop order suspending the effectiveness of the Registration Statement or of any order preventing or suspending the use of any preliminary prospectus or any “free writing prospectus,” as defined in Rule 405 of the Rules, or the institution or threatening of any proceeding for that purpose and (D) of the receipt by the Company of any notification with respect to the suspension of the qualification of the Securities for sale in any jurisdiction or the initiation or threatening of any proceeding for such purpose. The Company shall not file any amendment of the Registration Statement or supplement to the Prospectus, or any Issuer Free Writing Prospectus unless the Company has furnished the Representative a copy for its review prior to filing and shall not file any such proposed amendment or supplement to which the Representative reasonably objects. The Company shall use its best efforts to prevent the issuance of any such stop order and, if issued, to obtain as soon as possible the withdrawal thereof.</w:t>
      </w:r>
    </w:p>
    <w:p>
      <w:pPr>
        <w:spacing w:after="0" w:line="154" w:lineRule="exact"/>
        <w:rPr>
          <w:rFonts w:ascii="Times New Roman" w:cs="Times New Roman" w:eastAsia="Times New Roman" w:hAnsi="Times New Roman"/>
          <w:sz w:val="18"/>
          <w:szCs w:val="18"/>
          <w:color w:val="auto"/>
        </w:rPr>
      </w:pPr>
    </w:p>
    <w:p>
      <w:pPr>
        <w:ind w:left="4" w:right="180" w:firstLine="645"/>
        <w:spacing w:after="0" w:line="293" w:lineRule="auto"/>
        <w:tabs>
          <w:tab w:leader="none" w:pos="1057"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 any time when a prospectus relating to the Securities (or, in lieu thereof, the notice referred to in Rule 173(a) of the Rules) is required to be delivered under the Securities Act and any event occurs as a result of which the Prospectus as then amended or supplemented would include any untrue statement of a material fact or omit to state any material fact necessary to make the statements therein in the light of the circumstances under which they were made not misleading, or if it shall be necessary to amend or supplement the Prospectus to comply with the Securities Act or the Rules, the Company promptly shall prepare and file with the Commission, subject to the second sentence of paragraph (ii) of this Section 4(a), an amendment or supplement which shall correct such statement or omission or an amendment which shall effect such compliance.</w:t>
      </w:r>
    </w:p>
    <w:p>
      <w:pPr>
        <w:spacing w:after="0" w:line="124" w:lineRule="exact"/>
        <w:rPr>
          <w:rFonts w:ascii="Times New Roman" w:cs="Times New Roman" w:eastAsia="Times New Roman" w:hAnsi="Times New Roman"/>
          <w:sz w:val="16"/>
          <w:szCs w:val="16"/>
          <w:color w:val="auto"/>
        </w:rPr>
      </w:pPr>
    </w:p>
    <w:p>
      <w:pPr>
        <w:ind w:left="4" w:right="220" w:firstLine="645"/>
        <w:spacing w:after="0" w:line="296" w:lineRule="auto"/>
        <w:tabs>
          <w:tab w:leader="none" w:pos="1091"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 any time following issuance of an Issuer Free Writing Prospectus there occurs an event or development as a result of which such Issuer Free Writing Prospectus would conflict with the information contained in the Registration Statement or would include an untrue statement of a material fact or would omit to state a material fact required to be stated therein or necessary in order to make the statements therein, in the light of the circumstances prevailing at the subsequent time, not misleading, the Company will promptly notify the Representative and will promptly amend or supplement, at its own expense, such Issuer Free Writing Prospectus to eliminate or correct such conflict, untrue statement or omission.</w:t>
      </w:r>
    </w:p>
    <w:p>
      <w:pPr>
        <w:spacing w:after="0" w:line="310"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24"/>
          </w:cols>
          <w:pgMar w:left="896" w:top="584" w:right="279" w:bottom="1440" w:gutter="0" w:footer="0" w:header="0"/>
        </w:sectPr>
      </w:pPr>
    </w:p>
    <w:bookmarkStart w:id="187" w:name="page188"/>
    <w:bookmarkEnd w:id="187"/>
    <w:p>
      <w:pPr>
        <w:jc w:val="both"/>
        <w:ind w:left="-540" w:firstLine="645"/>
        <w:spacing w:after="0" w:line="258" w:lineRule="auto"/>
        <w:tabs>
          <w:tab w:leader="none" w:pos="54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make generally available to its security holders and to the Representative as soon as practicable, but not later than 45 days after the end of the 12-month period beginning at the end of the fiscal quarter of the Company during which the Effective Date occurs (or 90 days if such 12-month period coincides with the Company's fiscal year), an earning statement (which need not be audited) of the Company, covering such 12-month period, which shall satisfy the provisions of Section 11(a) of the Securities Act or Rule 158 of the Rules.</w:t>
      </w:r>
    </w:p>
    <w:p>
      <w:pPr>
        <w:spacing w:after="0" w:line="149" w:lineRule="exact"/>
        <w:rPr>
          <w:rFonts w:ascii="Times New Roman" w:cs="Times New Roman" w:eastAsia="Times New Roman" w:hAnsi="Times New Roman"/>
          <w:sz w:val="18"/>
          <w:szCs w:val="18"/>
          <w:color w:val="auto"/>
        </w:rPr>
      </w:pPr>
    </w:p>
    <w:p>
      <w:pPr>
        <w:ind w:left="-540" w:right="100" w:firstLine="645"/>
        <w:spacing w:after="0" w:line="254" w:lineRule="auto"/>
        <w:tabs>
          <w:tab w:leader="none" w:pos="54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furnish to the Representative and its counsel, without charge, signed copies of the Registration Statement (including all exhibits thereto and amendments thereof) and to each other Underwriter a copy of the Registration Statement (without exhibits thereto) and all amendments thereof and, so long as delivery of a prospectus by an Underwriter or dealer may be required by the Securities Act or the Rules, as many copies of any Preliminary Prospectus, any Issuer Free Writing Prospectus and the Prospectus and any amendments thereof and supplements thereto as the Representative may reasonably request. If applicable, the copies of the Registration Statement, preliminary prospectus, any Issuer Free Writing Prospectus and Prospectus and each amendment and supplement thereto furnished to the Underwriters will be identical to the electronically transmitted copies thereof filed with the Commission pursuant to EDGAR, except to the extent permitted by Regulation S-T.</w:t>
      </w:r>
    </w:p>
    <w:p>
      <w:pPr>
        <w:spacing w:after="0" w:line="154" w:lineRule="exact"/>
        <w:rPr>
          <w:rFonts w:ascii="Times New Roman" w:cs="Times New Roman" w:eastAsia="Times New Roman" w:hAnsi="Times New Roman"/>
          <w:sz w:val="18"/>
          <w:szCs w:val="18"/>
          <w:color w:val="auto"/>
        </w:rPr>
      </w:pPr>
    </w:p>
    <w:p>
      <w:pPr>
        <w:ind w:left="-540" w:right="100" w:firstLine="645"/>
        <w:spacing w:after="0" w:line="256" w:lineRule="auto"/>
        <w:tabs>
          <w:tab w:leader="none" w:pos="55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cooperate with the Representative and its counsel in endeavoring to qualify the Securities for offer and sale in connection with the offering under the laws of such jurisdictions as the Representative may designate and shall maintain such qualifications in effect so long as required for the distribution of the Shares and the Warrants; provided, however, that the Company shall not be required in connection therewith, as a condition thereof, to qualify as a foreign corporation or to execute a general consent to service of process in any jurisdiction or subject itself to taxation as doing business in any jurisdiction.</w:t>
      </w:r>
    </w:p>
    <w:p>
      <w:pPr>
        <w:spacing w:after="0" w:line="152" w:lineRule="exact"/>
        <w:rPr>
          <w:rFonts w:ascii="Times New Roman" w:cs="Times New Roman" w:eastAsia="Times New Roman" w:hAnsi="Times New Roman"/>
          <w:sz w:val="18"/>
          <w:szCs w:val="18"/>
          <w:color w:val="auto"/>
        </w:rPr>
      </w:pPr>
    </w:p>
    <w:p>
      <w:pPr>
        <w:ind w:left="-540" w:right="60" w:firstLine="645"/>
        <w:spacing w:after="0" w:line="258" w:lineRule="auto"/>
        <w:tabs>
          <w:tab w:leader="none" w:pos="55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during the period when the Prospectus (or in lieu thereof, the notice referred to in Rule 173(a) of the Rules) is required to be delivered under the Securities Act and the Rules or the Exchange Act, will file all reports and other documents required to be filed with the Commission pursuant to Section 13, 14 or 15 of the Exchange Act within the time periods required by the Exchange Act and the regulations promulgated thereunder.</w:t>
      </w:r>
    </w:p>
    <w:p>
      <w:pPr>
        <w:spacing w:after="0" w:line="149" w:lineRule="exact"/>
        <w:rPr>
          <w:rFonts w:ascii="Times New Roman" w:cs="Times New Roman" w:eastAsia="Times New Roman" w:hAnsi="Times New Roman"/>
          <w:sz w:val="18"/>
          <w:szCs w:val="18"/>
          <w:color w:val="auto"/>
        </w:rPr>
      </w:pPr>
    </w:p>
    <w:p>
      <w:pPr>
        <w:ind w:left="-540" w:right="40" w:firstLine="645"/>
        <w:spacing w:after="0" w:line="252" w:lineRule="auto"/>
        <w:tabs>
          <w:tab w:leader="none" w:pos="59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the Representative, for a period of 90 days after the date of this Agreement, the Company shall not issue, sell or register with the Commission (other than on Form S-8 or on any successor form), or otherwise dispose of, directly or indirectly, any equity securities of the Company (or any securities convertible into, exercisable for or exchangeable for equity securities of the Company), except for (i) the issuance of the Securities pursuant to the Registration Statement; (ii) the issuance of shares pursuant to the Company's existing stock option plan or bonus plan as described in the Registration Statement and the Prospectus; and (iii) the issuance of up to [______] shares of unregistered Common Stock to consultants or other third parties in satisfaction of accounts payable. In the event that during this period, (A) any shares are issued pursuant to the Company's existing stock option plan or bonus plan that are exercisable during such 90 day period or (B) any registration is effected on Form S-8 or on any successor form relating to shares that are exercisable during such 90 day period, the Company shall obtain the written agreement of such grantee or purchaser or holder of such registered securities that, for a period of 90 days after the date of this Agreement, such person will not, without the prior written consent of the Representative, offer for sale, sell, distribute, grant any option for the sale of, or otherwise dispose of, directly or indirectly, or exercise any registration rights with respect to, any shares of Common Stock (or any securities convertible into, exercisable for, or exchangeable for any shares of Common Stock) owned by such person. Notwithstanding the foregoing, the Company represents and warrants that each such grantee or purchaser or holder of such registered securities shall be subject to similar lockup restrictions as set forth on Exhibit A attached hereto and the Company shall enforce such rights and impose stop-transfer restrictions on any such sale or other transfer or disposition of such shares until the end of the applicable period.</w:t>
      </w:r>
    </w:p>
    <w:p>
      <w:pPr>
        <w:spacing w:after="0" w:line="27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1440" w:top="585" w:right="259" w:bottom="1440" w:gutter="0" w:footer="0" w:header="0"/>
        </w:sectPr>
      </w:pPr>
    </w:p>
    <w:bookmarkStart w:id="188" w:name="page189"/>
    <w:bookmarkEnd w:id="188"/>
    <w:p>
      <w:pPr>
        <w:ind w:left="1760" w:hanging="475"/>
        <w:spacing w:after="0"/>
        <w:tabs>
          <w:tab w:leader="none" w:pos="1760"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before completion of this offering, the Company shall make all filings required under applicable securities laws and by the Nasdaq</w:t>
      </w:r>
    </w:p>
    <w:p>
      <w:pPr>
        <w:spacing w:after="0" w:line="44"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Capital Market.</w:t>
      </w:r>
    </w:p>
    <w:p>
      <w:pPr>
        <w:spacing w:after="0" w:line="172" w:lineRule="exact"/>
        <w:rPr>
          <w:rFonts w:ascii="Times New Roman" w:cs="Times New Roman" w:eastAsia="Times New Roman" w:hAnsi="Times New Roman"/>
          <w:sz w:val="16"/>
          <w:szCs w:val="16"/>
          <w:color w:val="auto"/>
        </w:rPr>
      </w:pPr>
    </w:p>
    <w:p>
      <w:pPr>
        <w:ind w:left="640" w:right="140" w:firstLine="645"/>
        <w:spacing w:after="0" w:line="258" w:lineRule="auto"/>
        <w:tabs>
          <w:tab w:leader="none" w:pos="1771"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the Company will issue no press release or other communications directly or indirectly and hold no press conference with respect to the Company, the condition, financial or otherwise, or the earnings, business affairs or business prospects of any of them, or the offering of the Securities without the prior written consent of the Representative unless in the judgment of the Company and its counsel, and after notification to the Representative, such press release or communication is required by law.</w:t>
      </w:r>
    </w:p>
    <w:p>
      <w:pPr>
        <w:spacing w:after="0" w:line="149" w:lineRule="exact"/>
        <w:rPr>
          <w:rFonts w:ascii="Times New Roman" w:cs="Times New Roman" w:eastAsia="Times New Roman" w:hAnsi="Times New Roman"/>
          <w:sz w:val="18"/>
          <w:szCs w:val="18"/>
          <w:color w:val="auto"/>
        </w:rPr>
      </w:pPr>
    </w:p>
    <w:p>
      <w:pPr>
        <w:ind w:left="640" w:right="660" w:firstLine="645"/>
        <w:spacing w:after="0" w:line="275" w:lineRule="auto"/>
        <w:tabs>
          <w:tab w:leader="none" w:pos="1688"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apply the net proceeds from the offering of the Shares and the Warrants in the manner set forth under "Use of Proceeds" in the Prospectus.</w:t>
      </w:r>
    </w:p>
    <w:p>
      <w:pPr>
        <w:spacing w:after="0" w:line="106" w:lineRule="exact"/>
        <w:rPr>
          <w:rFonts w:ascii="Times New Roman" w:cs="Times New Roman" w:eastAsia="Times New Roman" w:hAnsi="Times New Roman"/>
          <w:sz w:val="18"/>
          <w:szCs w:val="18"/>
          <w:color w:val="auto"/>
        </w:rPr>
      </w:pPr>
    </w:p>
    <w:p>
      <w:pPr>
        <w:ind w:left="-20" w:right="20" w:firstLine="656"/>
        <w:spacing w:after="0" w:line="251" w:lineRule="auto"/>
        <w:tabs>
          <w:tab w:leader="none" w:pos="127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or reimburse if paid by the Representative, whether or not the transactions contemplated hereby are consummated or this Agreement is terminated, all costs and expenses incident to the public offering of the Securities and the performance of the obligations of the Company under this Agreement including those relating to: (i) the preparation, printing, reproduction filing and distribution of the Registration Statement including all exhibits thereto, each Preliminary Prospectus, the Prospectus, any Issuer Free Writing Prospectus, all amendments and supplements thereto, and the printing, filing and distribution of this Agreement; (ii) the preparation and delivery of certificates for the Warrants to or as directed by the Underwriters (iii) the registration or qualification of the Securities for offer and sale under the securities or Blue Sky laws of the various jurisdictions referred to in Section 4(a)(vii) of this Agreement, including the reasonable fees and disbursements of counsel for the Representative in connection with such registration and qualification and the preparation, printing, distribution and shipment of preliminary and supplementary Blue Sky memoranda; (iv) the furnishing (including costs of shipping and mailing) to the Underwriters of copies of each Preliminary Prospectus, the Prospectus and all amendments or supplements to the Prospectus, any Issuer Free Writing Prospectus and of the several documents required by this Section to be so furnished, as may be reasonably requested for use in connection with the offering and sale of the Shares and the Warrants by the Underwriters or by dealers to whom Shares and Warrants may be sold; (v) the filing fees of FINRA in connection with its review of the terms of the public offering and reasonable fees and disbursements of counsel for the Representative in connection with such review; (vi) listing of the Shares and the Warrant Shares on the Nasdaq Capital Market; and (vii) all transfer taxes, if any, with respect to the sale and delivery of the Shares and the Warrants by the Company to the Underwriters. The Company will reimburse the Representative for its reasonable expenses, in an amount not to exceed $20,000 without prior written approval by the Company, and will reimburse the Representative for legal fees and disbursements, in connection with the purchase and sale of the Shares and the Warrants contemplated hereby in an amount not to exceed $125,000 (including amounts payable pursuant to clauses (iii) and (v) above). Subject to the provisions of Section 7, the Underwriters agree to pay, whether or not the transactions contemplated hereby are consummated or this Agreement is terminated, all costs and expenses incident to the performance of the obligations of the Underwriters under this Agreement not payable by the Company pursuant to this paragraph, including, without limitation, the fees and disbursements of counsel for the Underwriters in excess of the Company’s reimbursement obligation as set forth above</w:t>
      </w:r>
    </w:p>
    <w:p>
      <w:pPr>
        <w:spacing w:after="0" w:line="208" w:lineRule="exact"/>
        <w:rPr>
          <w:rFonts w:ascii="Times New Roman" w:cs="Times New Roman" w:eastAsia="Times New Roman" w:hAnsi="Times New Roman"/>
          <w:sz w:val="18"/>
          <w:szCs w:val="18"/>
          <w:color w:val="auto"/>
        </w:rPr>
      </w:pPr>
    </w:p>
    <w:p>
      <w:pPr>
        <w:ind w:left="-20" w:right="40" w:firstLine="656"/>
        <w:spacing w:after="0" w:line="253" w:lineRule="auto"/>
        <w:tabs>
          <w:tab w:leader="none" w:pos="86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each of the Underwriters has acted and is acting solely in the capacity of a principal in an arm’s length transaction between the Company, on the one hand, and the Underwriters, on the other hand, with respect to the offering of the Shares and the Warrants contemplated hereby (including in connection with determining the terms of the offering) and not as a financial advisor, agent or fiduciary to the Company or any other person. Additionally, the Company acknowledges and agrees that the Underwriters have not and will not advise the Company or any other person as to any legal, tax, investment, accounting or regulatory matters in any jurisdiction. The Company has consulted with its own advisors concerning such matters and shall be responsible for making its own independent investigation and appraisal of the transactions contemplated hereby, and the Underwriters shall have no responsibility or liability to the Company or any other person with respect thereto, whether arising prior to or after the date hereof. Any review by the Underwriters of the Company, the transactions contemplated hereby or other matters relating to such transactions have been and will be performed solely for the benefit of the Underwriters and shall not be on behalf of the Company. The Company agrees that it will not claim that the Underwriters, or any of them, has rendered advisory services of any nature or respect, or owes a fiduciary duty to the Company or any other person in connection with any such transaction or the process leading thereto</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85" w:right="259" w:bottom="1440" w:gutter="0" w:footer="0" w:header="0"/>
        </w:sectPr>
      </w:pPr>
    </w:p>
    <w:bookmarkStart w:id="189" w:name="page190"/>
    <w:bookmarkEnd w:id="189"/>
    <w:p>
      <w:pPr>
        <w:ind w:left="-20" w:right="60" w:firstLine="656"/>
        <w:spacing w:after="0" w:line="255" w:lineRule="auto"/>
        <w:tabs>
          <w:tab w:leader="none" w:pos="127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agrees that, unless it obtains the prior consent of the Representative, and the Representative represents and agrees that, unless it obtains the prior consent of the Company, it has not made and will not make any offer relating to the Shares that would constitute an “issuer free writing prospectus,” as defined in Rule 433, or that would otherwise constitute a “free writing prospectus,” as defined in Rule 405, required to be filed with the Commission. The Company has complied and will comply with the requirements of Rule 433 under the Act applicable to any Issuer Free Writing Prospectus, including timely filing with the Commission where required, legending and record keeping. The Company represents that is has satisfied and agrees that it will satisfy the conditions set forth in Rule 433 of the Rules to avoid a requirement to file with the Commission any Road Show.</w:t>
      </w:r>
    </w:p>
    <w:p>
      <w:pPr>
        <w:spacing w:after="0" w:line="153" w:lineRule="exact"/>
        <w:rPr>
          <w:sz w:val="20"/>
          <w:szCs w:val="20"/>
          <w:color w:val="auto"/>
        </w:rPr>
      </w:pPr>
    </w:p>
    <w:p>
      <w:pPr>
        <w:ind w:left="820" w:hanging="184"/>
        <w:spacing w:after="0"/>
        <w:tabs>
          <w:tab w:leader="none" w:pos="8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ind w:left="-20" w:firstLine="656"/>
        <w:spacing w:after="0" w:line="252" w:lineRule="auto"/>
        <w:tabs>
          <w:tab w:leader="none" w:pos="125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each Underwriter, its officers and employees and each person, if any, who controls any Underwriter within the meaning of Section 15 of the Securities Act or Section 20 of the Exchange Act against any and all losses, claims, damages and liabilities, joint or several (including any reasonable investigation, legal and other expenses incurred in connection with, and any amount paid in settlement of, any action, suit or proceeding or any claim asserted), to which they, or any of them, may become subject under the Securities Act, the Exchange Act or other Federal or state law or regulation, at common law or otherwise, insofar as such losses, claims, damages or liabilities arise out of or are based upon any untrue statement or alleged untrue statement of a material fact contained in any preliminary prospectus, the Registration Statement, the Statutory Prospectus, the Prospectus, any Issuer Free Writing Prospectus or any “issuer-information” filed or required to be filed pursuant to Rule 433(d) of the Rules, any amendment thereof or supplement thereto, or in any Blue Sky application or other information or other documents executed by the Company filed in any state or other jurisdiction to qualify any or all of the Securities under the securities laws thereof (any such application, document or information being hereinafter referred to as a "Blue Sky Application") or arise out of or are based upon any omission or alleged omission to state therein a material fact required to be stated therein or necessary to make the statements therein (except in the case of the Registration Statement, in light of the circumstances under which they were made) not misleading; provided, however, that such indemnity shall not inure to the benefit of any Underwriter (or any person controlling such Underwriter) on account of any losses, claims, damages or liabilities arising from the sale of the Shares and the Warrants to any person by such Underwriter if such untrue statement or omission or alleged untrue statement or omission was made in such preliminary prospectus, the Registration Statement, the Prospectus, the Statutory Prospectus, any Issuer Free Writing Prospectus or such amendment or supplement thereto, or in any Blue Sky Application in reliance upon and in conformity with the Underwriter Information. This indemnity agreement will be in addition to any liability which the Company may otherwise have.</w:t>
      </w:r>
    </w:p>
    <w:p>
      <w:pPr>
        <w:spacing w:after="0" w:line="128" w:lineRule="exact"/>
        <w:rPr>
          <w:rFonts w:ascii="Times New Roman" w:cs="Times New Roman" w:eastAsia="Times New Roman" w:hAnsi="Times New Roman"/>
          <w:sz w:val="18"/>
          <w:szCs w:val="18"/>
          <w:color w:val="auto"/>
        </w:rPr>
      </w:pPr>
    </w:p>
    <w:p>
      <w:pPr>
        <w:ind w:left="-20" w:right="100" w:firstLine="656"/>
        <w:spacing w:after="0" w:line="287" w:lineRule="auto"/>
        <w:tabs>
          <w:tab w:leader="none" w:pos="1272"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Underwriter, severally and not jointly, agrees to indemnify and hold harmless the Company and each person, if any, who controls the Company within the meaning of Section 15 of the Securities Act or Section 20 of the Exchange Act, each director of the Company, and each officer of the Company who signs the Registration Statement, against any losses, claims, damages or liabilities to which such party may become subject, under the Securities Act or otherwise, insofar as such losses, claims, damages or liabilities (or actions in respect thereof) arise out of or are based upon an untrue statement or alleged untrue statement of a material fact contained in any preliminary prospectus, the Registration Statement, the Statutory Prospectus, the Prospectus, or any Issuer Free Writing Prospectus or any “issuer-information” filed or required to be filed pursuant to Rule 433(d) of the Rules,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the Registration Statement, the Statutory Prospectus, the Prospectus, any Issuer Free Writing Prospectus or any such amendment or supplement thereto in reliance upon and in conformity with the Underwriter Information; provided, however, that the obligation of each Underwriter to indemnify the Company (including any controlling person, director or officer thereof) shall be limited to the amount of the underwriting discount and commissions applicable to the Shares and the Warrants to be purchased by such Underwriter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57" w:right="239" w:bottom="1440" w:gutter="0" w:footer="0" w:header="0"/>
        </w:sectPr>
      </w:pPr>
    </w:p>
    <w:bookmarkStart w:id="190" w:name="page191"/>
    <w:bookmarkEnd w:id="190"/>
    <w:p>
      <w:pPr>
        <w:ind w:firstLine="656"/>
        <w:spacing w:after="0" w:line="285" w:lineRule="auto"/>
        <w:tabs>
          <w:tab w:leader="none" w:pos="1272"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party that proposes to assert the right to be indemnified under this Section will, promptly after receipt of notice of commencement of any action, suit or proceeding against such party in respect of which a claim is to be made against an indemnifying party or parties under this Section, notify each such indemnifying party of the commencement of such action, suit or proceeding, enclosing a copy of all papers served. No indemnification provided for in Section 5(a) or 5(b) shall be available to any party who shall fail to give notice as provided in this Section 5(c) if the party to whom notice was not given was unaware of the proceeding to which such notice would have related and was prejudiced by the failure to give such notice but the omission so to notify such indemnifying party of any such action, suit or proceeding shall not relieve it from any liability that it may have to any indemnified party for contribution or otherwise than under this Section. In case any such action, suit or proceeding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reasonably satisfactory to such indemnified party, and after notice from the indemnifying party to such indemnified party of its election so to assume the defense thereof and the approval by the indemnified party of such counsel, the indemnifying party shall not be liable to such indemnified party for any legal or other expenses, except as provided below and except for the reasonable costs of investigation subsequently incurred by such indemnified party in connection with the defense thereof. The indemnified party shall have the right to employ its counsel in any such action, but the fees and expenses of such counsel shall be at the expense of such indemnified party unless (i) the employment of counsel by such indemnified party has been authorized in writing by the indemnifying parties, (ii) the indemnified party shall have been advised by counsel that there may be one or more legal defenses available to it which are different from or in addition to those available to the indemnifying party (in which case the indemnifying parties shall not have the right to direct the defense of such action on behalf of the indemnified party) or (iii) the indemnifying parties shall not have employed counsel to assume the defense of such action within a reasonable time after notice of the commencement thereof, in each of which cases the fees and expenses of counsel shall be at the expense of the indemnifying parties. An indemnifying party shall not be liable for any settlement of any action, suit, and proceeding or claim effected without its written consent, which consent shall not be unreasonably withheld or delayed.</w:t>
      </w:r>
    </w:p>
    <w:p>
      <w:pPr>
        <w:spacing w:after="0" w:line="200" w:lineRule="exact"/>
        <w:rPr>
          <w:sz w:val="20"/>
          <w:szCs w:val="20"/>
          <w:color w:val="auto"/>
        </w:rPr>
      </w:pPr>
    </w:p>
    <w:p>
      <w:pPr>
        <w:spacing w:after="0" w:line="367" w:lineRule="exact"/>
        <w:rPr>
          <w:sz w:val="20"/>
          <w:szCs w:val="20"/>
          <w:color w:val="auto"/>
        </w:rPr>
      </w:pPr>
    </w:p>
    <w:p>
      <w:pPr>
        <w:ind w:right="40" w:firstLine="656"/>
        <w:spacing w:after="0" w:line="285" w:lineRule="auto"/>
        <w:tabs>
          <w:tab w:leader="none" w:pos="834"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Contribution</w:t>
      </w:r>
      <w:r>
        <w:rPr>
          <w:rFonts w:ascii="Times New Roman" w:cs="Times New Roman" w:eastAsia="Times New Roman" w:hAnsi="Times New Roman"/>
          <w:sz w:val="16"/>
          <w:szCs w:val="16"/>
          <w:color w:val="auto"/>
        </w:rPr>
        <w:t>. In order to provide for just and equitable contribution in circumstances in which the indemnification provided for in Section 5(a) or 5(b) is due in accordance with its terms but for any reason is unavailable to or insufficient to hold harmless an indemnified party in respect to any losses, liabilities, claims, damages or expenses referred to therein, then each indemnifying party shall contribute to the aggregate losses, liabilities, claims, damages and expenses (including any investigation, legal and other expenses reasonably incurred in connection with, and any amount paid in settlement of, any action, suit or proceeding or any claims asserted, but after deducting any contribution received by any person entitled hereunder to contribution from any person who may be liable for contribution) incurred by such indemnified party, as incurred, in such proportion as is appropriate to reflect the relative benefits received by the Company on the one hand and the Underwriters on the other hand from the offering of the Shares and the Warrants pursuant to this Agreement or, if such allocation is not permitted by applicable law, in such proportion as is appropriate to reflect not only the relative benefits referred to above but also the relative fault of the Company on the one hand and the Underwriters on the other hand in connection with the statements or omissions which resulted in such losses, liabilities, claims, damages or expenses, as well as any other relevant equitable considerations. The Company and the Underwriters agree that it would not be just and equitable if contribution pursuant to this Section 6 were determined by pro rata allocation (even if the Underwriters were treated as one entity for such purpose) or by any other method of allocation which does not take account of the equitable considerations referred to above. The aggregate amount of losses, liabilities, claims, damages and expenses incurred by an indemnified party and referred to above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 Notwithstanding the provisions of this Section 6, no Underwriter (except as may be provided in the Agreement Among Underwriters) shall be required to contribute any amount in excess of the underwriting discounts and commissions applicable to the Shares and the Warrants purchased by such Underwriter. No person guilty of fraudulent misrepresentation (within the meaning of Section 11(f) of the Securities Act) shall be entitled to contribution from any person who was not guilty of such fraudulent misrepresentation. For purposes of this Section 6, each person, if any, who controls an Underwriter within the meaning of Section 15 of the Securities Act or Section 20 of the Exchange Act shall have the same rights to contribution as such Underwriter, and each director of</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1" w:name="page192"/>
    <w:bookmarkEnd w:id="191"/>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each officer of the Company who signed the Registration Statement, and each person, if any, who controls the Company within the meaning of the Section 15 of the Securities Act or Section 20 of the Exchange Act, shall have the same rights to contribution as the Company. Any party entitled to contribution will, promptly after receipt of notice of commencement of any action, suit or proceeding against such party in respect of which a claim for contribution may be made against another party or parties under this Section 6, notify such party or parties from whom contribution may be sought, but the omission so to notify such party or parties from whom contribution may be sought shall not relieve the party or parties from whom contribution may be sought from any other obligation it or they may have hereunder or otherwise than under this Section 6. No party shall be liable for contribution with respect to any action, suit, proceeding or claim settled without its written consent. The Underwriters’ obligations to contribute pursuant to this Section 6 are several in proportion to their respective underwriting commitments and not joint.</w:t>
      </w:r>
    </w:p>
    <w:p>
      <w:pPr>
        <w:spacing w:after="0" w:line="152" w:lineRule="exact"/>
        <w:rPr>
          <w:sz w:val="20"/>
          <w:szCs w:val="20"/>
          <w:color w:val="auto"/>
        </w:rPr>
      </w:pPr>
    </w:p>
    <w:p>
      <w:pPr>
        <w:ind w:left="840" w:hanging="184"/>
        <w:spacing w:after="0"/>
        <w:tabs>
          <w:tab w:leader="none" w:pos="8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firstLine="656"/>
        <w:spacing w:after="0" w:line="286" w:lineRule="auto"/>
        <w:tabs>
          <w:tab w:leader="none" w:pos="1279"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may be terminated with respect to the Shares and the Warrants to be purchased at the Closing Date by the Representative by notifying the Company at any time at or before the Closing Date in the absolute discretion of the Representative if: (i) there has occurred any material adverse change in the securities markets or any event, act or occurrence that has materially disrupted, or in the opinion of the Representative, will in the future materially disrupt, the securities markets or there shall be such a material adverse change in general financial, political or economic conditions or the effect of international conditions on the financial markets in the United States is such as to make it, in the judgment of the Representative, inadvisable or impracticable to market the Shares and the Warrants or enforce contracts for the sale of the Shares and the Warrants; (ii) there has occurred any outbreak or material escalation of hostilities or acts of terrorism or other calamity or crisis the effect of which on the financial markets of the United States is such as to make it, in the judgment of the Representative, inadvisable or impracticable to market the Shares and the Warrants or enforce contracts for the sale of the Shares and the Warrants; (iii) trading in the Shares or any securities of the Company has been suspended or materially limited by the Commission or trading generally on the New York Stock Exchange, Inc., the NYSE American or the Nasdaq Stock Market has been suspended or materially limited, or minimum or maximum ranges for prices for securities shall have been fixed, or maximum ranges for prices for securities have been required, by any of said exchanges or by such system or by order of the Commission, FINRA, or any other governmental or regulatory authority; or (iv) a banking moratorium has been declared by any state or Federal authority; or (v) in the judgment of the Representative, there has been, since the time of execution of this Agreement or since the respective dates as of which information is given in the Prospectus, any material adverse change in the assets, properties, condition, financial or otherwise, or in the results of operations, business affairs or business prospects of the Company and its subsidiaries considered as a whole, whether or not arising in the ordinary course of business.</w:t>
      </w:r>
    </w:p>
    <w:p>
      <w:pPr>
        <w:spacing w:after="0" w:line="320" w:lineRule="exact"/>
        <w:rPr>
          <w:rFonts w:ascii="Times New Roman" w:cs="Times New Roman" w:eastAsia="Times New Roman" w:hAnsi="Times New Roman"/>
          <w:sz w:val="16"/>
          <w:szCs w:val="16"/>
          <w:color w:val="auto"/>
        </w:rPr>
      </w:pPr>
    </w:p>
    <w:p>
      <w:pPr>
        <w:ind w:firstLine="656"/>
        <w:spacing w:after="0" w:line="254" w:lineRule="auto"/>
        <w:tabs>
          <w:tab w:leader="none" w:pos="129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is terminated pursuant to any of its provisions, the Company shall not be under any liability to any Underwriter, and no Underwriter shall be under any liability to the Company, except that (x) if this Agreement is terminated by the Representative because of any failure, refusal or inability on the part of the Company to comply with the terms or to fulfill any of the conditions of this Agreement, the Company will reimburse the Underwriters for all out-of-pocket expenses (including the reasonable fees and disbursements of their counsel) incurred by them in connection with the proposed purchase and sale of the Shares and the Warrants or in contemplation of performing their obligations hereunder and (y) no Underwriter who shall have failed or refused to purchase the Shares and the Warrants agreed to be purchased by it under this Agreement, without some reason sufficient hereunder to justify cancellation or termination of its obligations under this Agreement shall be relieved of liability to the Company or to the other Underwriters for damages occasioned by its failure or refusal.</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2" w:name="page193"/>
    <w:bookmarkEnd w:id="192"/>
    <w:p>
      <w:pPr>
        <w:ind w:firstLine="656"/>
        <w:spacing w:after="0" w:line="286" w:lineRule="auto"/>
        <w:tabs>
          <w:tab w:leader="none" w:pos="834"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Substitution of Underwriters.</w:t>
      </w:r>
      <w:r>
        <w:rPr>
          <w:rFonts w:ascii="Times New Roman" w:cs="Times New Roman" w:eastAsia="Times New Roman" w:hAnsi="Times New Roman"/>
          <w:sz w:val="16"/>
          <w:szCs w:val="16"/>
          <w:color w:val="auto"/>
        </w:rPr>
        <w:t xml:space="preserve"> If any Underwriter shall default in its obligation to purchase on the Closing Date the Shares and Warrants agreed to be purchased hereunder on the Closing Date, the Representative shall have the right, within 36 hours thereafter, to make arrangements for one or more of the non-defaulting Underwriters, or any other underwriters, to purchase such Shares and Warrants on the terms contained herein. If, however, the Representative shall not have completed such arrangements within such 36-hour period, then the Company shall be entitled to a further period of thirty-six hours within which to procure another party or other parties satisfactory to the Underwriters to purchase such Shares and Warrants on such terms. If, after giving effect to any arrangements for the purchase of the Shares and Warrants of a defaulting Underwriter or Underwriters by the Representative and the Company as provided above, the aggregate number of Shares and Warrants which remains unpurchased on the Closing Date does not exceed one-eleventh of the aggregate number of all the Shares and Warrants that all the Underwriters are obligated to purchase on such date, then the Company shall have the right to require each non-defaulting Underwriter to purchase the number of Shares and Warrants which such Underwriter agreed to purchase hereunder at such date and, in addition, to require each non-defaulting Underwriter to purchase its pro rata share (based on the number of Shares and Warrants which such Underwriter agreed to purchase hereunder) of the Shares and Warrants of such defaulting Underwriter or Underwriters for which such arrangements have not been made; but nothing herein shall relieve a defaulting Underwriter from liability for its default. In any such case, either the Representative or the Company shall have the right to postpone the Closing Date for a period of not more than seven days in order to effect any necessary changes and arrangements (including any necessary amendments or supplements to the Registration Statement or Prospectus or any other documents), and the Company agrees to file promptly any amendments to the Registration Statement or the Prospectus which in the opinion of the Company and the Underwriters and their counsel may thereby be made necessary.</w:t>
      </w:r>
    </w:p>
    <w:p>
      <w:pPr>
        <w:spacing w:after="0" w:line="320" w:lineRule="exact"/>
        <w:rPr>
          <w:sz w:val="20"/>
          <w:szCs w:val="20"/>
          <w:color w:val="auto"/>
        </w:rPr>
      </w:pPr>
    </w:p>
    <w:p>
      <w:pPr>
        <w:ind w:right="20" w:firstLine="692"/>
        <w:spacing w:after="0" w:line="254" w:lineRule="auto"/>
        <w:rPr>
          <w:sz w:val="20"/>
          <w:szCs w:val="20"/>
          <w:color w:val="auto"/>
        </w:rPr>
      </w:pPr>
      <w:r>
        <w:rPr>
          <w:rFonts w:ascii="Times New Roman" w:cs="Times New Roman" w:eastAsia="Times New Roman" w:hAnsi="Times New Roman"/>
          <w:sz w:val="18"/>
          <w:szCs w:val="18"/>
          <w:color w:val="auto"/>
        </w:rPr>
        <w:t>If, after giving effect to any arrangements for the purchase of the Shares and Warrants of a defaulting Underwriter or Underwriters by the Representative and the Company as provided above, the aggregate number of such Shares and Warrants which remains unpurchased exceeds 10% of the aggregate number of all the Shares and Warrants to be purchased at such date, then this Agreement shall terminate, without liability on the part of any non-defaulting Underwriter to the Company, and without liability on the part of the Company, except as provided in Sections 4(b), 5, 6 and 7. The provisions of this Section 8 shall not in any way affect the liability of any defaulting Underwriter to the Company or the nondefaulting Underwriters arising out of such default. The term “Underwriter” as used in this Agreement shall include any person substituted under this Section 8 with like effect as if such person had originally been a party to this Agreement with respect to such Shares.</w:t>
      </w:r>
    </w:p>
    <w:p>
      <w:pPr>
        <w:spacing w:after="0" w:line="195" w:lineRule="exact"/>
        <w:rPr>
          <w:sz w:val="20"/>
          <w:szCs w:val="20"/>
          <w:color w:val="auto"/>
        </w:rPr>
      </w:pPr>
    </w:p>
    <w:p>
      <w:pPr>
        <w:ind w:left="840" w:hanging="184"/>
        <w:spacing w:after="0"/>
        <w:tabs>
          <w:tab w:leader="none" w:pos="8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15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respective agreements, representations, warranties, indemnities and other statements of the Company and the several Underwriters, as set forth in this Agreement or made by or on behalf of them pursuant to this Agreement, shall remain in full force and effect, regardless of any investigation (or any statement as to the results thereof) made by or on behalf of the any Underwriter or the Company or any of their respective officers, directors or controlling persons referred to in Sections 5 and 6 hereof, and shall survive delivery of and payment for the Shares and the Warrants. In addition, the provisions of Sections 4(b), 5, 6 and 7 shall survive the termination or cancellation of this Agreement.</w:t>
      </w:r>
    </w:p>
    <w:p>
      <w:pPr>
        <w:spacing w:after="0" w:line="12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This Agreement has been and is made for the benefit of the Underwriters, the Company and their respective successors and assigns, and, to the extent expressed herein, for the benefit of persons controlling any of the Underwriters, or the Company, and directors and officers of the Company, and their respective successors and assigns, and no other person shall acquire or have any right under or by virtue of this Agreement. The term "successors and assigns" shall not include any purchaser of Shares and Warrants from an Underwriter merely because of such purchase.</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93" w:name="page194"/>
    <w:bookmarkEnd w:id="193"/>
    <w:p>
      <w:pPr>
        <w:ind w:left="660"/>
        <w:spacing w:after="0"/>
        <w:rPr>
          <w:sz w:val="20"/>
          <w:szCs w:val="20"/>
          <w:color w:val="auto"/>
        </w:rPr>
      </w:pPr>
      <w:r>
        <w:rPr>
          <w:rFonts w:ascii="Times New Roman" w:cs="Times New Roman" w:eastAsia="Times New Roman" w:hAnsi="Times New Roman"/>
          <w:sz w:val="16"/>
          <w:szCs w:val="16"/>
          <w:color w:val="auto"/>
        </w:rPr>
        <w:t>All notices and communications hereunder shall be in writing and mailed or delivered or by telephone or telegraph if subsequently confirmed in writing,</w:t>
      </w:r>
    </w:p>
    <w:p>
      <w:pPr>
        <w:spacing w:after="0" w:line="44" w:lineRule="exact"/>
        <w:rPr>
          <w:sz w:val="20"/>
          <w:szCs w:val="20"/>
          <w:color w:val="auto"/>
        </w:rPr>
      </w:pPr>
    </w:p>
    <w:p>
      <w:pPr>
        <w:ind w:right="160" w:firstLine="8"/>
        <w:spacing w:after="0" w:line="253" w:lineRule="auto"/>
        <w:tabs>
          <w:tab w:leader="none" w:pos="23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Representative, c/o Oppenheimer &amp; Co. Inc., 85 Broad Street, New York, New York 10004 Attention: Equity Capital Markets, with a copy to Oppenheimer &amp; Co. Inc., 85 Broad Street, New York, New York 10004 Attention: General Counsel, and to Lowenstein Sandler LLP, 1251 Avenue of the Americas, New York, New York 10020, Attention: John D. Hogoboom and (b) if to the Company, to its agent for service as such agent's address appears on the cover page of the Registration Statement with a copy to Disclosure Law Group, a Professional Corporation, 600 West Broadway, Suite 700, San Diego, California, 92101, Attention: Jessica Sudweeks.</w:t>
      </w:r>
    </w:p>
    <w:p>
      <w:pPr>
        <w:spacing w:after="0" w:line="124" w:lineRule="exact"/>
        <w:rPr>
          <w:sz w:val="20"/>
          <w:szCs w:val="20"/>
          <w:color w:val="auto"/>
        </w:rPr>
      </w:pPr>
    </w:p>
    <w:p>
      <w:pPr>
        <w:ind w:right="80" w:firstLine="648"/>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This Agreement shall be governed by and construed in accordance with the laws of the State of New York. </w:t>
      </w:r>
      <w:r>
        <w:rPr>
          <w:rFonts w:ascii="Times New Roman" w:cs="Times New Roman" w:eastAsia="Times New Roman" w:hAnsi="Times New Roman"/>
          <w:sz w:val="18"/>
          <w:szCs w:val="18"/>
          <w:color w:val="auto"/>
        </w:rPr>
        <w:t>This Agreement may be signed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counterparts, each of which shall be an original, with the same effect as if the signatures thereto and hereto were upon the same instrument.</w:t>
      </w: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58" w:right="2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color w:val="auto"/>
        </w:rPr>
        <w:t>Please confirm that the foregoing correctly sets forth the agreement among us.</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VISTAGEN THERAPEUTICS, INC.</w:t>
      </w:r>
    </w:p>
    <w:p>
      <w:pPr>
        <w:spacing w:after="0" w:line="23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By ____________________</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Shawn K. Singh</w:t>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color w:val="auto"/>
        </w:rPr>
        <w:t>Confirmed: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OPPENHEIMER &amp; CO.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Eric Helenek</w:t>
      </w:r>
    </w:p>
    <w:p>
      <w:pPr>
        <w:spacing w:after="0" w:line="24" w:lineRule="exact"/>
        <w:rPr>
          <w:sz w:val="20"/>
          <w:szCs w:val="20"/>
          <w:color w:val="auto"/>
        </w:rPr>
      </w:pPr>
    </w:p>
    <w:p>
      <w:pPr>
        <w:ind w:left="440"/>
        <w:spacing w:after="0"/>
        <w:tabs>
          <w:tab w:leader="none" w:pos="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severally on behalf of itself and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of the several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 in Schedule I annexed hereto</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OPPENHEIMER &amp; CO.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Eric Helenek</w:t>
      </w:r>
    </w:p>
    <w:p>
      <w:pPr>
        <w:spacing w:after="0" w:line="24" w:lineRule="exact"/>
        <w:rPr>
          <w:sz w:val="20"/>
          <w:szCs w:val="20"/>
          <w:color w:val="auto"/>
        </w:rPr>
      </w:pPr>
    </w:p>
    <w:p>
      <w:pPr>
        <w:ind w:left="44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68"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58" w:right="1440"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28"/>
        </w:trPr>
        <w:tc>
          <w:tcPr>
            <w:tcW w:w="4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SCHEDULE I</w:t>
            </w:r>
          </w:p>
        </w:tc>
        <w:tc>
          <w:tcPr>
            <w:tcW w:w="3300" w:type="dxa"/>
            <w:vAlign w:val="bottom"/>
          </w:tcPr>
          <w:p>
            <w:pPr>
              <w:spacing w:after="0"/>
              <w:rPr>
                <w:sz w:val="19"/>
                <w:szCs w:val="19"/>
                <w:color w:val="auto"/>
              </w:rPr>
            </w:pPr>
          </w:p>
        </w:tc>
      </w:tr>
      <w:tr>
        <w:trPr>
          <w:trHeight w:val="568"/>
        </w:trPr>
        <w:tc>
          <w:tcPr>
            <w:tcW w:w="4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Number of Shares to</w:t>
            </w:r>
          </w:p>
        </w:tc>
        <w:tc>
          <w:tcPr>
            <w:tcW w:w="33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Number of Warrants to</w:t>
            </w:r>
          </w:p>
        </w:tc>
      </w:tr>
      <w:tr>
        <w:trPr>
          <w:trHeight w:val="237"/>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60" w:type="dxa"/>
            <w:vAlign w:val="bottom"/>
          </w:tcPr>
          <w:p>
            <w:pPr>
              <w:spacing w:after="0"/>
              <w:rPr>
                <w:sz w:val="20"/>
                <w:szCs w:val="20"/>
                <w:color w:val="auto"/>
              </w:rPr>
            </w:pPr>
          </w:p>
        </w:tc>
        <w:tc>
          <w:tcPr>
            <w:tcW w:w="33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Be Purchased</w:t>
            </w:r>
          </w:p>
        </w:tc>
        <w:tc>
          <w:tcPr>
            <w:tcW w:w="330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7"/>
              </w:rPr>
              <w:t>Be Purchased</w:t>
            </w:r>
          </w:p>
        </w:tc>
      </w:tr>
      <w:tr>
        <w:trPr>
          <w:trHeight w:val="4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Oppenheimer &amp; Co. Inc.</w:t>
            </w:r>
          </w:p>
        </w:tc>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Chardan Capital Markets, LLC</w:t>
            </w:r>
          </w:p>
        </w:tc>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1236345</wp:posOffset>
            </wp:positionV>
            <wp:extent cx="419354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4">
                      <a:extLst>
                        <a:ext uri="{28A0092B-C50C-407E-A947-70E740481C1C}"/>
                      </a:extLst>
                    </a:blip>
                    <a:srcRect/>
                    <a:stretch>
                      <a:fillRect/>
                    </a:stretch>
                  </pic:blipFill>
                  <pic:spPr bwMode="auto">
                    <a:xfrm>
                      <a:off x="0" y="0"/>
                      <a:ext cx="41935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7" w:name="page198"/>
    <w:bookmarkEnd w:id="197"/>
    <w:p>
      <w:pPr>
        <w:jc w:val="center"/>
        <w:ind w:right="-1200"/>
        <w:spacing w:after="0"/>
        <w:rPr>
          <w:sz w:val="20"/>
          <w:szCs w:val="20"/>
          <w:color w:val="auto"/>
        </w:rPr>
      </w:pPr>
      <w:r>
        <w:rPr>
          <w:rFonts w:ascii="Times New Roman" w:cs="Times New Roman" w:eastAsia="Times New Roman" w:hAnsi="Times New Roman"/>
          <w:sz w:val="18"/>
          <w:szCs w:val="18"/>
          <w:color w:val="auto"/>
        </w:rPr>
        <w:t>SCHEDULE II</w:t>
      </w:r>
    </w:p>
    <w:p>
      <w:pPr>
        <w:spacing w:after="0" w:line="225" w:lineRule="exact"/>
        <w:rPr>
          <w:sz w:val="20"/>
          <w:szCs w:val="20"/>
          <w:color w:val="auto"/>
        </w:rPr>
      </w:pPr>
    </w:p>
    <w:p>
      <w:pPr>
        <w:jc w:val="right"/>
        <w:ind w:right="3799"/>
        <w:spacing w:after="0"/>
        <w:rPr>
          <w:sz w:val="20"/>
          <w:szCs w:val="20"/>
          <w:color w:val="auto"/>
        </w:rPr>
      </w:pPr>
      <w:r>
        <w:rPr>
          <w:rFonts w:ascii="Times New Roman" w:cs="Times New Roman" w:eastAsia="Times New Roman" w:hAnsi="Times New Roman"/>
          <w:sz w:val="18"/>
          <w:szCs w:val="18"/>
          <w:color w:val="auto"/>
        </w:rPr>
        <w:t>Lock-up Signatories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Shawn K. Singh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 Ralph Snodgrass,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S. Saxe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J. Underdown,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Jerry B. Gin, Ph.D, MBA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 Smith, M.D.,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Jerrold D. Dotson, CPA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 McPartland</w:t>
      </w:r>
    </w:p>
    <w:p>
      <w:pPr>
        <w:spacing w:after="0" w:line="200" w:lineRule="exact"/>
        <w:rPr>
          <w:sz w:val="20"/>
          <w:szCs w:val="20"/>
          <w:color w:val="auto"/>
        </w:rPr>
      </w:pPr>
    </w:p>
    <w:p>
      <w:pPr>
        <w:spacing w:after="0" w:line="39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198" w:name="page199"/>
    <w:bookmarkEnd w:id="198"/>
    <w:p>
      <w:pPr>
        <w:ind w:left="5140"/>
        <w:spacing w:after="0"/>
        <w:rPr>
          <w:sz w:val="20"/>
          <w:szCs w:val="20"/>
          <w:color w:val="auto"/>
        </w:rPr>
      </w:pPr>
      <w:r>
        <w:rPr>
          <w:rFonts w:ascii="Times New Roman" w:cs="Times New Roman" w:eastAsia="Times New Roman" w:hAnsi="Times New Roman"/>
          <w:sz w:val="18"/>
          <w:szCs w:val="18"/>
          <w:color w:val="auto"/>
        </w:rPr>
        <w:t>SCHEDULE III</w:t>
      </w:r>
    </w:p>
    <w:p>
      <w:pPr>
        <w:spacing w:after="0" w:line="200" w:lineRule="exact"/>
        <w:rPr>
          <w:sz w:val="20"/>
          <w:szCs w:val="20"/>
          <w:color w:val="auto"/>
        </w:rPr>
      </w:pPr>
    </w:p>
    <w:p>
      <w:pPr>
        <w:spacing w:after="0" w:line="241" w:lineRule="exact"/>
        <w:rPr>
          <w:sz w:val="20"/>
          <w:szCs w:val="20"/>
          <w:color w:val="auto"/>
        </w:rPr>
      </w:pPr>
    </w:p>
    <w:p>
      <w:pPr>
        <w:jc w:val="right"/>
        <w:ind w:right="2819"/>
        <w:spacing w:after="0"/>
        <w:rPr>
          <w:sz w:val="20"/>
          <w:szCs w:val="20"/>
          <w:color w:val="auto"/>
        </w:rPr>
      </w:pPr>
      <w:r>
        <w:rPr>
          <w:rFonts w:ascii="Times New Roman" w:cs="Times New Roman" w:eastAsia="Times New Roman" w:hAnsi="Times New Roman"/>
          <w:sz w:val="18"/>
          <w:szCs w:val="18"/>
          <w:color w:val="auto"/>
        </w:rPr>
        <w:t>Pricing Information (to be provided orally only)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to be Issued: [_]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Warrants to be Issued: Warrants to Purchase [_] shares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Coverage: 100%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Exercise Price: $[_]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Price: $[_] per share and related Warrant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Discount: 7.0%</w:t>
      </w:r>
    </w:p>
    <w:p>
      <w:pPr>
        <w:spacing w:after="0" w:line="200" w:lineRule="exact"/>
        <w:rPr>
          <w:sz w:val="20"/>
          <w:szCs w:val="20"/>
          <w:color w:val="auto"/>
        </w:rPr>
      </w:pPr>
    </w:p>
    <w:p>
      <w:pPr>
        <w:spacing w:after="0" w:line="39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04" w:right="1440" w:bottom="1440" w:gutter="0" w:footer="0" w:header="0"/>
        </w:sectPr>
      </w:pPr>
    </w:p>
    <w:bookmarkStart w:id="199" w:name="page200"/>
    <w:bookmarkEnd w:id="199"/>
    <w:p>
      <w:pPr>
        <w:jc w:val="center"/>
        <w:ind w:right="-1200"/>
        <w:spacing w:after="0"/>
        <w:rPr>
          <w:sz w:val="20"/>
          <w:szCs w:val="20"/>
          <w:color w:val="auto"/>
        </w:rPr>
      </w:pPr>
      <w:r>
        <w:rPr>
          <w:rFonts w:ascii="Times New Roman" w:cs="Times New Roman" w:eastAsia="Times New Roman" w:hAnsi="Times New Roman"/>
          <w:sz w:val="18"/>
          <w:szCs w:val="18"/>
          <w:color w:val="auto"/>
        </w:rPr>
        <w:t>SCHEDULE IV</w:t>
      </w:r>
    </w:p>
    <w:p>
      <w:pPr>
        <w:spacing w:after="0" w:line="225"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color w:val="auto"/>
        </w:rPr>
        <w:t>Issuer Free Writing Prospectuses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December __, 2017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ind w:right="20" w:firstLine="1297"/>
        <w:spacing w:after="0" w:line="286" w:lineRule="auto"/>
        <w:rPr>
          <w:sz w:val="20"/>
          <w:szCs w:val="20"/>
          <w:color w:val="auto"/>
        </w:rPr>
      </w:pPr>
      <w:r>
        <w:rPr>
          <w:rFonts w:ascii="Times New Roman" w:cs="Times New Roman" w:eastAsia="Times New Roman" w:hAnsi="Times New Roman"/>
          <w:sz w:val="16"/>
          <w:szCs w:val="16"/>
          <w:color w:val="auto"/>
        </w:rPr>
        <w:t>VistaGen Therapeutics, Inc., a company organized under the laws of Nevada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hereby certifies that, for good and valuable consideration, the receipt and sufficiency of which are hereby acknowledged, [HOLDER], the registered holder hereof or its permitted assigns (the "</w:t>
      </w:r>
      <w:r>
        <w:rPr>
          <w:rFonts w:ascii="Times New Roman" w:cs="Times New Roman" w:eastAsia="Times New Roman" w:hAnsi="Times New Roman"/>
          <w:sz w:val="16"/>
          <w:szCs w:val="16"/>
          <w:b w:val="1"/>
          <w:bCs w:val="1"/>
          <w:color w:val="auto"/>
        </w:rPr>
        <w:t>Holder</w:t>
      </w:r>
      <w:r>
        <w:rPr>
          <w:rFonts w:ascii="Times New Roman" w:cs="Times New Roman" w:eastAsia="Times New Roman" w:hAnsi="Times New Roman"/>
          <w:sz w:val="16"/>
          <w:szCs w:val="16"/>
          <w:color w:val="auto"/>
        </w:rPr>
        <w:t>"), is entitled, subject to the terms set forth below, to purchase from the Company, at the Exercise Price (as defined below) then in effect, at any time or times on or after the Issuance Date (the “</w:t>
      </w:r>
      <w:r>
        <w:rPr>
          <w:rFonts w:ascii="Times New Roman" w:cs="Times New Roman" w:eastAsia="Times New Roman" w:hAnsi="Times New Roman"/>
          <w:sz w:val="16"/>
          <w:szCs w:val="16"/>
          <w:b w:val="1"/>
          <w:bCs w:val="1"/>
          <w:color w:val="auto"/>
        </w:rPr>
        <w:t>Initial Exercisability Date</w:t>
      </w:r>
      <w:r>
        <w:rPr>
          <w:rFonts w:ascii="Times New Roman" w:cs="Times New Roman" w:eastAsia="Times New Roman" w:hAnsi="Times New Roman"/>
          <w:sz w:val="16"/>
          <w:szCs w:val="16"/>
          <w:color w:val="auto"/>
        </w:rPr>
        <w:t>”), but not after 11:59 p.m., New York time, on the Expiration Date, (as defined below), ______________</w:t>
      </w:r>
    </w:p>
    <w:p>
      <w:pPr>
        <w:spacing w:after="0" w:line="2"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w:t>
      </w:r>
      <w:hyperlink w:anchor="page201">
        <w:r>
          <w:rPr>
            <w:rFonts w:ascii="Times New Roman" w:cs="Times New Roman" w:eastAsia="Times New Roman" w:hAnsi="Times New Roman"/>
            <w:sz w:val="12"/>
            <w:szCs w:val="12"/>
            <w:u w:val="single" w:color="auto"/>
            <w:color w:val="0000EE"/>
          </w:rPr>
          <w:t>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fully paid non-assessable shares of Common Stock (as defined below), subject to adjustment as provided herein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Except as otherwise defined herein, capitalized terms in this Warrant to Purchase Common Stock (including any Warrants to Purchase Common Stock issued in exchange, transfer or replacement hereof, this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shall have the meanings set forth in Section 16. This Warrant is one of the Warrants to purchase Common Stock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issued pursuant to (i) that certain Underwriting Agreement, dated as of December __, 2017 (the "</w:t>
      </w:r>
      <w:r>
        <w:rPr>
          <w:rFonts w:ascii="Times New Roman" w:cs="Times New Roman" w:eastAsia="Times New Roman" w:hAnsi="Times New Roman"/>
          <w:sz w:val="18"/>
          <w:szCs w:val="18"/>
          <w:b w:val="1"/>
          <w:bCs w:val="1"/>
          <w:color w:val="auto"/>
        </w:rPr>
        <w:t>Subscription Date</w:t>
      </w:r>
      <w:r>
        <w:rPr>
          <w:rFonts w:ascii="Times New Roman" w:cs="Times New Roman" w:eastAsia="Times New Roman" w:hAnsi="Times New Roman"/>
          <w:sz w:val="18"/>
          <w:szCs w:val="18"/>
          <w:color w:val="auto"/>
        </w:rPr>
        <w:t>"), (ii) the Company's Registration Statement on Form S-1 (File number 333-221009)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(iii) the Company's prospectus dated as of December __, 2017.</w:t>
      </w:r>
    </w:p>
    <w:p>
      <w:pPr>
        <w:spacing w:after="0" w:line="153" w:lineRule="exact"/>
        <w:rPr>
          <w:sz w:val="20"/>
          <w:szCs w:val="20"/>
          <w:color w:val="auto"/>
        </w:rPr>
      </w:pPr>
    </w:p>
    <w:p>
      <w:pPr>
        <w:ind w:left="1660" w:hanging="355"/>
        <w:spacing w:after="0"/>
        <w:tabs>
          <w:tab w:leader="none" w:pos="1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p>
    <w:p>
      <w:pPr>
        <w:spacing w:after="0" w:line="184" w:lineRule="exact"/>
        <w:rPr>
          <w:rFonts w:ascii="Times New Roman" w:cs="Times New Roman" w:eastAsia="Times New Roman" w:hAnsi="Times New Roman"/>
          <w:sz w:val="18"/>
          <w:szCs w:val="18"/>
          <w:color w:val="auto"/>
        </w:rPr>
      </w:pPr>
    </w:p>
    <w:p>
      <w:pPr>
        <w:ind w:right="20" w:firstLine="1953"/>
        <w:spacing w:after="0" w:line="262" w:lineRule="auto"/>
        <w:tabs>
          <w:tab w:leader="none" w:pos="2356"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Mechanics of Exercise</w:t>
      </w:r>
      <w:r>
        <w:rPr>
          <w:rFonts w:ascii="Times New Roman" w:cs="Times New Roman" w:eastAsia="Times New Roman" w:hAnsi="Times New Roman"/>
          <w:sz w:val="17"/>
          <w:szCs w:val="17"/>
          <w:color w:val="auto"/>
        </w:rPr>
        <w:t xml:space="preserve">. Subject to the terms and conditions hereof (including, without limitation, the limitations set forth in Section 1(f)), this Warrant may be exercised by the Holder at any time or times on or after the Initial Exercisability Date, in whole or in part, by delivery (whether via facsimile, electronic mail or otherwise) of a written notice, in the form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Exercise Notice</w:t>
      </w:r>
      <w:r>
        <w:rPr>
          <w:rFonts w:ascii="Times New Roman" w:cs="Times New Roman" w:eastAsia="Times New Roman" w:hAnsi="Times New Roman"/>
          <w:sz w:val="17"/>
          <w:szCs w:val="17"/>
          <w:color w:val="auto"/>
        </w:rPr>
        <w:t>"), of the Holder's election to exercise this Warrant. Within one (1) Trading Day following the delivery of the Exercise Notice, the Holder shall make payment to the Company of an amount equal to the Exercise Price in effect on the date of such exercise multiplied by the number of Warrant Shares as to which this Warrant is being exercised (the "</w:t>
      </w:r>
      <w:r>
        <w:rPr>
          <w:rFonts w:ascii="Times New Roman" w:cs="Times New Roman" w:eastAsia="Times New Roman" w:hAnsi="Times New Roman"/>
          <w:sz w:val="17"/>
          <w:szCs w:val="17"/>
          <w:b w:val="1"/>
          <w:bCs w:val="1"/>
          <w:color w:val="auto"/>
        </w:rPr>
        <w:t>Aggregate Exercise Price</w:t>
      </w:r>
      <w:r>
        <w:rPr>
          <w:rFonts w:ascii="Times New Roman" w:cs="Times New Roman" w:eastAsia="Times New Roman" w:hAnsi="Times New Roman"/>
          <w:sz w:val="17"/>
          <w:szCs w:val="17"/>
          <w:color w:val="auto"/>
        </w:rPr>
        <w:t>") in cash by wire transfer of immediately available funds or, if the provisions of Section 1(d) are applicable, by notifying the Company that this Warrant is being exercised pursuant to a Cashless Exercise (as defined in Section 1(d)). The Holder shall not be required to deliver the original Warrant in order to effect an exercise hereunder, nor shall any ink-original signature or medallion guarantee (or other type of guarantee or notarization) with respect to any Exercise Notice be required. Execution and delivery of the Exercise Notice with respect to less than all of the Warrant Shares shall have the same effect as cancellation of the original Warrant and issuance of a new Warrant evidencing the right to purchase the remaining number of Warrant Shares. On or before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7"/>
          <w:szCs w:val="17"/>
          <w:color w:val="auto"/>
        </w:rPr>
        <w:t>) Trading Day following the date on which the Company has received the applicable Exercise Notice, the Company shall transmit by facsimile or electronic mail an acknowledgment of confirmation of receipt of the Exercise Notice, in the form attached to the Exercise Notice, to the Holder and the Company's transfer agent (the "</w:t>
      </w:r>
      <w:r>
        <w:rPr>
          <w:rFonts w:ascii="Times New Roman" w:cs="Times New Roman" w:eastAsia="Times New Roman" w:hAnsi="Times New Roman"/>
          <w:sz w:val="17"/>
          <w:szCs w:val="17"/>
          <w:b w:val="1"/>
          <w:bCs w:val="1"/>
          <w:color w:val="auto"/>
        </w:rPr>
        <w:t>Transfer Agent</w:t>
      </w:r>
      <w:r>
        <w:rPr>
          <w:rFonts w:ascii="Times New Roman" w:cs="Times New Roman" w:eastAsia="Times New Roman" w:hAnsi="Times New Roman"/>
          <w:sz w:val="17"/>
          <w:szCs w:val="17"/>
          <w:color w:val="auto"/>
        </w:rPr>
        <w:t>"). So long as the Holder delivers the Aggregate Exercise Price (or notice of a Cashless Exercise) on or prior to the first (1st) Trading Day following the date on which the Exercise Notice has been delivered to the Company, then on or prior to the earlier of (i) the second (2nd) Trading Day and (ii) the number of Trading Days comprising the Standard Settlement Period, in each case following the date on which the Exercise Notice has been delivered to the Company, or, if the Holder does not deliver the Aggregate Exercise Price (or notice of a Cashless Exercise) on or prior to the first (1st) Trading Day following the date on which the Exercise Notice has been delivered to the Company, then on or prior to the first (1st) Trading Day following the date on which the Aggregate Exercise Price (or notice of a Cashless Exercise) is delivered (such earlier date, the “</w:t>
      </w:r>
      <w:r>
        <w:rPr>
          <w:rFonts w:ascii="Times New Roman" w:cs="Times New Roman" w:eastAsia="Times New Roman" w:hAnsi="Times New Roman"/>
          <w:sz w:val="17"/>
          <w:szCs w:val="17"/>
          <w:b w:val="1"/>
          <w:bCs w:val="1"/>
          <w:color w:val="auto"/>
        </w:rPr>
        <w:t>Share Delivery Date</w:t>
      </w:r>
      <w:r>
        <w:rPr>
          <w:rFonts w:ascii="Times New Roman" w:cs="Times New Roman" w:eastAsia="Times New Roman" w:hAnsi="Times New Roman"/>
          <w:sz w:val="17"/>
          <w:szCs w:val="17"/>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w:t>
      </w:r>
    </w:p>
    <w:p>
      <w:pPr>
        <w:spacing w:after="0" w:line="40" w:lineRule="exact"/>
        <w:rPr>
          <w:sz w:val="20"/>
          <w:szCs w:val="20"/>
          <w:color w:val="auto"/>
        </w:rPr>
      </w:pPr>
    </w:p>
    <w:p>
      <w:pPr>
        <w:ind w:firstLine="8"/>
        <w:spacing w:after="0" w:line="215" w:lineRule="auto"/>
        <w:tabs>
          <w:tab w:leader="none" w:pos="109" w:val="left"/>
        </w:tabs>
        <w:numPr>
          <w:ilvl w:val="0"/>
          <w:numId w:val="1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Insert the number of shares of Common Stock equal to 100% of the number of shares of Common Stock purchased under the Underwriting Agreement by such Holder.</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01" w:name="page202"/>
    <w:bookmarkEnd w:id="201"/>
    <w:p>
      <w:pPr>
        <w:spacing w:after="0" w:line="251" w:lineRule="auto"/>
        <w:rPr>
          <w:sz w:val="20"/>
          <w:szCs w:val="20"/>
          <w:color w:val="auto"/>
        </w:rPr>
      </w:pPr>
      <w:r>
        <w:rPr>
          <w:rFonts w:ascii="Times New Roman" w:cs="Times New Roman" w:eastAsia="Times New Roman" w:hAnsi="Times New Roman"/>
          <w:sz w:val="18"/>
          <w:szCs w:val="18"/>
          <w:color w:val="auto"/>
        </w:rPr>
        <w:t>the Company shall (X) provided that the Transfer Agent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xml:space="preserve">") Fast Automated Securities Transfer Program, credit such aggregate number of Warrant Shares to which the Holder is entitled pursuant to such exercise to the Holder's or its designee's balance account with DTC through its Deposit / Withdrawal At Custodian system, or (Y) if the Transfer Agent is not participating in the DTC Fast Automated Securities Transfer Program, issue and dispatch by overnight courier to the address as specified in the Exercise Notice, a certificate, registered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including without limitation for same day processing. Upon delivery of the Exercise Notice, the Holder shall be deemed for all corporate purposes to have become the holder of record and beneficial owner of the Warrant Shares with respect to which this Warrant has been exercised, irrespective of the date such Warrant Shares are credited to the Holder's DTC account or the date of delivery of the certificates evidencing such Warrant Shares, as the case may be. If this Warrant is physically delivered to the Company in connection with any exercise pursuant to this Section 1(a) and the number of Warrant Shares represented by this Warrant submitted for exercise is greater than the number of Warrant Shares being acquired upon an exercise, then the Company shall as soon as practicable and in no event later than three (3) Trading Days after any exercise and at its own expense, issue and deliver to the Holder (or its designee) a new Warrant (in accordance with Section 7(d)) representing the right to purchase the number of Warrant Shares issuable immediately prior to such exercise under this Warrant, less the number of Warrant Shares with respect to which this Warrant is exercised. No fractional Warrant Shares are to be issued upon the exercise of this Warrant, but rather the number of Warrant Shares to be issued shall be rounded to the nearest whole number. The Company shall pay any and all transfer, stamp, issuance and similar taxes, costs and expenses (including, without limitation, fees and expenses of the Transfer Agent) which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deliver Warrant Shares with respect to an exercise prior to the Holder’s delivery of the Aggregate Exercise Price (or notice of a Cashless Exercise) with respect to such exercise.</w:t>
      </w:r>
    </w:p>
    <w:p>
      <w:pPr>
        <w:spacing w:after="0" w:line="167" w:lineRule="exact"/>
        <w:rPr>
          <w:sz w:val="20"/>
          <w:szCs w:val="20"/>
          <w:color w:val="auto"/>
        </w:rPr>
      </w:pPr>
    </w:p>
    <w:p>
      <w:pPr>
        <w:ind w:left="2380" w:hanging="427"/>
        <w:spacing w:after="0"/>
        <w:tabs>
          <w:tab w:leader="none" w:pos="23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$[____]</w:t>
      </w:r>
      <w:hyperlink w:anchor="page202">
        <w:r>
          <w:rPr>
            <w:rFonts w:ascii="Times New Roman" w:cs="Times New Roman" w:eastAsia="Times New Roman" w:hAnsi="Times New Roman"/>
            <w:sz w:val="12"/>
            <w:szCs w:val="12"/>
            <w:u w:val="single" w:color="auto"/>
            <w:color w:val="0000EE"/>
          </w:rPr>
          <w:t>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per share, subject to adjustment as provided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172" w:lineRule="exact"/>
        <w:rPr>
          <w:sz w:val="20"/>
          <w:szCs w:val="20"/>
          <w:color w:val="auto"/>
        </w:rPr>
      </w:pPr>
    </w:p>
    <w:p>
      <w:pPr>
        <w:ind w:right="100" w:firstLine="1953"/>
        <w:spacing w:after="0" w:line="252" w:lineRule="auto"/>
        <w:tabs>
          <w:tab w:leader="none" w:pos="235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Deliver Securities</w:t>
      </w:r>
      <w:r>
        <w:rPr>
          <w:rFonts w:ascii="Times New Roman" w:cs="Times New Roman" w:eastAsia="Times New Roman" w:hAnsi="Times New Roman"/>
          <w:sz w:val="18"/>
          <w:szCs w:val="18"/>
          <w:color w:val="auto"/>
        </w:rPr>
        <w:t>. If either (I) the Company shall fail for any reason or for no reason to issue to the Holder on or prior to the applicable Share Delivery Date, if (x) the Transfer Agent is not participating in the DTC Fast Automated Securities Transfer Program, a certificate for the number of shares of Common Stock to which the Holder is entitled and register such Common Stock on the Company's share register or (y) the Transfer Agent is participating in the DTC Fast Automated Securities Transfer Program, to credit the Holder's balance account with DTC, for such number of shares of Common Stock to which the Holder is entitled upon the Holder's exercise of this Warrant or (II) a registration statement (which may be the Registration Statement) covering the issuance or resale of the Warrant Shares that are the subject of the Exercise Notice (the "</w:t>
      </w:r>
      <w:r>
        <w:rPr>
          <w:rFonts w:ascii="Times New Roman" w:cs="Times New Roman" w:eastAsia="Times New Roman" w:hAnsi="Times New Roman"/>
          <w:sz w:val="18"/>
          <w:szCs w:val="18"/>
          <w:b w:val="1"/>
          <w:bCs w:val="1"/>
          <w:color w:val="auto"/>
        </w:rPr>
        <w:t>Exercise Notice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is not available for the issuance or resale, as applicable, of such Exercise Notice Warrant Shares and (x) the Company fails to promptly, but in no 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later than one (1) Business Day after such registration statement becomes unavailable, to so notify the Holder and (y) the Company is unable to deliver the Exercise Notice Warrant Shares electronically without any restrictive legend by crediting such aggregate number of Exercise Notice Warrant Shares to the Holder’s or its designee’s balance account with DTC through its Deposit / Withdrawal At Custodian system (the event described in the immediately foregoing clause (II) is hereinafter referred as a "</w:t>
      </w:r>
      <w:r>
        <w:rPr>
          <w:rFonts w:ascii="Times New Roman" w:cs="Times New Roman" w:eastAsia="Times New Roman" w:hAnsi="Times New Roman"/>
          <w:sz w:val="18"/>
          <w:szCs w:val="18"/>
          <w:b w:val="1"/>
          <w:bCs w:val="1"/>
          <w:color w:val="auto"/>
        </w:rPr>
        <w:t>Notice Failure</w:t>
      </w:r>
      <w:r>
        <w:rPr>
          <w:rFonts w:ascii="Times New Roman" w:cs="Times New Roman" w:eastAsia="Times New Roman" w:hAnsi="Times New Roman"/>
          <w:sz w:val="18"/>
          <w:szCs w:val="18"/>
          <w:color w:val="auto"/>
        </w:rPr>
        <w:t>" and together with the event described in clause (I) above, an "</w:t>
      </w:r>
      <w:r>
        <w:rPr>
          <w:rFonts w:ascii="Times New Roman" w:cs="Times New Roman" w:eastAsia="Times New Roman" w:hAnsi="Times New Roman"/>
          <w:sz w:val="18"/>
          <w:szCs w:val="18"/>
          <w:b w:val="1"/>
          <w:bCs w:val="1"/>
          <w:color w:val="auto"/>
        </w:rPr>
        <w:t>Exercise Failure</w:t>
      </w:r>
      <w:r>
        <w:rPr>
          <w:rFonts w:ascii="Times New Roman" w:cs="Times New Roman" w:eastAsia="Times New Roman" w:hAnsi="Times New Roman"/>
          <w:sz w:val="18"/>
          <w:szCs w:val="18"/>
          <w:color w:val="auto"/>
        </w:rPr>
        <w:t>"), then, in addition to all other remedies available to the Holder, if on or prior to the applicable Share Delivery Date either (I) if the Transfer Agent is not participating in the DTC Fast Automated Securities Transfer Program, the Company shall fail to issue and deliver a certificate to the Holder and register such shares of Common Stock on the Company's share register or, if the Transfer Agent is participating in the DTC Fast Automated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4" w:lineRule="exact"/>
        <w:rPr>
          <w:sz w:val="20"/>
          <w:szCs w:val="20"/>
          <w:color w:val="auto"/>
        </w:rPr>
      </w:pPr>
    </w:p>
    <w:p>
      <w:pPr>
        <w:ind w:left="120" w:hanging="112"/>
        <w:spacing w:after="0"/>
        <w:tabs>
          <w:tab w:leader="none" w:pos="120" w:val="left"/>
        </w:tabs>
        <w:numPr>
          <w:ilvl w:val="0"/>
          <w:numId w:val="1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Amount to be equal to the pubic offering price.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02" w:name="page203"/>
    <w:bookmarkEnd w:id="202"/>
    <w:p>
      <w:pPr>
        <w:spacing w:after="0" w:line="284" w:lineRule="auto"/>
        <w:rPr>
          <w:sz w:val="20"/>
          <w:szCs w:val="20"/>
          <w:color w:val="auto"/>
        </w:rPr>
      </w:pPr>
      <w:r>
        <w:rPr>
          <w:rFonts w:ascii="Times New Roman" w:cs="Times New Roman" w:eastAsia="Times New Roman" w:hAnsi="Times New Roman"/>
          <w:sz w:val="16"/>
          <w:szCs w:val="16"/>
          <w:color w:val="auto"/>
        </w:rPr>
        <w:t>Securities Transfer Program, credit the Holder's balance account with DTC for the number of shares of Common Stock to which the Holder is entitled upon the Holder's exercise hereunder or pursuant to the Company's obligation pursuant to clause (ii) below or (II) a Notice Failure occurs, and if on or after such Trading Day the Holder purchases (in an open market transaction or otherwise) Common Stock to deliver in satisfaction of a sale by the Holder of shares of Common Stock issuable upon such exercise that the Holder anticipated receiving from the Company (a "</w:t>
      </w:r>
      <w:r>
        <w:rPr>
          <w:rFonts w:ascii="Times New Roman" w:cs="Times New Roman" w:eastAsia="Times New Roman" w:hAnsi="Times New Roman"/>
          <w:sz w:val="16"/>
          <w:szCs w:val="16"/>
          <w:b w:val="1"/>
          <w:bCs w:val="1"/>
          <w:color w:val="auto"/>
        </w:rPr>
        <w:t>Buy-In</w:t>
      </w:r>
      <w:r>
        <w:rPr>
          <w:rFonts w:ascii="Times New Roman" w:cs="Times New Roman" w:eastAsia="Times New Roman" w:hAnsi="Times New Roman"/>
          <w:sz w:val="16"/>
          <w:szCs w:val="16"/>
          <w:color w:val="auto"/>
        </w:rPr>
        <w:t>"), then the Company shall, within three (3) Trading Days after the Holder's request and in the Holder's discretion, either (i) pay cash to the Holder in an amount equal to the Holder's total purchase price (including brokerage commissions and other out-of-pocket expenses, if any) for the shares of Common Stock so purchased (the "</w:t>
      </w:r>
      <w:r>
        <w:rPr>
          <w:rFonts w:ascii="Times New Roman" w:cs="Times New Roman" w:eastAsia="Times New Roman" w:hAnsi="Times New Roman"/>
          <w:sz w:val="16"/>
          <w:szCs w:val="16"/>
          <w:b w:val="1"/>
          <w:bCs w:val="1"/>
          <w:color w:val="auto"/>
        </w:rPr>
        <w:t>Buy-In Price</w:t>
      </w:r>
      <w:r>
        <w:rPr>
          <w:rFonts w:ascii="Times New Roman" w:cs="Times New Roman" w:eastAsia="Times New Roman" w:hAnsi="Times New Roman"/>
          <w:sz w:val="16"/>
          <w:szCs w:val="16"/>
          <w:color w:val="auto"/>
        </w:rPr>
        <w:t>"), at which point the Company's obligation to deliver such certificate (and to issue such shares of Common Stock) or credit such Holder's balance account with DTC for such shares of Common Stock shall terminate, or (ii) promptly honor its obligation to deliver to the Holder a certificate or certificates representing such shares of Common Stock or credit such Holder's balance account with DTC, as applicable, and pay cash to the Holder in an amount equal to the excess (if any) of the Buy-In Price over the product of (A) such number of shares of Common Stock, times (B) any trading price of the Common Stock selected by the Holder in writing as in effect at any time during the period beginning on the applicable Exercise Date and ending on the applicable Share Delivery Date.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Warrant Shares (or to electronically deliver such Warrant Shares) upon the exercise of this Warrant as required pursuant to the terms hereof. While this Warrant is outstanding, the Company shall cause its transfer agent to participate in the DTC Fast Automated Securities Transfer Program. In addition to the foregoing rights, (i) if the Company fails to deliver the applicable number of Warrant Shares upon an exercise pursuant to Section 1 by the applicable Share Delivery Date, then the Holder shall have the right to rescind such exercise in whole or in part and retain and/or have the Company return, as the case may be, any portion of this Warrant that has not been exercised pursuant to such Exercise Notice; provided that the rescission of an exercise shall not affect the Company’s obligation to make any payments that have accrued prior to the date of such notice pursuant to this Section 1(c) or otherwise, and (ii) if a registration statement (which may be the Registration Statement) covering the issuance or resale of the Warrant Shares that are subject to an Exercise Notice is not available for the issuance or resale, as applicable, of such Exercise Notice Warrant Shares and the Holder has submitted an Exercise Notice prior to receiving notice of the non-availability of such registration statement and the Company has not already delivered the Warrant Shares underlying such Exercise Notice electronically without any restrictive legend by crediting such aggregate number of Warrant Shares to which the Holder is entitled pursuant to such exercise to the Holder’s or its designee’s balance account with DTC through its Deposit / Withdrawal At Custodian system, the Holder shall have the option, by delivery of notice to the Company, to (x) rescind such Exercise Notice in whole or in part and retain or have returned, as the case may be, any portion of this Warrant that has not been exercised pursuant to such Exercise Notice; provided that the rescission of an Exercise Notice shall not affect the Company’s obligation to make any payments that have accrued prior to the date of such notice pursuant to this Section 1(c) or otherwise, and/or (y) switch some or all of such Exercise Notice from a cash exercise to a Cashless Exercise.</w:t>
      </w:r>
    </w:p>
    <w:p>
      <w:pPr>
        <w:spacing w:after="0" w:line="200" w:lineRule="exact"/>
        <w:rPr>
          <w:sz w:val="20"/>
          <w:szCs w:val="20"/>
          <w:color w:val="auto"/>
        </w:rPr>
      </w:pPr>
    </w:p>
    <w:p>
      <w:pPr>
        <w:spacing w:after="0" w:line="367" w:lineRule="exact"/>
        <w:rPr>
          <w:sz w:val="20"/>
          <w:szCs w:val="20"/>
          <w:color w:val="auto"/>
        </w:rPr>
      </w:pPr>
    </w:p>
    <w:p>
      <w:pPr>
        <w:ind w:right="20" w:firstLine="1953"/>
        <w:spacing w:after="0" w:line="256" w:lineRule="auto"/>
        <w:tabs>
          <w:tab w:leader="none" w:pos="236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contained herein to the contrary, if a registration statement (which may be the Registration Statement) covering the issuance or resale of the Exercise Notice Warrant Shares is not available for the issuance or resale, as applicable, of such Exercise Notice Warrant Shares,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 xml:space="preserve">Net Number = </w:t>
      </w:r>
      <w:r>
        <w:rPr>
          <w:rFonts w:ascii="Times New Roman" w:cs="Times New Roman" w:eastAsia="Times New Roman" w:hAnsi="Times New Roman"/>
          <w:sz w:val="18"/>
          <w:szCs w:val="18"/>
          <w:u w:val="single" w:color="auto"/>
          <w:color w:val="auto"/>
        </w:rPr>
        <w:t>(A x B) - (A x C)</w:t>
      </w:r>
    </w:p>
    <w:p>
      <w:pPr>
        <w:spacing w:after="0" w:line="3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B</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03" w:name="page204"/>
    <w:bookmarkEnd w:id="203"/>
    <w:p>
      <w:pPr>
        <w:ind w:left="196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total number of shares with respect to which this Warrant is then being exercised.</w:t>
      </w:r>
    </w:p>
    <w:p>
      <w:pPr>
        <w:spacing w:after="0" w:line="158" w:lineRule="exact"/>
        <w:rPr>
          <w:sz w:val="20"/>
          <w:szCs w:val="20"/>
          <w:color w:val="auto"/>
        </w:rPr>
      </w:pPr>
    </w:p>
    <w:p>
      <w:pPr>
        <w:jc w:val="both"/>
        <w:ind w:left="1620" w:hanging="323"/>
        <w:spacing w:after="0" w:line="285" w:lineRule="auto"/>
        <w:rPr>
          <w:sz w:val="20"/>
          <w:szCs w:val="20"/>
          <w:color w:val="auto"/>
        </w:rPr>
      </w:pPr>
      <w:r>
        <w:rPr>
          <w:rFonts w:ascii="Times New Roman" w:cs="Times New Roman" w:eastAsia="Times New Roman" w:hAnsi="Times New Roman"/>
          <w:sz w:val="16"/>
          <w:szCs w:val="16"/>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at the option of the Holder, either (y) the Weighted Average Price on the Trading Day immediately preceding the date of the applicable Notice of Exercise or</w:t>
      </w:r>
    </w:p>
    <w:p>
      <w:pPr>
        <w:jc w:val="both"/>
        <w:ind w:left="1620" w:firstLine="9"/>
        <w:spacing w:after="0" w:line="253" w:lineRule="auto"/>
        <w:tabs>
          <w:tab w:leader="none" w:pos="185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1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Exercise Price then in effect for the applicable Warrant Shares at the time of such exercise.</w:t>
      </w:r>
    </w:p>
    <w:p>
      <w:pPr>
        <w:spacing w:after="0" w:line="306"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Company acknowledges and agrees that in accordance with Section 3(a)(9) of the Securities Act of 1933, as amended, the Warrant Shares shall take on the registered characteristics of the Warrants being exercised, and the holding period of the Warrants being exercised may be tacked on to the holding period of the Warrant Shares. The Company agrees not to take any position contrary to this Section 1(d).</w:t>
      </w:r>
    </w:p>
    <w:p>
      <w:pPr>
        <w:spacing w:after="0" w:line="217" w:lineRule="exact"/>
        <w:rPr>
          <w:sz w:val="20"/>
          <w:szCs w:val="20"/>
          <w:color w:val="auto"/>
        </w:rPr>
      </w:pPr>
    </w:p>
    <w:p>
      <w:pPr>
        <w:ind w:right="160" w:firstLine="1953"/>
        <w:spacing w:after="0" w:line="262" w:lineRule="auto"/>
        <w:tabs>
          <w:tab w:leader="none" w:pos="235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In the case of a dispute as to the determination of the Exercise Price or the arithmetic calculation of the Warrant Shares, the Company shall promptly issue to the Holder the number of Warrant Shares that are not disputed and resolve such dispute in accordance with Section 11.</w:t>
      </w:r>
    </w:p>
    <w:p>
      <w:pPr>
        <w:spacing w:after="0" w:line="145" w:lineRule="exact"/>
        <w:rPr>
          <w:rFonts w:ascii="Times New Roman" w:cs="Times New Roman" w:eastAsia="Times New Roman" w:hAnsi="Times New Roman"/>
          <w:sz w:val="18"/>
          <w:szCs w:val="18"/>
          <w:color w:val="auto"/>
        </w:rPr>
      </w:pPr>
    </w:p>
    <w:p>
      <w:pPr>
        <w:ind w:right="20" w:firstLine="1953"/>
        <w:spacing w:after="0" w:line="286" w:lineRule="auto"/>
        <w:tabs>
          <w:tab w:leader="none" w:pos="2336" w:val="left"/>
        </w:tabs>
        <w:numPr>
          <w:ilvl w:val="1"/>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Beneficial Ownership</w:t>
      </w:r>
      <w:r>
        <w:rPr>
          <w:rFonts w:ascii="Times New Roman" w:cs="Times New Roman" w:eastAsia="Times New Roman" w:hAnsi="Times New Roman"/>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[4.99][9.99]% (the "</w:t>
      </w:r>
      <w:r>
        <w:rPr>
          <w:rFonts w:ascii="Times New Roman" w:cs="Times New Roman" w:eastAsia="Times New Roman" w:hAnsi="Times New Roman"/>
          <w:sz w:val="16"/>
          <w:szCs w:val="16"/>
          <w:b w:val="1"/>
          <w:bCs w:val="1"/>
          <w:color w:val="auto"/>
        </w:rPr>
        <w:t>Maximum Percentage</w:t>
      </w:r>
      <w:r>
        <w:rPr>
          <w:rFonts w:ascii="Times New Roman" w:cs="Times New Roman" w:eastAsia="Times New Roman" w:hAnsi="Times New Roman"/>
          <w:sz w:val="16"/>
          <w:szCs w:val="16"/>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 w:cs="Times New Roman" w:eastAsia="Times New Roman" w:hAnsi="Times New Roman"/>
          <w:sz w:val="16"/>
          <w:szCs w:val="16"/>
          <w:b w:val="1"/>
          <w:bCs w:val="1"/>
          <w:color w:val="auto"/>
        </w:rPr>
        <w:t>1934 Act</w:t>
      </w:r>
      <w:r>
        <w:rPr>
          <w:rFonts w:ascii="Times New Roman" w:cs="Times New Roman" w:eastAsia="Times New Roman" w:hAnsi="Times New Roman"/>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w:t>
      </w:r>
    </w:p>
    <w:p>
      <w:pPr>
        <w:spacing w:after="0" w:line="187" w:lineRule="exact"/>
        <w:rPr>
          <w:rFonts w:ascii="Times New Roman" w:cs="Times New Roman" w:eastAsia="Times New Roman" w:hAnsi="Times New Roman"/>
          <w:sz w:val="16"/>
          <w:szCs w:val="16"/>
          <w:color w:val="auto"/>
        </w:rPr>
      </w:pPr>
    </w:p>
    <w:p>
      <w:pPr>
        <w:ind w:right="40" w:firstLine="8"/>
        <w:spacing w:after="0" w:line="255" w:lineRule="auto"/>
        <w:tabs>
          <w:tab w:leader="none" w:pos="24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most recent Annual Report on Form 10-K, Quarterly Report on Form 10-Q and Current Reports on Form 8-K or other public filing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as the case may be, (y) a more recent public announcement by the Company or (3) any other written notice by the Company or the Transfer Agent setting forth the number of</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04" w:name="page205"/>
    <w:bookmarkEnd w:id="204"/>
    <w:p>
      <w:pPr>
        <w:ind w:right="60"/>
        <w:spacing w:after="0" w:line="248" w:lineRule="auto"/>
        <w:rPr>
          <w:sz w:val="20"/>
          <w:szCs w:val="20"/>
          <w:color w:val="auto"/>
        </w:rPr>
      </w:pPr>
      <w:r>
        <w:rPr>
          <w:rFonts w:ascii="Times New Roman" w:cs="Times New Roman" w:eastAsia="Times New Roman" w:hAnsi="Times New Roman"/>
          <w:sz w:val="18"/>
          <w:szCs w:val="18"/>
          <w:color w:val="auto"/>
        </w:rPr>
        <w:t>shares of Common Stock outstanding (the "</w:t>
      </w:r>
      <w:r>
        <w:rPr>
          <w:rFonts w:ascii="Times New Roman" w:cs="Times New Roman" w:eastAsia="Times New Roman" w:hAnsi="Times New Roman"/>
          <w:sz w:val="18"/>
          <w:szCs w:val="18"/>
          <w:b w:val="1"/>
          <w:bCs w:val="1"/>
          <w:color w:val="auto"/>
        </w:rPr>
        <w:t>Reported Outstanding Share Number</w:t>
      </w:r>
      <w:r>
        <w:rPr>
          <w:rFonts w:ascii="Times New Roman" w:cs="Times New Roman" w:eastAsia="Times New Roman" w:hAnsi="Times New Roman"/>
          <w:sz w:val="18"/>
          <w:szCs w:val="18"/>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8"/>
          <w:szCs w:val="18"/>
          <w:b w:val="1"/>
          <w:bCs w:val="1"/>
          <w:color w:val="auto"/>
        </w:rPr>
        <w:t>Reduction 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or decrease the Maximum Percentage to any other percentage not in excess of [4.99] [9.99]% as specified in such notice; provided that (i) any such increase in the Maximum Percentage will not be effective until the sixty-first (61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w:t>
      </w:r>
    </w:p>
    <w:p>
      <w:pPr>
        <w:spacing w:after="0" w:line="163" w:lineRule="exact"/>
        <w:rPr>
          <w:sz w:val="20"/>
          <w:szCs w:val="20"/>
          <w:color w:val="auto"/>
        </w:rPr>
      </w:pPr>
    </w:p>
    <w:p>
      <w:pPr>
        <w:ind w:firstLine="1953"/>
        <w:spacing w:after="0" w:line="253" w:lineRule="auto"/>
        <w:tabs>
          <w:tab w:leader="none" w:pos="236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So long as this Warrant remains outstanding, the Company shall at all times keep reserved for issuance under this Warrant a number of shares of Common Stock at least equal to 100% of the maximum number of shares of Common Stock as shall be necessary to satisfy the Company’s obligation to issue shares of Common Stock under the Warrants then outstanding (without regard to any limitations on exercise)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no time shall the number of shares of Common Stock reserved pursuant to this Section 1(g) be reduced other than in connection with any exercise of Warrants or such other event covered by Section 2(c) below. The Required Reserve Amount (including, without limitation, each increase in the number of shares so reserved) shall be allocated pro rata among the holders of the Warrants based on the number of shares of Common Stock issuable upon exercise of Warrants held by each holder thereof on the Issuance Date (without regard to any limitations on exercise) (the "</w:t>
      </w:r>
      <w:r>
        <w:rPr>
          <w:rFonts w:ascii="Times New Roman" w:cs="Times New Roman" w:eastAsia="Times New Roman" w:hAnsi="Times New Roman"/>
          <w:sz w:val="18"/>
          <w:szCs w:val="18"/>
          <w:b w:val="1"/>
          <w:bCs w:val="1"/>
          <w:color w:val="auto"/>
        </w:rPr>
        <w:t>Authorized Share Allocation</w:t>
      </w:r>
      <w:r>
        <w:rPr>
          <w:rFonts w:ascii="Times New Roman" w:cs="Times New Roman" w:eastAsia="Times New Roman" w:hAnsi="Times New Roman"/>
          <w:sz w:val="18"/>
          <w:szCs w:val="18"/>
          <w:color w:val="auto"/>
        </w:rPr>
        <w:t>"). In the event that a holder shall sell or otherwise transfer any of such holder’s Warrants, each transferee shall be allocated a pro rata portion of such holder’s Authorized Share Allocation. Any shares of Common Stock reserved and allocated to any Person which ceases to hold any Warrants shall be allocated to the remaining holders of Warrants, pro rata based on the number of shares of Common Stock issuable upon exercise of the Warrants then held by such holders thereof (without regard to any limitations on exercise).</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05" w:name="page206"/>
    <w:bookmarkEnd w:id="205"/>
    <w:p>
      <w:pPr>
        <w:ind w:firstLine="1953"/>
        <w:spacing w:after="0" w:line="252" w:lineRule="auto"/>
        <w:tabs>
          <w:tab w:leader="none" w:pos="2366"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If at any time while this Warrant remains outstanding the Company does not have a sufficient number of authorized and unreserved shares of Common Stock to satisfy its obligation to reserve for issuance the Required Reserve Amount (an "</w:t>
      </w:r>
      <w:r>
        <w:rPr>
          <w:rFonts w:ascii="Times New Roman" w:cs="Times New Roman" w:eastAsia="Times New Roman" w:hAnsi="Times New Roman"/>
          <w:sz w:val="18"/>
          <w:szCs w:val="18"/>
          <w:b w:val="1"/>
          <w:bCs w:val="1"/>
          <w:color w:val="auto"/>
        </w:rPr>
        <w:t>Authorized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 Failure</w:t>
      </w:r>
      <w:r>
        <w:rPr>
          <w:rFonts w:ascii="Times New Roman" w:cs="Times New Roman" w:eastAsia="Times New Roman" w:hAnsi="Times New Roman"/>
          <w:sz w:val="18"/>
          <w:szCs w:val="18"/>
          <w:color w:val="auto"/>
        </w:rPr>
        <w:t>"), then the Company shall promptly take all action reasonably necessary to increase the Company's authorized shares of Common Stock 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sufficient to allow the Company to reserve the Required Reserve Amount for this Warrant then outstanding. Without limiting the generality of the foregoing sentence,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w:t>
      </w:r>
    </w:p>
    <w:p>
      <w:pPr>
        <w:spacing w:after="0" w:line="160" w:lineRule="exact"/>
        <w:rPr>
          <w:rFonts w:ascii="Times New Roman" w:cs="Times New Roman" w:eastAsia="Times New Roman" w:hAnsi="Times New Roman"/>
          <w:sz w:val="18"/>
          <w:szCs w:val="18"/>
          <w:color w:val="auto"/>
        </w:rPr>
      </w:pPr>
    </w:p>
    <w:p>
      <w:pPr>
        <w:ind w:right="460" w:firstLine="1305"/>
        <w:spacing w:after="0" w:line="275" w:lineRule="auto"/>
        <w:tabs>
          <w:tab w:leader="none" w:pos="164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EXERCISE PRICE AND NUMBER OF WARRANT SHARES</w:t>
      </w:r>
      <w:r>
        <w:rPr>
          <w:rFonts w:ascii="Times New Roman" w:cs="Times New Roman" w:eastAsia="Times New Roman" w:hAnsi="Times New Roman"/>
          <w:sz w:val="18"/>
          <w:szCs w:val="18"/>
          <w:color w:val="auto"/>
        </w:rPr>
        <w:t>. The Exercise Price and the number of Warrant Shares shall be adjusted from time to time as follows:</w:t>
      </w:r>
    </w:p>
    <w:p>
      <w:pPr>
        <w:spacing w:after="0" w:line="133" w:lineRule="exact"/>
        <w:rPr>
          <w:rFonts w:ascii="Times New Roman" w:cs="Times New Roman" w:eastAsia="Times New Roman" w:hAnsi="Times New Roman"/>
          <w:sz w:val="18"/>
          <w:szCs w:val="18"/>
          <w:color w:val="auto"/>
        </w:rPr>
      </w:pPr>
    </w:p>
    <w:p>
      <w:pPr>
        <w:ind w:left="2360" w:hanging="407"/>
        <w:spacing w:after="0"/>
        <w:tabs>
          <w:tab w:leader="none" w:pos="23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184" w:lineRule="exact"/>
        <w:rPr>
          <w:rFonts w:ascii="Times New Roman" w:cs="Times New Roman" w:eastAsia="Times New Roman" w:hAnsi="Times New Roman"/>
          <w:sz w:val="18"/>
          <w:szCs w:val="18"/>
          <w:color w:val="auto"/>
        </w:rPr>
      </w:pPr>
    </w:p>
    <w:p>
      <w:pPr>
        <w:ind w:right="20" w:firstLine="1953"/>
        <w:spacing w:after="0" w:line="254" w:lineRule="auto"/>
        <w:tabs>
          <w:tab w:leader="none" w:pos="236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Upon Subdivision or Combination of Common Stock</w:t>
      </w:r>
      <w:r>
        <w:rPr>
          <w:rFonts w:ascii="Times New Roman" w:cs="Times New Roman" w:eastAsia="Times New Roman" w:hAnsi="Times New Roman"/>
          <w:sz w:val="18"/>
          <w:szCs w:val="18"/>
          <w:color w:val="auto"/>
        </w:rPr>
        <w:t>. If the Company at any time on or after the Subscription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Subscription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2(c) shall become effective at the close of business on the date the subdivision or combination becomes effective.</w:t>
      </w:r>
    </w:p>
    <w:p>
      <w:pPr>
        <w:spacing w:after="0" w:line="154" w:lineRule="exact"/>
        <w:rPr>
          <w:rFonts w:ascii="Times New Roman" w:cs="Times New Roman" w:eastAsia="Times New Roman" w:hAnsi="Times New Roman"/>
          <w:sz w:val="18"/>
          <w:szCs w:val="18"/>
          <w:color w:val="auto"/>
        </w:rPr>
      </w:pPr>
    </w:p>
    <w:p>
      <w:pPr>
        <w:ind w:right="100" w:firstLine="1953"/>
        <w:spacing w:after="0" w:line="256" w:lineRule="auto"/>
        <w:tabs>
          <w:tab w:leader="none" w:pos="235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xml:space="preserve">.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will make an appropriate adjustment in the Exercise Price and the number of Warrant Shares, as mutually determined by the Company’s Board of Directors and the Required Holders, so as to protect the rights of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adjustment pursuant to this Section 2(d) will increase the Exercise Price or decrease the number of Warrant Shares as otherwise determined pursuant to this Section 2.</w:t>
      </w:r>
    </w:p>
    <w:p>
      <w:pPr>
        <w:spacing w:after="0" w:line="152" w:lineRule="exact"/>
        <w:rPr>
          <w:rFonts w:ascii="Times New Roman" w:cs="Times New Roman" w:eastAsia="Times New Roman" w:hAnsi="Times New Roman"/>
          <w:sz w:val="18"/>
          <w:szCs w:val="18"/>
          <w:color w:val="auto"/>
        </w:rPr>
      </w:pPr>
    </w:p>
    <w:p>
      <w:pPr>
        <w:ind w:right="80" w:firstLine="1305"/>
        <w:spacing w:after="0" w:line="253" w:lineRule="auto"/>
        <w:tabs>
          <w:tab w:leader="none" w:pos="164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In addition to any adjustments pursuant to Section 2 above, if, on or after the Subscription Date and on or prior to the Expiration Date,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6" w:name="page207"/>
    <w:bookmarkEnd w:id="206"/>
    <w:p>
      <w:pPr>
        <w:ind w:right="40"/>
        <w:spacing w:after="0" w:line="255" w:lineRule="auto"/>
        <w:rPr>
          <w:sz w:val="20"/>
          <w:szCs w:val="20"/>
          <w:color w:val="auto"/>
        </w:rPr>
      </w:pPr>
      <w:r>
        <w:rPr>
          <w:rFonts w:ascii="Times New Roman" w:cs="Times New Roman" w:eastAsia="Times New Roman" w:hAnsi="Times New Roman"/>
          <w:sz w:val="18"/>
          <w:szCs w:val="18"/>
          <w:color w:val="auto"/>
        </w:rPr>
        <w:t>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53" w:lineRule="exact"/>
        <w:rPr>
          <w:sz w:val="20"/>
          <w:szCs w:val="20"/>
          <w:color w:val="auto"/>
        </w:rPr>
      </w:pPr>
    </w:p>
    <w:p>
      <w:pPr>
        <w:ind w:left="1660" w:hanging="355"/>
        <w:spacing w:after="0"/>
        <w:tabs>
          <w:tab w:leader="none" w:pos="1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 FUNDAMENTAL TRANSACTIONS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firstLine="1953"/>
        <w:spacing w:after="0" w:line="286" w:lineRule="auto"/>
        <w:tabs>
          <w:tab w:leader="none" w:pos="2356"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Purchase Rights</w:t>
      </w:r>
      <w:r>
        <w:rPr>
          <w:rFonts w:ascii="Times New Roman" w:cs="Times New Roman" w:eastAsia="Times New Roman" w:hAnsi="Times New Roman"/>
          <w:sz w:val="16"/>
          <w:szCs w:val="16"/>
          <w:color w:val="auto"/>
        </w:rPr>
        <w:t>. In addition to any adjustments pursuant to Section 2 above, if at any time on or after the Subscription Date and on or prior to the Expiration Date the Company grants, issues or sells any Options, Convertible Securities or rights to purchase stock, warrants, securities or other property pro rata to the record holders of any class of Common Stock but excluding shares of Common Stock deemed to have been issued or sold by the Company in connection with any Excluded Securities (the "Purchase Rights"),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w:t>
      </w:r>
    </w:p>
    <w:p>
      <w:pPr>
        <w:spacing w:after="0" w:line="350" w:lineRule="exact"/>
        <w:rPr>
          <w:rFonts w:ascii="Times New Roman" w:cs="Times New Roman" w:eastAsia="Times New Roman" w:hAnsi="Times New Roman"/>
          <w:sz w:val="16"/>
          <w:szCs w:val="16"/>
          <w:color w:val="auto"/>
        </w:rPr>
      </w:pPr>
    </w:p>
    <w:p>
      <w:pPr>
        <w:ind w:firstLine="1953"/>
        <w:spacing w:after="0" w:line="252" w:lineRule="auto"/>
        <w:tabs>
          <w:tab w:leader="none" w:pos="2366"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 Company shall not enter into or be party to a Fundamental Transaction unless the Successor Entity assumes in writing all of the obligations of the Company under this Warrant in accordance with the provisions of this Section 4(b),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the Successor Entity shall succeed to, and be substituted for the Company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common stock (or its</w:t>
      </w: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07" w:name="page208"/>
    <w:bookmarkEnd w:id="207"/>
    <w:p>
      <w:pPr>
        <w:spacing w:after="0" w:line="285" w:lineRule="auto"/>
        <w:rPr>
          <w:sz w:val="20"/>
          <w:szCs w:val="20"/>
          <w:color w:val="auto"/>
        </w:rPr>
      </w:pPr>
      <w:r>
        <w:rPr>
          <w:rFonts w:ascii="Times New Roman" w:cs="Times New Roman" w:eastAsia="Times New Roman" w:hAnsi="Times New Roman"/>
          <w:sz w:val="16"/>
          <w:szCs w:val="16"/>
          <w:color w:val="auto"/>
        </w:rPr>
        <w:t>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6"/>
          <w:szCs w:val="16"/>
          <w:b w:val="1"/>
          <w:bCs w:val="1"/>
          <w:color w:val="auto"/>
        </w:rPr>
        <w:t>Corporate Event</w:t>
      </w:r>
      <w:r>
        <w:rPr>
          <w:rFonts w:ascii="Times New Roman" w:cs="Times New Roman" w:eastAsia="Times New Roman" w:hAnsi="Times New Roman"/>
          <w:sz w:val="16"/>
          <w:szCs w:val="16"/>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(collectively, the “</w:t>
      </w:r>
      <w:r>
        <w:rPr>
          <w:rFonts w:ascii="Times New Roman" w:cs="Times New Roman" w:eastAsia="Times New Roman" w:hAnsi="Times New Roman"/>
          <w:sz w:val="16"/>
          <w:szCs w:val="16"/>
          <w:b w:val="1"/>
          <w:bCs w:val="1"/>
          <w:color w:val="auto"/>
        </w:rPr>
        <w:t>Corporate Event Consideration</w:t>
      </w:r>
      <w:r>
        <w:rPr>
          <w:rFonts w:ascii="Times New Roman" w:cs="Times New Roman" w:eastAsia="Times New Roman" w:hAnsi="Times New Roman"/>
          <w:sz w:val="16"/>
          <w:szCs w:val="16"/>
          <w:color w:val="auto"/>
        </w:rPr>
        <w:t>”) which the Holder would have been entitled to receive upon the happening of the applicable Fundamental Transaction had this Warrant been exercised immediately prior to the applicable Fundamental Transaction (without regard to any limitations on the exercise of this Warrant). The provision made pursuant to the preceding sentence shall be in a form and substance reasonably satisfactory to the Holder. The provisions of this Section 4(b) shall apply similarly and equally to successive Fundamental Transactions and Corporate Events. Notwithstanding the foregoing, in the event of a Change of Control (other than a Change of Control which was not approved by the Board of Directors, as to which this right shall not apply), at the request of the Holder delivered before the 30th day after such Change of Control, the Company (or the Successor Entity) shall purchase this Warrant from the Holder by paying to the Holder, within five Business Days after such request (or, if later, on the effective date of the Change of Control), an amount equal to the Black Scholes Value of the remaining unexercised portion of this Warrant on the effective date of such Change of Control, payable in cash; provided, that if the applicable Change of Control was not approved by the Company's Board of Directors, such amount shall be payable, at the option of the Company in either (x) Common Stock (or corresponding Corporate Event Consideration, as applicable) valued at the value of the consideration received by the shareholders in such Change of Control or (y) cash.</w:t>
      </w:r>
    </w:p>
    <w:p>
      <w:pPr>
        <w:spacing w:after="0" w:line="200" w:lineRule="exact"/>
        <w:rPr>
          <w:sz w:val="20"/>
          <w:szCs w:val="20"/>
          <w:color w:val="auto"/>
        </w:rPr>
      </w:pPr>
    </w:p>
    <w:p>
      <w:pPr>
        <w:spacing w:after="0" w:line="362" w:lineRule="exact"/>
        <w:rPr>
          <w:sz w:val="20"/>
          <w:szCs w:val="20"/>
          <w:color w:val="auto"/>
        </w:rPr>
      </w:pPr>
    </w:p>
    <w:p>
      <w:pPr>
        <w:ind w:right="60" w:firstLine="1305"/>
        <w:spacing w:after="0" w:line="253" w:lineRule="auto"/>
        <w:tabs>
          <w:tab w:leader="none" w:pos="164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Restated and Amended Articles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and (iii) shall, so long as any of the Warrants are outstanding, take all action necessary to reserve and keep available out of its authorized and unissued shares of Common Stock, solely for the purpose of effecting the exercise of the Warrants, the number of shares of Common Stock as shall from time to time be necessary to effect the exercise of the Warrants then outstanding (without regard to any limitations on exercise).</w:t>
      </w:r>
    </w:p>
    <w:p>
      <w:pPr>
        <w:spacing w:after="0" w:line="154" w:lineRule="exact"/>
        <w:rPr>
          <w:rFonts w:ascii="Times New Roman" w:cs="Times New Roman" w:eastAsia="Times New Roman" w:hAnsi="Times New Roman"/>
          <w:sz w:val="18"/>
          <w:szCs w:val="18"/>
          <w:color w:val="auto"/>
        </w:rPr>
      </w:pPr>
    </w:p>
    <w:p>
      <w:pPr>
        <w:ind w:firstLine="1305"/>
        <w:spacing w:after="0" w:line="253" w:lineRule="auto"/>
        <w:tabs>
          <w:tab w:leader="none" w:pos="164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HOLDER NOT DEEMED A STOCKHOLDER</w:t>
      </w:r>
      <w:r>
        <w:rPr>
          <w:rFonts w:ascii="Times New Roman" w:cs="Times New Roman" w:eastAsia="Times New Roman" w:hAnsi="Times New Roman"/>
          <w:sz w:val="18"/>
          <w:szCs w:val="18"/>
          <w:color w:val="auto"/>
        </w:rPr>
        <w:t>. Except as otherwise specifically provided herein,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08" w:name="page209"/>
    <w:bookmarkEnd w:id="208"/>
    <w:p>
      <w:pPr>
        <w:ind w:left="1652" w:hanging="355"/>
        <w:spacing w:after="0"/>
        <w:tabs>
          <w:tab w:leader="none" w:pos="1652"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WARRANTS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8" w:right="100" w:firstLine="1953"/>
        <w:spacing w:after="0" w:line="256" w:lineRule="auto"/>
        <w:tabs>
          <w:tab w:leader="none" w:pos="2348" w:val="left"/>
        </w:tabs>
        <w:numPr>
          <w:ilvl w:val="3"/>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spacing w:after="0" w:line="152" w:lineRule="exact"/>
        <w:rPr>
          <w:rFonts w:ascii="Times New Roman" w:cs="Times New Roman" w:eastAsia="Times New Roman" w:hAnsi="Times New Roman"/>
          <w:sz w:val="18"/>
          <w:szCs w:val="18"/>
          <w:color w:val="auto"/>
        </w:rPr>
      </w:pPr>
    </w:p>
    <w:p>
      <w:pPr>
        <w:ind w:left="-8" w:right="320" w:firstLine="1953"/>
        <w:spacing w:after="0" w:line="256" w:lineRule="auto"/>
        <w:tabs>
          <w:tab w:leader="none" w:pos="2358" w:val="left"/>
        </w:tabs>
        <w:numPr>
          <w:ilvl w:val="3"/>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and, in the case of loss, theft or destruction, of any indemnification undertaking by the Holder to the Company in customary form (but without the obligation to post a bond)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52" w:lineRule="exact"/>
        <w:rPr>
          <w:rFonts w:ascii="Times New Roman" w:cs="Times New Roman" w:eastAsia="Times New Roman" w:hAnsi="Times New Roman"/>
          <w:sz w:val="18"/>
          <w:szCs w:val="18"/>
          <w:color w:val="auto"/>
        </w:rPr>
      </w:pPr>
    </w:p>
    <w:p>
      <w:pPr>
        <w:ind w:left="-8" w:right="20" w:firstLine="1953"/>
        <w:spacing w:after="0" w:line="258" w:lineRule="auto"/>
        <w:tabs>
          <w:tab w:leader="none" w:pos="2348" w:val="left"/>
        </w:tabs>
        <w:numPr>
          <w:ilvl w:val="3"/>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w:t>
      </w:r>
    </w:p>
    <w:p>
      <w:pPr>
        <w:spacing w:after="0" w:line="149" w:lineRule="exact"/>
        <w:rPr>
          <w:rFonts w:ascii="Times New Roman" w:cs="Times New Roman" w:eastAsia="Times New Roman" w:hAnsi="Times New Roman"/>
          <w:sz w:val="18"/>
          <w:szCs w:val="18"/>
          <w:color w:val="auto"/>
        </w:rPr>
      </w:pPr>
    </w:p>
    <w:p>
      <w:pPr>
        <w:ind w:left="-8" w:right="160" w:firstLine="1953"/>
        <w:spacing w:after="0" w:line="255" w:lineRule="auto"/>
        <w:tabs>
          <w:tab w:leader="none" w:pos="2358" w:val="left"/>
        </w:tabs>
        <w:numPr>
          <w:ilvl w:val="3"/>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52" w:lineRule="exact"/>
        <w:rPr>
          <w:rFonts w:ascii="Times New Roman" w:cs="Times New Roman" w:eastAsia="Times New Roman" w:hAnsi="Times New Roman"/>
          <w:sz w:val="18"/>
          <w:szCs w:val="18"/>
          <w:color w:val="auto"/>
        </w:rPr>
      </w:pPr>
    </w:p>
    <w:p>
      <w:pPr>
        <w:ind w:left="-8" w:firstLine="1305"/>
        <w:spacing w:after="0" w:line="285" w:lineRule="auto"/>
        <w:tabs>
          <w:tab w:leader="none" w:pos="1636"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Whenever notice is required to be given under this Warrant, unless otherwise provided herein, such notice shall be given in writing, (i) if delivered (a) from within the domestic United States, by first-class registered or certified airmail, or nationally recognized overnight express courier, postage prepaid, electronic mail or by facsimile or (b) from outside the United States, by International Federal Express, electronic mail or facsimile, and (ii) will be deemed given (A) if delivered by first-class registered or certified mail domestic, three (3) Business Days after so mailed, (B) if delivered by nationally recognized overnight carrier, one (1) Business Day after so mailed, (C) if delivered by International Federal Express, two (2) Business Days after so mailed and</w:t>
      </w:r>
    </w:p>
    <w:p>
      <w:pPr>
        <w:ind w:left="-8" w:right="40" w:firstLine="8"/>
        <w:spacing w:after="0" w:line="254" w:lineRule="auto"/>
        <w:tabs>
          <w:tab w:leader="none" w:pos="2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transmission, if delivered by electronic mail to each of the email addresses specified in this Section 8 prior to 5:00 p.m. (New York time) on a Trading Day, (E) the next Trading Day after the date of transmission, if delivered by electronic mail to each of the email addresses specified in this Section 8 on a day that is not a Trading Day or later than 5:00 p.m. (New York time) on any Trading Day and (E) if delivered by facsimile, upon electronic confirmation of receipt of such facsimile, and will be delivered and addressed as follows:</w:t>
      </w:r>
    </w:p>
    <w:p>
      <w:pPr>
        <w:spacing w:after="0" w:line="272" w:lineRule="exact"/>
        <w:rPr>
          <w:rFonts w:ascii="Times New Roman" w:cs="Times New Roman" w:eastAsia="Times New Roman" w:hAnsi="Times New Roman"/>
          <w:sz w:val="18"/>
          <w:szCs w:val="18"/>
          <w:color w:val="auto"/>
        </w:rPr>
      </w:pPr>
    </w:p>
    <w:p>
      <w:pPr>
        <w:ind w:left="2272" w:hanging="651"/>
        <w:spacing w:after="0"/>
        <w:tabs>
          <w:tab w:leader="none" w:pos="2272"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rFonts w:ascii="Times New Roman" w:cs="Times New Roman" w:eastAsia="Times New Roman" w:hAnsi="Times New Roman"/>
          <w:sz w:val="18"/>
          <w:szCs w:val="18"/>
          <w:color w:val="auto"/>
        </w:rPr>
      </w:pPr>
    </w:p>
    <w:p>
      <w:pPr>
        <w:ind w:left="22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VistaGen Therapeutics, Inc.</w:t>
      </w:r>
    </w:p>
    <w:p>
      <w:pPr>
        <w:spacing w:after="0" w:line="21" w:lineRule="exact"/>
        <w:rPr>
          <w:rFonts w:ascii="Times New Roman" w:cs="Times New Roman" w:eastAsia="Times New Roman" w:hAnsi="Times New Roman"/>
          <w:sz w:val="18"/>
          <w:szCs w:val="18"/>
          <w:color w:val="auto"/>
        </w:rPr>
      </w:pPr>
    </w:p>
    <w:p>
      <w:pPr>
        <w:ind w:left="22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343 Allerton Ave.</w:t>
      </w:r>
    </w:p>
    <w:p>
      <w:pPr>
        <w:spacing w:after="0" w:line="9" w:lineRule="exact"/>
        <w:rPr>
          <w:rFonts w:ascii="Times New Roman" w:cs="Times New Roman" w:eastAsia="Times New Roman" w:hAnsi="Times New Roman"/>
          <w:sz w:val="18"/>
          <w:szCs w:val="18"/>
          <w:color w:val="auto"/>
        </w:rPr>
      </w:pPr>
    </w:p>
    <w:p>
      <w:pPr>
        <w:ind w:left="2272" w:right="68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San Francisco, CA 94090 Attention: Shawn Singh Facsimile: 888-482-2602 Email: ssingh@vistagen.com</w:t>
      </w:r>
    </w:p>
    <w:p>
      <w:pPr>
        <w:spacing w:after="0" w:line="191" w:lineRule="exact"/>
        <w:rPr>
          <w:rFonts w:ascii="Times New Roman" w:cs="Times New Roman" w:eastAsia="Times New Roman" w:hAnsi="Times New Roman"/>
          <w:sz w:val="18"/>
          <w:szCs w:val="18"/>
          <w:color w:val="auto"/>
        </w:rPr>
      </w:pPr>
    </w:p>
    <w:p>
      <w:pPr>
        <w:ind w:left="1612" w:right="120" w:firstLine="9"/>
        <w:spacing w:after="0" w:line="275" w:lineRule="auto"/>
        <w:tabs>
          <w:tab w:leader="none" w:pos="1871"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Holder, at such address or other contact information delivered by the Holder to Company or as is on the books and records of the Company.</w:t>
      </w:r>
    </w:p>
    <w:p>
      <w:pPr>
        <w:spacing w:after="0" w:line="32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584" w:right="259" w:bottom="1440" w:gutter="0" w:footer="0" w:header="0"/>
        </w:sectPr>
      </w:pPr>
    </w:p>
    <w:bookmarkStart w:id="209" w:name="page210"/>
    <w:bookmarkEnd w:id="209"/>
    <w:p>
      <w:pPr>
        <w:jc w:val="both"/>
        <w:ind w:firstLine="1297"/>
        <w:spacing w:after="0" w:line="287" w:lineRule="auto"/>
        <w:rPr>
          <w:sz w:val="20"/>
          <w:szCs w:val="20"/>
          <w:color w:val="auto"/>
        </w:rPr>
      </w:pPr>
      <w:r>
        <w:rPr>
          <w:rFonts w:ascii="Times New Roman" w:cs="Times New Roman" w:eastAsia="Times New Roman" w:hAnsi="Times New Roman"/>
          <w:sz w:val="16"/>
          <w:szCs w:val="16"/>
          <w:color w:val="auto"/>
        </w:rPr>
        <w:t>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immediately upon any adjustment of the Exercise Price, setting forth in reasonable detail, and certifying, the calculation of such adjustment and (ii) at least fifteen</w:t>
      </w:r>
    </w:p>
    <w:p>
      <w:pPr>
        <w:spacing w:after="0" w:line="1" w:lineRule="exact"/>
        <w:rPr>
          <w:sz w:val="20"/>
          <w:szCs w:val="20"/>
          <w:color w:val="auto"/>
        </w:rPr>
      </w:pPr>
    </w:p>
    <w:p>
      <w:pPr>
        <w:jc w:val="both"/>
        <w:ind w:firstLine="8"/>
        <w:spacing w:after="0" w:line="252" w:lineRule="auto"/>
        <w:tabs>
          <w:tab w:leader="none" w:pos="34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to holders of shares of Common Stock or (C) for determining rights to vote with respect to any Fundamental Transaction, dissolution or liquidation;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each case that such information shall be made known to the public prior to or in conjunction with such notice being provided to the Holder. It is expressly understood and agreed that the time of exercise specified by the Holder in each Exercise Notice shall be definitive and may not be disputed or challenged by the Company.</w:t>
      </w:r>
    </w:p>
    <w:p>
      <w:pPr>
        <w:spacing w:after="0" w:line="155" w:lineRule="exact"/>
        <w:rPr>
          <w:rFonts w:ascii="Times New Roman" w:cs="Times New Roman" w:eastAsia="Times New Roman" w:hAnsi="Times New Roman"/>
          <w:sz w:val="18"/>
          <w:szCs w:val="18"/>
          <w:color w:val="auto"/>
        </w:rPr>
      </w:pPr>
    </w:p>
    <w:p>
      <w:pPr>
        <w:jc w:val="both"/>
        <w:ind w:right="140" w:firstLine="1305"/>
        <w:spacing w:after="0" w:line="262" w:lineRule="auto"/>
        <w:tabs>
          <w:tab w:leader="none" w:pos="164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the Holder.</w:t>
      </w:r>
    </w:p>
    <w:p>
      <w:pPr>
        <w:spacing w:after="0" w:line="145" w:lineRule="exact"/>
        <w:rPr>
          <w:rFonts w:ascii="Times New Roman" w:cs="Times New Roman" w:eastAsia="Times New Roman" w:hAnsi="Times New Roman"/>
          <w:sz w:val="18"/>
          <w:szCs w:val="18"/>
          <w:color w:val="auto"/>
        </w:rPr>
      </w:pPr>
    </w:p>
    <w:p>
      <w:pPr>
        <w:ind w:right="20" w:firstLine="1305"/>
        <w:spacing w:after="0" w:line="287" w:lineRule="auto"/>
        <w:tabs>
          <w:tab w:leader="none" w:pos="1732"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 JURISDICTION; JURY TRIAL</w:t>
      </w:r>
      <w:r>
        <w:rPr>
          <w:rFonts w:ascii="Times New Roman" w:cs="Times New Roman" w:eastAsia="Times New Roman" w:hAnsi="Times New Roman"/>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the Company at the address set forth in Section 8(i) above or such other address as the Company subsequently delivers to the Holder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16"/>
          <w:szCs w:val="16"/>
          <w:b w:val="1"/>
          <w:bCs w:val="1"/>
          <w:color w:val="auto"/>
        </w:rPr>
        <w:t>THE</w:t>
      </w:r>
    </w:p>
    <w:p>
      <w:pPr>
        <w:spacing w:after="0" w:line="181" w:lineRule="exact"/>
        <w:rPr>
          <w:rFonts w:ascii="Times New Roman" w:cs="Times New Roman" w:eastAsia="Times New Roman" w:hAnsi="Times New Roman"/>
          <w:sz w:val="16"/>
          <w:szCs w:val="16"/>
          <w:color w:val="auto"/>
        </w:rPr>
      </w:pPr>
    </w:p>
    <w:p>
      <w:pPr>
        <w:ind w:right="42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COMPANY HEREBY IRREVOCABLY WAIVES ANY RIGHT IT MAY HAVE, AND AGREES NOT TO REQUEST, A JURY TRIAL FOR THE ADJUDICATION OF ANY DISPUTE HEREUNDER OR IN CONNECTION WITH OR ARISING OUT OF THIS WARRANT OR ANY TRANSACTION CONTEMPLATED HEREBY.</w:t>
      </w:r>
    </w:p>
    <w:p>
      <w:pPr>
        <w:spacing w:after="0" w:line="151" w:lineRule="exact"/>
        <w:rPr>
          <w:rFonts w:ascii="Times New Roman" w:cs="Times New Roman" w:eastAsia="Times New Roman" w:hAnsi="Times New Roman"/>
          <w:sz w:val="16"/>
          <w:szCs w:val="16"/>
          <w:color w:val="auto"/>
        </w:rPr>
      </w:pPr>
    </w:p>
    <w:p>
      <w:pPr>
        <w:ind w:right="60" w:firstLine="1305"/>
        <w:spacing w:after="0" w:line="252" w:lineRule="auto"/>
        <w:tabs>
          <w:tab w:leader="none" w:pos="1726"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VARIABLE RATE TRANSACTIONS</w:t>
      </w:r>
      <w:r>
        <w:rPr>
          <w:rFonts w:ascii="Times New Roman" w:cs="Times New Roman" w:eastAsia="Times New Roman" w:hAnsi="Times New Roman"/>
          <w:sz w:val="18"/>
          <w:szCs w:val="18"/>
          <w:color w:val="auto"/>
        </w:rPr>
        <w:t>. Notwithstanding anything to the contrary contained herein, from and after the Subscription Date and on or prior to the Expiration Date, the Company shall be prohibited from effecting or entering into an agreement to effect any issuance by the Company or any of its Subsidiaries of Common Stock, Convertible Securities or Options (or a combination thereof) involving a Variable Rate Transaction. As used herein, "</w:t>
      </w:r>
      <w:r>
        <w:rPr>
          <w:rFonts w:ascii="Times New Roman" w:cs="Times New Roman" w:eastAsia="Times New Roman" w:hAnsi="Times New Roman"/>
          <w:sz w:val="18"/>
          <w:szCs w:val="18"/>
          <w:b w:val="1"/>
          <w:bCs w:val="1"/>
          <w:color w:val="auto"/>
        </w:rPr>
        <w:t>Variable Rate Transaction</w:t>
      </w:r>
      <w:r>
        <w:rPr>
          <w:rFonts w:ascii="Times New Roman" w:cs="Times New Roman" w:eastAsia="Times New Roman" w:hAnsi="Times New Roman"/>
          <w:sz w:val="18"/>
          <w:szCs w:val="18"/>
          <w:color w:val="auto"/>
        </w:rPr>
        <w:t>" means a transaction in which the Company or any of its Subsidiaries (i) issues or sells any debt or equity security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any agreement, including, but not limited to an equity line of credit or at-the-market offering, whereby the Company or any of its Subsidiaries may issue securities at a future determined price. For the avoidance of doubt, the issuance of a Common Stock Equivalent with a fixed exercise or conversion price with a standard price only full ratchet or weighted average anti-dilution provision shall not be considered to be a Variable Rate Transaction.</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10" w:name="page211"/>
    <w:bookmarkEnd w:id="210"/>
    <w:p>
      <w:pPr>
        <w:ind w:right="20" w:firstLine="1305"/>
        <w:spacing w:after="0" w:line="253" w:lineRule="auto"/>
        <w:tabs>
          <w:tab w:leader="none" w:pos="173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or other event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(a) the disputed determination of the Exercise Price to an independent, reputable investment bank selected by the Company and approved by the Holder or (b)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154" w:lineRule="exact"/>
        <w:rPr>
          <w:rFonts w:ascii="Times New Roman" w:cs="Times New Roman" w:eastAsia="Times New Roman" w:hAnsi="Times New Roman"/>
          <w:sz w:val="18"/>
          <w:szCs w:val="18"/>
          <w:color w:val="auto"/>
        </w:rPr>
      </w:pPr>
    </w:p>
    <w:p>
      <w:pPr>
        <w:ind w:firstLine="1305"/>
        <w:spacing w:after="0" w:line="254" w:lineRule="auto"/>
        <w:tabs>
          <w:tab w:leader="none" w:pos="173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any other Transaction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w:t>
      </w:r>
    </w:p>
    <w:p>
      <w:pPr>
        <w:spacing w:after="0" w:line="154" w:lineRule="exact"/>
        <w:rPr>
          <w:rFonts w:ascii="Times New Roman" w:cs="Times New Roman" w:eastAsia="Times New Roman" w:hAnsi="Times New Roman"/>
          <w:sz w:val="18"/>
          <w:szCs w:val="18"/>
          <w:color w:val="auto"/>
        </w:rPr>
      </w:pPr>
    </w:p>
    <w:p>
      <w:pPr>
        <w:ind w:left="1740" w:hanging="435"/>
        <w:spacing w:after="0"/>
        <w:tabs>
          <w:tab w:leader="none" w:pos="174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This Warrant and the Warrant Shares may be offered for sale, sold, transferred, pledged or assigned without the consent of</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Company.</w:t>
      </w:r>
    </w:p>
    <w:p>
      <w:pPr>
        <w:spacing w:after="0" w:line="172" w:lineRule="exact"/>
        <w:rPr>
          <w:rFonts w:ascii="Times New Roman" w:cs="Times New Roman" w:eastAsia="Times New Roman" w:hAnsi="Times New Roman"/>
          <w:sz w:val="16"/>
          <w:szCs w:val="16"/>
          <w:color w:val="auto"/>
        </w:rPr>
      </w:pPr>
    </w:p>
    <w:p>
      <w:pPr>
        <w:ind w:firstLine="1305"/>
        <w:spacing w:after="0" w:line="253" w:lineRule="auto"/>
        <w:tabs>
          <w:tab w:leader="none" w:pos="173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CONSTRUCTION; HEADINGS</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w:t>
      </w:r>
    </w:p>
    <w:p>
      <w:pPr>
        <w:spacing w:after="0" w:line="154" w:lineRule="exact"/>
        <w:rPr>
          <w:rFonts w:ascii="Times New Roman" w:cs="Times New Roman" w:eastAsia="Times New Roman" w:hAnsi="Times New Roman"/>
          <w:sz w:val="18"/>
          <w:szCs w:val="18"/>
          <w:color w:val="auto"/>
        </w:rPr>
      </w:pPr>
    </w:p>
    <w:p>
      <w:pPr>
        <w:ind w:right="20" w:firstLine="1305"/>
        <w:spacing w:after="0" w:line="293" w:lineRule="auto"/>
        <w:tabs>
          <w:tab w:leader="none" w:pos="1732"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DISCLOSURE</w:t>
      </w:r>
      <w:r>
        <w:rPr>
          <w:rFonts w:ascii="Times New Roman" w:cs="Times New Roman" w:eastAsia="Times New Roman" w:hAnsi="Times New Roman"/>
          <w:sz w:val="16"/>
          <w:szCs w:val="16"/>
          <w:color w:val="auto"/>
        </w:rPr>
        <w:t>. Upon receipt or delivery by the Company of any notice in accordance with the terms of this Warrant, unless the Company has in good faith determined that the matters relating to such notice do not constitute material, nonpublic information relating to the Company or its subsidiaries, the Company shall contemporaneously with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w:t>
      </w: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11" w:name="page212"/>
    <w:bookmarkEnd w:id="211"/>
    <w:p>
      <w:pPr>
        <w:ind w:left="1680" w:hanging="435"/>
        <w:spacing w:after="0"/>
        <w:tabs>
          <w:tab w:leader="none" w:pos="16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182" w:lineRule="exact"/>
        <w:rPr>
          <w:rFonts w:ascii="Times New Roman" w:cs="Times New Roman" w:eastAsia="Times New Roman" w:hAnsi="Times New Roman"/>
          <w:sz w:val="18"/>
          <w:szCs w:val="18"/>
          <w:color w:val="auto"/>
        </w:rPr>
      </w:pPr>
    </w:p>
    <w:p>
      <w:pPr>
        <w:jc w:val="both"/>
        <w:ind w:left="-60" w:right="120" w:firstLine="1953"/>
        <w:spacing w:after="0" w:line="259" w:lineRule="auto"/>
        <w:tabs>
          <w:tab w:leader="none" w:pos="2296"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146" w:lineRule="exact"/>
        <w:rPr>
          <w:rFonts w:ascii="Times New Roman" w:cs="Times New Roman" w:eastAsia="Times New Roman" w:hAnsi="Times New Roman"/>
          <w:sz w:val="18"/>
          <w:szCs w:val="18"/>
          <w:color w:val="auto"/>
        </w:rPr>
      </w:pPr>
    </w:p>
    <w:p>
      <w:pPr>
        <w:ind w:left="-60" w:right="240" w:firstLine="1953"/>
        <w:spacing w:after="0" w:line="264" w:lineRule="auto"/>
        <w:tabs>
          <w:tab w:leader="none" w:pos="2306"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Stock Plan</w:t>
      </w:r>
      <w:r>
        <w:rPr>
          <w:rFonts w:ascii="Times New Roman" w:cs="Times New Roman" w:eastAsia="Times New Roman" w:hAnsi="Times New Roman"/>
          <w:sz w:val="18"/>
          <w:szCs w:val="18"/>
          <w:color w:val="auto"/>
        </w:rPr>
        <w:t>" means the Company’s 2016 Amended and Restated Stock Incentive Plan and any employee benefit plan which has been approved by a majority of the disinterested members of the Board of Directors of the Company, in each case pursuant to which the Company’s securities may be issued to any employee, officer or director for services provided to the Company.</w:t>
      </w:r>
    </w:p>
    <w:p>
      <w:pPr>
        <w:spacing w:after="0" w:line="140" w:lineRule="exact"/>
        <w:rPr>
          <w:rFonts w:ascii="Times New Roman" w:cs="Times New Roman" w:eastAsia="Times New Roman" w:hAnsi="Times New Roman"/>
          <w:sz w:val="18"/>
          <w:szCs w:val="18"/>
          <w:color w:val="auto"/>
        </w:rPr>
      </w:pPr>
    </w:p>
    <w:p>
      <w:pPr>
        <w:ind w:left="-60" w:right="80" w:firstLine="1953"/>
        <w:spacing w:after="0" w:line="255" w:lineRule="auto"/>
        <w:tabs>
          <w:tab w:leader="none" w:pos="2134"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Subscription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52" w:lineRule="exact"/>
        <w:rPr>
          <w:rFonts w:ascii="Times New Roman" w:cs="Times New Roman" w:eastAsia="Times New Roman" w:hAnsi="Times New Roman"/>
          <w:sz w:val="18"/>
          <w:szCs w:val="18"/>
          <w:color w:val="auto"/>
        </w:rPr>
      </w:pPr>
    </w:p>
    <w:p>
      <w:pPr>
        <w:ind w:left="-60" w:right="20" w:firstLine="1953"/>
        <w:spacing w:after="0" w:line="253" w:lineRule="auto"/>
        <w:tabs>
          <w:tab w:leader="none" w:pos="2349"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Price</w:t>
      </w:r>
      <w:r>
        <w:rPr>
          <w:rFonts w:ascii="Times New Roman" w:cs="Times New Roman" w:eastAsia="Times New Roman" w:hAnsi="Times New Roman"/>
          <w:sz w:val="18"/>
          <w:szCs w:val="18"/>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sheets” by OTC Markets Group Inc. (formerly Pink Sheets LLC)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11. All such determinations shall be appropriately adjusted for any stock dividend, stock split, stock combination or other similar transaction during such period.</w:t>
      </w:r>
    </w:p>
    <w:p>
      <w:pPr>
        <w:spacing w:after="0" w:line="152" w:lineRule="exact"/>
        <w:rPr>
          <w:rFonts w:ascii="Times New Roman" w:cs="Times New Roman" w:eastAsia="Times New Roman" w:hAnsi="Times New Roman"/>
          <w:sz w:val="18"/>
          <w:szCs w:val="18"/>
          <w:color w:val="auto"/>
        </w:rPr>
      </w:pPr>
    </w:p>
    <w:p>
      <w:pPr>
        <w:ind w:left="-60" w:firstLine="1953"/>
        <w:spacing w:after="0" w:line="254" w:lineRule="auto"/>
        <w:tabs>
          <w:tab w:leader="none" w:pos="2296"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determined as of the day immediately following the first public announcement of the applicable Fundamental Transaction, or, if the Fundamental Transaction is not publicly announced, the date the Fundamental Transaction is consummated, for pricing purposes and reflecting (i) a risk-free interest rate corresponding to the U.S. Treasury rate for a period equal to the remaining term of this Warrant as of such date of request, (ii) an expected volatility equal to the greater of 100% and the 100-day volatility obtained from the HVT function on Bloomberg as of the day immediately following the public announcement of the applicable Fundamental Transaction, or, if the Fundamental Transaction is not publicly announced, the date the Fundamental Transaction is consummated, (iii) the underlying price per share used in such calculation shall be the highest Weighted Average Price during the five (5) Trading Days prior to the closing of the Fundamental Transaction, (iv) a zero cost of borrow and (v) a 360 day annualization factor.</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300" w:top="584" w:right="299" w:bottom="1440" w:gutter="0" w:footer="0" w:header="0"/>
        </w:sectPr>
      </w:pPr>
    </w:p>
    <w:bookmarkStart w:id="212" w:name="page213"/>
    <w:bookmarkEnd w:id="212"/>
    <w:p>
      <w:pPr>
        <w:ind w:left="2320" w:hanging="387"/>
        <w:spacing w:after="0"/>
        <w:tabs>
          <w:tab w:leader="none" w:pos="23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Financial Markets.</w:t>
      </w:r>
    </w:p>
    <w:p>
      <w:pPr>
        <w:spacing w:after="0" w:line="184" w:lineRule="exact"/>
        <w:rPr>
          <w:rFonts w:ascii="Times New Roman" w:cs="Times New Roman" w:eastAsia="Times New Roman" w:hAnsi="Times New Roman"/>
          <w:sz w:val="18"/>
          <w:szCs w:val="18"/>
          <w:color w:val="auto"/>
        </w:rPr>
      </w:pPr>
    </w:p>
    <w:p>
      <w:pPr>
        <w:ind w:left="-20" w:right="100" w:firstLine="1953"/>
        <w:spacing w:after="0" w:line="277" w:lineRule="auto"/>
        <w:tabs>
          <w:tab w:leader="none" w:pos="234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129" w:lineRule="exact"/>
        <w:rPr>
          <w:rFonts w:ascii="Times New Roman" w:cs="Times New Roman" w:eastAsia="Times New Roman" w:hAnsi="Times New Roman"/>
          <w:sz w:val="18"/>
          <w:szCs w:val="18"/>
          <w:color w:val="auto"/>
        </w:rPr>
      </w:pPr>
    </w:p>
    <w:p>
      <w:pPr>
        <w:ind w:left="-20" w:right="20" w:firstLine="1953"/>
        <w:spacing w:after="0" w:line="253" w:lineRule="auto"/>
        <w:tabs>
          <w:tab w:leader="none" w:pos="234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any Fundamental Transaction other than (i)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(ii) pursuant to a migratory merger effected solely for the purpose of changing the jurisdiction of incorporation of the Company or (iii) a merger in connection with a bona fide acquisition by the Company of any Person in which (x) the gross consideration paid, directly or indirectly, by the Company in such acquisition is not greater than 20% of the Company’s market capitalization as calculated on the date of the consummation of such merger and (y) such merger does not contemplate a change to the identity of a majority of the board of directors of the Company. Notwithstanding anything herein to the contrary, any transaction or series of transaction that, directly or indirectly, results in the Company or the Successor Entity not having Common Stock or common stock, as applicable, registered under the 1934 Act and listed on an Eligible Market shall be deemed a Change of Control.</w:t>
      </w:r>
    </w:p>
    <w:p>
      <w:pPr>
        <w:spacing w:after="0" w:line="152" w:lineRule="exact"/>
        <w:rPr>
          <w:rFonts w:ascii="Times New Roman" w:cs="Times New Roman" w:eastAsia="Times New Roman" w:hAnsi="Times New Roman"/>
          <w:sz w:val="18"/>
          <w:szCs w:val="18"/>
          <w:color w:val="auto"/>
        </w:rPr>
      </w:pPr>
    </w:p>
    <w:p>
      <w:pPr>
        <w:ind w:left="-20" w:firstLine="1953"/>
        <w:spacing w:after="0" w:line="287" w:lineRule="auto"/>
        <w:tabs>
          <w:tab w:leader="none" w:pos="2307"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Closing Bid Price</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color w:val="auto"/>
        </w:rPr>
        <w:t>Closing Sale Price</w:t>
      </w:r>
      <w:r>
        <w:rPr>
          <w:rFonts w:ascii="Times New Roman" w:cs="Times New Roman" w:eastAsia="Times New Roman" w:hAnsi="Times New Roman"/>
          <w:sz w:val="16"/>
          <w:szCs w:val="16"/>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11. All such determinations to be appropriately adjusted for any stock dividend, stock split, stock combination, reclassification or other similar transaction during the applicable calculation period.</w:t>
      </w:r>
    </w:p>
    <w:p>
      <w:pPr>
        <w:spacing w:after="0" w:line="344" w:lineRule="exact"/>
        <w:rPr>
          <w:rFonts w:ascii="Times New Roman" w:cs="Times New Roman" w:eastAsia="Times New Roman" w:hAnsi="Times New Roman"/>
          <w:sz w:val="16"/>
          <w:szCs w:val="16"/>
          <w:color w:val="auto"/>
        </w:rPr>
      </w:pPr>
    </w:p>
    <w:p>
      <w:pPr>
        <w:ind w:left="-20" w:right="300" w:firstLine="1953"/>
        <w:spacing w:after="0" w:line="277" w:lineRule="auto"/>
        <w:tabs>
          <w:tab w:leader="none" w:pos="2307"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Common Stock, par value $0.001 per share, and (ii) any capital stock into which such Common Stock shall have been changed or any capital stock resulting from a reclassification of such Common Stock.</w:t>
      </w:r>
    </w:p>
    <w:p>
      <w:pPr>
        <w:spacing w:after="0" w:line="129" w:lineRule="exact"/>
        <w:rPr>
          <w:rFonts w:ascii="Times New Roman" w:cs="Times New Roman" w:eastAsia="Times New Roman" w:hAnsi="Times New Roman"/>
          <w:sz w:val="18"/>
          <w:szCs w:val="18"/>
          <w:color w:val="auto"/>
        </w:rPr>
      </w:pPr>
    </w:p>
    <w:p>
      <w:pPr>
        <w:ind w:left="-20" w:firstLine="1953"/>
        <w:spacing w:after="0" w:line="277" w:lineRule="auto"/>
        <w:tabs>
          <w:tab w:leader="none" w:pos="234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securities (other than Options) directly or indirectly convertible into or exercisable or exchangeable for shares of Common Stock.</w:t>
      </w:r>
    </w:p>
    <w:p>
      <w:pPr>
        <w:spacing w:after="0" w:line="129" w:lineRule="exact"/>
        <w:rPr>
          <w:rFonts w:ascii="Times New Roman" w:cs="Times New Roman" w:eastAsia="Times New Roman" w:hAnsi="Times New Roman"/>
          <w:sz w:val="18"/>
          <w:szCs w:val="18"/>
          <w:color w:val="auto"/>
        </w:rPr>
      </w:pPr>
    </w:p>
    <w:p>
      <w:pPr>
        <w:ind w:left="-20" w:right="120" w:firstLine="1953"/>
        <w:spacing w:after="0" w:line="277" w:lineRule="auto"/>
        <w:tabs>
          <w:tab w:leader="none" w:pos="2307"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NASDAQ Capital Market, the NYSE American LLC, The NASDAQ Global Select Market, The NASDAQ Global Market or The New York Stock Exchange, Inc.</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83" w:right="239" w:bottom="1440" w:gutter="0" w:footer="0" w:header="0"/>
        </w:sectPr>
      </w:pPr>
    </w:p>
    <w:bookmarkStart w:id="213" w:name="page214"/>
    <w:bookmarkEnd w:id="213"/>
    <w:p>
      <w:pPr>
        <w:ind w:right="20" w:firstLine="1953"/>
        <w:spacing w:after="0" w:line="255" w:lineRule="auto"/>
        <w:tabs>
          <w:tab w:leader="none" w:pos="2458"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any shares of Common Stock issued or issuable, or deemed issued or issuable pursuant to Section 2(a): (i) in connection with any Approved Stock Plan, (ii) upon exercise of the Warrants; provided, that the terms of such Warrants are not amended, modified or changed on or after the Subscription Date, (iii) upon conversion, exercise or exchange of any Options or Convertible Securities which are outstanding on the day immediately preceding the Subscription Date</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provided, that the terms of such Options or Convertible Securities are not amended, modified or changed on or after the Subscription Date and (iv) issued as payment of regular dividends pursuant to the terms of the Company’s Series B Preferred Stock; provided, that the terms of the Series B Preferred Stock are not amended, modified or changed on or after the Subscription Date.</w:t>
      </w:r>
    </w:p>
    <w:p>
      <w:pPr>
        <w:spacing w:after="0" w:line="368" w:lineRule="exact"/>
        <w:rPr>
          <w:rFonts w:ascii="Times New Roman" w:cs="Times New Roman" w:eastAsia="Times New Roman" w:hAnsi="Times New Roman"/>
          <w:sz w:val="18"/>
          <w:szCs w:val="18"/>
          <w:color w:val="auto"/>
        </w:rPr>
      </w:pPr>
    </w:p>
    <w:p>
      <w:pPr>
        <w:ind w:right="40" w:firstLine="1953"/>
        <w:spacing w:after="0" w:line="277" w:lineRule="auto"/>
        <w:tabs>
          <w:tab w:leader="none" w:pos="2366"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sixty (60) months after the Initial Exercisability Date or, if such date falls on a day other than a Business Day or on which trading does not take place on the Principal Market (a "</w:t>
      </w:r>
      <w:r>
        <w:rPr>
          <w:rFonts w:ascii="Times New Roman" w:cs="Times New Roman" w:eastAsia="Times New Roman" w:hAnsi="Times New Roman"/>
          <w:sz w:val="18"/>
          <w:szCs w:val="18"/>
          <w:b w:val="1"/>
          <w:bCs w:val="1"/>
          <w:color w:val="auto"/>
        </w:rPr>
        <w:t>Holiday</w:t>
      </w:r>
      <w:r>
        <w:rPr>
          <w:rFonts w:ascii="Times New Roman" w:cs="Times New Roman" w:eastAsia="Times New Roman" w:hAnsi="Times New Roman"/>
          <w:sz w:val="18"/>
          <w:szCs w:val="18"/>
          <w:color w:val="auto"/>
        </w:rPr>
        <w:t>"), the next day that is not a Holiday.</w:t>
      </w:r>
    </w:p>
    <w:p>
      <w:pPr>
        <w:spacing w:after="0" w:line="129" w:lineRule="exact"/>
        <w:rPr>
          <w:rFonts w:ascii="Times New Roman" w:cs="Times New Roman" w:eastAsia="Times New Roman" w:hAnsi="Times New Roman"/>
          <w:sz w:val="18"/>
          <w:szCs w:val="18"/>
          <w:color w:val="auto"/>
        </w:rPr>
      </w:pPr>
    </w:p>
    <w:p>
      <w:pPr>
        <w:ind w:firstLine="1953"/>
        <w:spacing w:after="0" w:line="286" w:lineRule="auto"/>
        <w:tabs>
          <w:tab w:leader="none" w:pos="2366"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Transaction</w:t>
      </w:r>
      <w:r>
        <w:rPr>
          <w:rFonts w:ascii="Times New Roman" w:cs="Times New Roman" w:eastAsia="Times New Roman" w:hAnsi="Times New Roman"/>
          <w:sz w:val="16"/>
          <w:szCs w:val="16"/>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shares of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w:t>
      </w:r>
    </w:p>
    <w:p>
      <w:pPr>
        <w:spacing w:after="0" w:line="186" w:lineRule="exact"/>
        <w:rPr>
          <w:rFonts w:ascii="Times New Roman" w:cs="Times New Roman" w:eastAsia="Times New Roman" w:hAnsi="Times New Roman"/>
          <w:sz w:val="16"/>
          <w:szCs w:val="16"/>
          <w:color w:val="auto"/>
        </w:rPr>
      </w:pPr>
    </w:p>
    <w:p>
      <w:pPr>
        <w:ind w:right="40" w:firstLine="8"/>
        <w:spacing w:after="0" w:line="251" w:lineRule="auto"/>
        <w:tabs>
          <w:tab w:leader="none" w:pos="24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reorganize, recapitalize or reclassify its shares of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shares of Common Stock, (y) at least 50% of the aggregate ordinary voting power represented by issued and outstanding shares of Common Stock not held by all such Subject Entities as of the Subscription Date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214" w:name="page215"/>
    <w:bookmarkEnd w:id="214"/>
    <w:p>
      <w:pPr>
        <w:ind w:left="2360" w:hanging="427"/>
        <w:spacing w:after="0"/>
        <w:tabs>
          <w:tab w:leader="none" w:pos="23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1934 Act and as defined in Rule 13d-5 thereunder.</w:t>
      </w:r>
    </w:p>
    <w:p>
      <w:pPr>
        <w:spacing w:after="0" w:line="184" w:lineRule="exact"/>
        <w:rPr>
          <w:rFonts w:ascii="Times New Roman" w:cs="Times New Roman" w:eastAsia="Times New Roman" w:hAnsi="Times New Roman"/>
          <w:sz w:val="18"/>
          <w:szCs w:val="18"/>
          <w:color w:val="auto"/>
        </w:rPr>
      </w:pPr>
    </w:p>
    <w:p>
      <w:pPr>
        <w:ind w:left="-20" w:right="60" w:firstLine="1953"/>
        <w:spacing w:after="0" w:line="253" w:lineRule="auto"/>
        <w:tabs>
          <w:tab w:leader="none" w:pos="234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Value</w:t>
      </w:r>
      <w:r>
        <w:rPr>
          <w:rFonts w:ascii="Times New Roman" w:cs="Times New Roman" w:eastAsia="Times New Roman" w:hAnsi="Times New Roman"/>
          <w:sz w:val="18"/>
          <w:szCs w:val="18"/>
          <w:color w:val="auto"/>
        </w:rPr>
        <w:t>" means the value of an Option based on the Black-Scholes Option Pricing model obtained from the "OV" function on Bloomberg determined as of the day of the most recent Closing Sale Price of the Common Stock prior to the public announcement of the pricing of the applicable Option (or, if the pricing is not publicly announced, on the most recent Closing Sale Price of the Common Stock prior to the pricing of the applicable Option) and reflecting (i) a risk-free interest rate corresponding to the U.S. Treasury rate for a period equal to the remaining term of the applicable Option as of the applicable date of determination, (ii) an expected volatility equal to the greater of 100% and the 100 day volatility obtained from the HVT function on Bloomberg as of (A) the Trading Day immediately following the first public announcement of the pricing of the transaction that includes the applicable Option if such pricing is publicly announced or (B) the Trading Day immediately following the issuance of the applicable Option if the pricing of such transaction is not publicly announced, (iii) an underlying price per share equal to the most recent Closing Sale Price of the Common Stock prior to the public announcement of the pricing of the applicable Option (or, if the pricing is not publicly announced, on the most recent Closing Sale Price of the Common Stock prior to the pricing of the applicable Option), (iv) a zero cost of borrow and (v) a 360-day annualization factor.</w:t>
      </w:r>
    </w:p>
    <w:p>
      <w:pPr>
        <w:spacing w:after="0" w:line="154" w:lineRule="exact"/>
        <w:rPr>
          <w:rFonts w:ascii="Times New Roman" w:cs="Times New Roman" w:eastAsia="Times New Roman" w:hAnsi="Times New Roman"/>
          <w:sz w:val="18"/>
          <w:szCs w:val="18"/>
          <w:color w:val="auto"/>
        </w:rPr>
      </w:pPr>
    </w:p>
    <w:p>
      <w:pPr>
        <w:ind w:left="2320" w:hanging="387"/>
        <w:spacing w:after="0"/>
        <w:tabs>
          <w:tab w:leader="none" w:pos="23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Options</w:t>
      </w:r>
      <w:r>
        <w:rPr>
          <w:rFonts w:ascii="Times New Roman" w:cs="Times New Roman" w:eastAsia="Times New Roman" w:hAnsi="Times New Roman"/>
          <w:sz w:val="16"/>
          <w:szCs w:val="16"/>
          <w:color w:val="auto"/>
        </w:rPr>
        <w:t>" means any rights, warrants or options to subscribe for or purchase shares of Common Stock or Convertible Securities.</w:t>
      </w:r>
    </w:p>
    <w:p>
      <w:pPr>
        <w:spacing w:after="0" w:line="207" w:lineRule="exact"/>
        <w:rPr>
          <w:rFonts w:ascii="Times New Roman" w:cs="Times New Roman" w:eastAsia="Times New Roman" w:hAnsi="Times New Roman"/>
          <w:sz w:val="16"/>
          <w:szCs w:val="16"/>
          <w:color w:val="auto"/>
        </w:rPr>
      </w:pPr>
    </w:p>
    <w:p>
      <w:pPr>
        <w:ind w:left="-20" w:right="340" w:firstLine="1953"/>
        <w:spacing w:after="0" w:line="302" w:lineRule="auto"/>
        <w:tabs>
          <w:tab w:leader="none" w:pos="2326"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Parent Entity</w:t>
      </w:r>
      <w:r>
        <w:rPr>
          <w:rFonts w:ascii="Times New Roman" w:cs="Times New Roman" w:eastAsia="Times New Roman" w:hAnsi="Times New Roman"/>
          <w:sz w:val="16"/>
          <w:szCs w:val="16"/>
          <w:color w:val="auto"/>
        </w:rPr>
        <w:t>" of a Person means an entity that, directly or indirectly, controls the applicable Person, including such entity whose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13" w:lineRule="exact"/>
        <w:rPr>
          <w:rFonts w:ascii="Times New Roman" w:cs="Times New Roman" w:eastAsia="Times New Roman" w:hAnsi="Times New Roman"/>
          <w:sz w:val="16"/>
          <w:szCs w:val="16"/>
          <w:color w:val="auto"/>
        </w:rPr>
      </w:pPr>
    </w:p>
    <w:p>
      <w:pPr>
        <w:ind w:left="-20" w:right="1100" w:firstLine="1953"/>
        <w:spacing w:after="0" w:line="277" w:lineRule="auto"/>
        <w:tabs>
          <w:tab w:leader="none" w:pos="230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29" w:lineRule="exact"/>
        <w:rPr>
          <w:rFonts w:ascii="Times New Roman" w:cs="Times New Roman" w:eastAsia="Times New Roman" w:hAnsi="Times New Roman"/>
          <w:sz w:val="18"/>
          <w:szCs w:val="18"/>
          <w:color w:val="auto"/>
        </w:rPr>
      </w:pPr>
    </w:p>
    <w:p>
      <w:pPr>
        <w:ind w:left="2360" w:hanging="427"/>
        <w:spacing w:after="0"/>
        <w:tabs>
          <w:tab w:leader="none" w:pos="23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Capital Market.</w:t>
      </w:r>
    </w:p>
    <w:p>
      <w:pPr>
        <w:spacing w:after="0" w:line="184" w:lineRule="exact"/>
        <w:rPr>
          <w:rFonts w:ascii="Times New Roman" w:cs="Times New Roman" w:eastAsia="Times New Roman" w:hAnsi="Times New Roman"/>
          <w:sz w:val="18"/>
          <w:szCs w:val="18"/>
          <w:color w:val="auto"/>
        </w:rPr>
      </w:pPr>
    </w:p>
    <w:p>
      <w:pPr>
        <w:ind w:left="-20" w:right="660" w:firstLine="1953"/>
        <w:spacing w:after="0" w:line="277" w:lineRule="auto"/>
        <w:tabs>
          <w:tab w:leader="none" w:pos="234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Holders</w:t>
      </w:r>
      <w:r>
        <w:rPr>
          <w:rFonts w:ascii="Times New Roman" w:cs="Times New Roman" w:eastAsia="Times New Roman" w:hAnsi="Times New Roman"/>
          <w:sz w:val="18"/>
          <w:szCs w:val="18"/>
          <w:color w:val="auto"/>
        </w:rPr>
        <w:t>" means the holders of the Warrants representing at least a majority of the shares of Common Stock underlying the Warrants then outstanding.</w:t>
      </w:r>
    </w:p>
    <w:p>
      <w:pPr>
        <w:spacing w:after="0" w:line="129" w:lineRule="exact"/>
        <w:rPr>
          <w:rFonts w:ascii="Times New Roman" w:cs="Times New Roman" w:eastAsia="Times New Roman" w:hAnsi="Times New Roman"/>
          <w:sz w:val="18"/>
          <w:szCs w:val="18"/>
          <w:color w:val="auto"/>
        </w:rPr>
      </w:pPr>
    </w:p>
    <w:p>
      <w:pPr>
        <w:ind w:left="-20" w:right="400" w:firstLine="1953"/>
        <w:spacing w:after="0" w:line="264" w:lineRule="auto"/>
        <w:tabs>
          <w:tab w:leader="none" w:pos="238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“Standard Settlement Period” </w:t>
      </w:r>
      <w:r>
        <w:rPr>
          <w:rFonts w:ascii="Times New Roman" w:cs="Times New Roman" w:eastAsia="Times New Roman" w:hAnsi="Times New Roman"/>
          <w:sz w:val="18"/>
          <w:szCs w:val="18"/>
          <w:color w:val="auto"/>
        </w:rPr>
        <w:t>means the standard settlement period, expressed in a number of Trading Days,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primary trading market or quotation system with respect to the Common Stock that is in effect on the date of receipt of an applicable Conversion Notice.</w:t>
      </w:r>
    </w:p>
    <w:p>
      <w:pPr>
        <w:spacing w:after="0" w:line="140" w:lineRule="exact"/>
        <w:rPr>
          <w:rFonts w:ascii="Times New Roman" w:cs="Times New Roman" w:eastAsia="Times New Roman" w:hAnsi="Times New Roman"/>
          <w:sz w:val="18"/>
          <w:szCs w:val="18"/>
          <w:color w:val="auto"/>
        </w:rPr>
      </w:pPr>
    </w:p>
    <w:p>
      <w:pPr>
        <w:ind w:left="2360" w:hanging="427"/>
        <w:spacing w:after="0"/>
        <w:tabs>
          <w:tab w:leader="none" w:pos="23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184" w:lineRule="exact"/>
        <w:rPr>
          <w:rFonts w:ascii="Times New Roman" w:cs="Times New Roman" w:eastAsia="Times New Roman" w:hAnsi="Times New Roman"/>
          <w:sz w:val="18"/>
          <w:szCs w:val="18"/>
          <w:color w:val="auto"/>
        </w:rPr>
      </w:pPr>
    </w:p>
    <w:p>
      <w:pPr>
        <w:ind w:left="-20" w:right="60" w:firstLine="1953"/>
        <w:spacing w:after="0" w:line="264" w:lineRule="auto"/>
        <w:tabs>
          <w:tab w:leader="none" w:pos="234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83" w:right="239" w:bottom="1440" w:gutter="0" w:footer="0" w:header="0"/>
        </w:sectPr>
      </w:pPr>
    </w:p>
    <w:bookmarkStart w:id="215" w:name="page216"/>
    <w:bookmarkEnd w:id="215"/>
    <w:p>
      <w:pPr>
        <w:ind w:left="-20" w:right="80" w:firstLine="1953"/>
        <w:spacing w:after="0" w:line="342" w:lineRule="auto"/>
        <w:tabs>
          <w:tab w:leader="none" w:pos="2336"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Trading Day</w:t>
      </w:r>
      <w:r>
        <w:rPr>
          <w:rFonts w:ascii="Times New Roman" w:cs="Times New Roman" w:eastAsia="Times New Roman" w:hAnsi="Times New Roman"/>
          <w:sz w:val="16"/>
          <w:szCs w:val="16"/>
          <w:color w:val="auto"/>
        </w:rPr>
        <w:t>" means any day on which the Common Stock is traded on the Principal Market, or, if the Principal Market is not the principal trading market for the Common Stock, then on the principal securities exchange or securities market on which the Common Stock is then traded.</w:t>
      </w:r>
    </w:p>
    <w:p>
      <w:pPr>
        <w:spacing w:after="0" w:line="83" w:lineRule="exact"/>
        <w:rPr>
          <w:sz w:val="20"/>
          <w:szCs w:val="20"/>
          <w:color w:val="auto"/>
        </w:rPr>
      </w:pPr>
    </w:p>
    <w:p>
      <w:pPr>
        <w:ind w:left="2420" w:hanging="487"/>
        <w:spacing w:after="0"/>
        <w:tabs>
          <w:tab w:leader="none" w:pos="24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any agreement entered into by and between the Company and the Holder, as applicable.</w:t>
      </w:r>
    </w:p>
    <w:p>
      <w:pPr>
        <w:spacing w:after="0" w:line="184" w:lineRule="exact"/>
        <w:rPr>
          <w:rFonts w:ascii="Times New Roman" w:cs="Times New Roman" w:eastAsia="Times New Roman" w:hAnsi="Times New Roman"/>
          <w:sz w:val="18"/>
          <w:szCs w:val="18"/>
          <w:color w:val="auto"/>
        </w:rPr>
      </w:pPr>
    </w:p>
    <w:p>
      <w:pPr>
        <w:ind w:left="-20" w:firstLine="1953"/>
        <w:spacing w:after="0" w:line="287" w:lineRule="auto"/>
        <w:tabs>
          <w:tab w:leader="none" w:pos="2433"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Weighted Average Price</w:t>
      </w:r>
      <w:r>
        <w:rPr>
          <w:rFonts w:ascii="Times New Roman" w:cs="Times New Roman" w:eastAsia="Times New Roman" w:hAnsi="Times New Roman"/>
          <w:sz w:val="16"/>
          <w:szCs w:val="16"/>
          <w:color w:val="auto"/>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Weighted Average Price cannot be calculated for a security on a particular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Section 11 with the term "Weighted Average Price"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2466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82" w:right="259" w:bottom="1440" w:gutter="0" w:footer="0" w:header="0"/>
        </w:sectPr>
      </w:pPr>
    </w:p>
    <w:bookmarkStart w:id="216" w:name="page217"/>
    <w:bookmarkEnd w:id="216"/>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has caused this Warrant to Purchase Common Stock to be duly executed as of the Issuance Date set out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0" w:lineRule="exact"/>
        <w:rPr>
          <w:sz w:val="20"/>
          <w:szCs w:val="20"/>
          <w:color w:val="auto"/>
        </w:rPr>
      </w:pPr>
    </w:p>
    <w:p>
      <w:pPr>
        <w:spacing w:after="0" w:line="2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00" w:lineRule="exact"/>
        <w:rPr>
          <w:sz w:val="20"/>
          <w:szCs w:val="20"/>
          <w:color w:val="auto"/>
        </w:rPr>
      </w:pPr>
    </w:p>
    <w:p>
      <w:pPr>
        <w:spacing w:after="0" w:line="24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By:___________________________</w:t>
      </w:r>
    </w:p>
    <w:p>
      <w:pPr>
        <w:spacing w:after="0" w:line="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2" w:right="239" w:bottom="1440" w:gutter="0" w:footer="0" w:header="0"/>
        </w:sectPr>
      </w:pPr>
    </w:p>
    <w:bookmarkStart w:id="217" w:name="page218"/>
    <w:bookmarkEnd w:id="217"/>
    <w:p>
      <w:pPr>
        <w:ind w:left="10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undersigned holder hereby exercises the right to purchase _________________ of the shares of Common Stock ("</w:t>
      </w:r>
      <w:r>
        <w:rPr>
          <w:rFonts w:ascii="Times New Roman" w:cs="Times New Roman" w:eastAsia="Times New Roman" w:hAnsi="Times New Roman"/>
          <w:sz w:val="16"/>
          <w:szCs w:val="16"/>
          <w:b w:val="1"/>
          <w:bCs w:val="1"/>
          <w:color w:val="auto"/>
        </w:rPr>
        <w:t>Warrant Shares</w:t>
      </w:r>
      <w:r>
        <w:rPr>
          <w:rFonts w:ascii="Times New Roman" w:cs="Times New Roman" w:eastAsia="Times New Roman" w:hAnsi="Times New Roman"/>
          <w:sz w:val="16"/>
          <w:szCs w:val="16"/>
          <w:color w:val="auto"/>
        </w:rPr>
        <w:t>") of VistaGen</w:t>
      </w:r>
    </w:p>
    <w:p>
      <w:pPr>
        <w:spacing w:after="0" w:line="3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Therapeutics, Inc., a company organized under the laws of Nevada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evidenced by the attached Warrant to Purchase Common Stock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Form of Exercise Price. The Holder intends that payment of the Exercise Price shall be made as:</w:t>
      </w:r>
    </w:p>
    <w:p>
      <w:pPr>
        <w:spacing w:after="0" w:line="208"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6"/>
              </w:rPr>
              <w:t>____________</w:t>
            </w:r>
          </w:p>
        </w:tc>
        <w:tc>
          <w:tcPr>
            <w:tcW w:w="56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6"/>
              </w:rPr>
              <w:t>a "Cash Exercise" with respect to _________________ Warrant Shares; and/or</w:t>
            </w: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412"/>
        </w:trPr>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6"/>
              </w:rPr>
              <w:t>____________</w:t>
            </w:r>
          </w:p>
        </w:tc>
        <w:tc>
          <w:tcPr>
            <w:tcW w:w="56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 "Cashless Exercise" with respect to _______________ Warrant Shares.</w:t>
            </w: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56"/>
        <w:spacing w:after="0" w:line="262" w:lineRule="auto"/>
        <w:tabs>
          <w:tab w:leader="none" w:pos="83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6"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Warrant Shares. The Company shall deliver to the holder __________ Warrant Shares in accordance with the terms of the Warrant.</w:t>
      </w:r>
    </w:p>
    <w:p>
      <w:pPr>
        <w:spacing w:after="0" w:line="225" w:lineRule="exact"/>
        <w:rPr>
          <w:rFonts w:ascii="Times New Roman" w:cs="Times New Roman" w:eastAsia="Times New Roman" w:hAnsi="Times New Roman"/>
          <w:sz w:val="18"/>
          <w:szCs w:val="18"/>
          <w:color w:val="auto"/>
        </w:rPr>
      </w:pPr>
    </w:p>
    <w:p>
      <w:pPr>
        <w:ind w:firstLine="656"/>
        <w:spacing w:after="0" w:line="232" w:lineRule="exact"/>
        <w:tabs>
          <w:tab w:leader="none" w:pos="84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Variable Price Securities. By checking the box in this Item 4, the holder elects to exercise the Warrant by substituting the Variable Price for the Exercise Price pursuant to Section 2(d) of the Warrant, which Variable Price equals $___________ per share.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 __, 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18" w:name="page219"/>
    <w:bookmarkEnd w:id="2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00" w:lineRule="exact"/>
        <w:rPr>
          <w:sz w:val="20"/>
          <w:szCs w:val="20"/>
          <w:color w:val="auto"/>
        </w:rPr>
      </w:pPr>
    </w:p>
    <w:p>
      <w:pPr>
        <w:spacing w:after="0" w:line="243"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8"/>
          <w:szCs w:val="18"/>
          <w:color w:val="auto"/>
        </w:rPr>
        <w:t>The Company hereby acknowledges this Exercise Notice and hereby directs Computershare Trust Company, N.A. to issue the above indicated number of shares of Common Stock on or prior to the applicable Share Delivery Date.</w:t>
      </w:r>
    </w:p>
    <w:p>
      <w:pPr>
        <w:spacing w:after="0" w:line="17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By:________________________________</w:t>
      </w:r>
    </w:p>
    <w:p>
      <w:pPr>
        <w:spacing w:after="0" w:line="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153670</wp:posOffset>
            </wp:positionV>
            <wp:extent cx="2598420" cy="21609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8">
                      <a:extLst>
                        <a:ext uri="{28A0092B-C50C-407E-A947-70E740481C1C}"/>
                      </a:extLst>
                    </a:blip>
                    <a:srcRect/>
                    <a:stretch>
                      <a:fillRect/>
                    </a:stretch>
                  </pic:blipFill>
                  <pic:spPr bwMode="auto">
                    <a:xfrm>
                      <a:off x="0" y="0"/>
                      <a:ext cx="2598420"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7,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343 Allerton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1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Re: Registration Statement on Form S-1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3" w:lineRule="exact"/>
        <w:rPr>
          <w:sz w:val="20"/>
          <w:szCs w:val="20"/>
          <w:color w:val="auto"/>
        </w:rPr>
      </w:pPr>
    </w:p>
    <w:p>
      <w:pPr>
        <w:jc w:val="both"/>
        <w:ind w:firstLine="810"/>
        <w:spacing w:after="0" w:line="255" w:lineRule="auto"/>
        <w:rPr>
          <w:sz w:val="20"/>
          <w:szCs w:val="20"/>
          <w:color w:val="auto"/>
        </w:rPr>
      </w:pPr>
      <w:r>
        <w:rPr>
          <w:rFonts w:ascii="Times New Roman" w:cs="Times New Roman" w:eastAsia="Times New Roman" w:hAnsi="Times New Roman"/>
          <w:sz w:val="18"/>
          <w:szCs w:val="18"/>
          <w:color w:val="auto"/>
        </w:rPr>
        <w:t>We are acting as counsel for VistaGen Therapeutics, Inc., a Nevada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in connection with the filing of a Registration Statement on Form S-1, Registration No. 333-221009 (such Registration Statement, as amended from time to time, is herein referred to as the “</w:t>
      </w:r>
      <w:r>
        <w:rPr>
          <w:rFonts w:ascii="Times New Roman" w:cs="Times New Roman" w:eastAsia="Times New Roman" w:hAnsi="Times New Roman"/>
          <w:sz w:val="18"/>
          <w:szCs w:val="18"/>
          <w:i w:val="1"/>
          <w:i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w:t>
      </w:r>
      <w:r>
        <w:rPr>
          <w:rFonts w:ascii="Times New Roman" w:cs="Times New Roman" w:eastAsia="Times New Roman" w:hAnsi="Times New Roman"/>
          <w:sz w:val="18"/>
          <w:szCs w:val="18"/>
          <w:color w:val="auto"/>
        </w:rPr>
        <w:t>”) filed on October 18, 2017 by the Company with the Securities and Exchange Commission (the “</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under the Securities Act of 1933,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(the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including a related prospectus filed with the Registration Statement (the “</w:t>
      </w:r>
      <w:r>
        <w:rPr>
          <w:rFonts w:ascii="Times New Roman" w:cs="Times New Roman" w:eastAsia="Times New Roman" w:hAnsi="Times New Roman"/>
          <w:sz w:val="18"/>
          <w:szCs w:val="18"/>
          <w:i w:val="1"/>
          <w:iCs w:val="1"/>
          <w:color w:val="auto"/>
        </w:rPr>
        <w:t>Prospectus</w:t>
      </w:r>
      <w:r>
        <w:rPr>
          <w:rFonts w:ascii="Times New Roman" w:cs="Times New Roman" w:eastAsia="Times New Roman" w:hAnsi="Times New Roman"/>
          <w:sz w:val="18"/>
          <w:szCs w:val="18"/>
          <w:color w:val="auto"/>
        </w:rPr>
        <w:t>”). The Registration Statement covers the proposed public offering of (i) up to 10,000,000 shares of the Company’s common stock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par value $0.001 per share (the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(ii) up to 10,000,000 warrants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to each purchase one share of the Company’s Common Stock; and (iii) shares of Common Stock issuable upon exercise of the Warrants (the “</w:t>
      </w:r>
      <w:r>
        <w:rPr>
          <w:rFonts w:ascii="Times New Roman" w:cs="Times New Roman" w:eastAsia="Times New Roman" w:hAnsi="Times New Roman"/>
          <w:sz w:val="18"/>
          <w:szCs w:val="18"/>
          <w:i w:val="1"/>
          <w:iCs w:val="1"/>
          <w:color w:val="auto"/>
        </w:rPr>
        <w:t>Warrant Shares</w:t>
      </w:r>
      <w:r>
        <w:rPr>
          <w:rFonts w:ascii="Times New Roman" w:cs="Times New Roman" w:eastAsia="Times New Roman" w:hAnsi="Times New Roman"/>
          <w:sz w:val="18"/>
          <w:szCs w:val="18"/>
          <w:color w:val="auto"/>
        </w:rPr>
        <w:t>”). The Shares, Warrants and Warrant Shares are collectively referred to herein as the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both"/>
        <w:ind w:right="20" w:firstLine="810"/>
        <w:spacing w:after="0" w:line="275" w:lineRule="auto"/>
        <w:rPr>
          <w:sz w:val="20"/>
          <w:szCs w:val="20"/>
          <w:color w:val="auto"/>
        </w:rPr>
      </w:pPr>
      <w:r>
        <w:rPr>
          <w:rFonts w:ascii="Times New Roman" w:cs="Times New Roman" w:eastAsia="Times New Roman" w:hAnsi="Times New Roman"/>
          <w:sz w:val="18"/>
          <w:szCs w:val="18"/>
          <w:color w:val="auto"/>
        </w:rPr>
        <w:t>As the basis for the opinion hereinafter expressed, we have examined such statutes, Company corporate records and documents, certificates of Company and public officials, and other instruments and documents as we deemed relevant or necessary for the purposes of the opinion set forth below.</w:t>
      </w:r>
    </w:p>
    <w:p>
      <w:pPr>
        <w:spacing w:after="0" w:line="174" w:lineRule="exact"/>
        <w:rPr>
          <w:sz w:val="20"/>
          <w:szCs w:val="20"/>
          <w:color w:val="auto"/>
        </w:rPr>
      </w:pPr>
    </w:p>
    <w:p>
      <w:pPr>
        <w:jc w:val="both"/>
        <w:ind w:firstLine="810"/>
        <w:spacing w:after="0" w:line="256" w:lineRule="auto"/>
        <w:rPr>
          <w:sz w:val="20"/>
          <w:szCs w:val="20"/>
          <w:color w:val="auto"/>
        </w:rPr>
      </w:pPr>
      <w:r>
        <w:rPr>
          <w:rFonts w:ascii="Times New Roman" w:cs="Times New Roman" w:eastAsia="Times New Roman" w:hAnsi="Times New Roman"/>
          <w:sz w:val="18"/>
          <w:szCs w:val="18"/>
          <w:color w:val="auto"/>
        </w:rPr>
        <w:t>In making our examination, we have assumed the legal capacity of all natural persons, that all signatures on documents examined by us are genuine, the authenticity of all documents submitted to us as originals and the conformity with the original documents of all documents submitted to us as certified, conformed or photostatic copies. We have also assumed the accuracy and completeness of all information provided to us by the Company during the course of our investigations, on which we have relied in issuing the opinion expressed below. We have relied upon a certificate and other assurances of officers of the Company and others as to factual matters without having independently verified such factual matters.</w:t>
      </w:r>
    </w:p>
    <w:p>
      <w:pPr>
        <w:spacing w:after="0" w:line="193" w:lineRule="exact"/>
        <w:rPr>
          <w:sz w:val="20"/>
          <w:szCs w:val="20"/>
          <w:color w:val="auto"/>
        </w:rPr>
      </w:pPr>
    </w:p>
    <w:p>
      <w:pPr>
        <w:jc w:val="both"/>
        <w:ind w:firstLine="810"/>
        <w:spacing w:after="0" w:line="254" w:lineRule="auto"/>
        <w:rPr>
          <w:sz w:val="20"/>
          <w:szCs w:val="20"/>
          <w:color w:val="auto"/>
        </w:rPr>
      </w:pPr>
      <w:r>
        <w:rPr>
          <w:rFonts w:ascii="Times New Roman" w:cs="Times New Roman" w:eastAsia="Times New Roman" w:hAnsi="Times New Roman"/>
          <w:sz w:val="18"/>
          <w:szCs w:val="18"/>
          <w:color w:val="auto"/>
        </w:rPr>
        <w:t>Based on the foregoing and on such legal considerations as we deem relevant, and subject to the qualifications, assumptions and limitations stated herein and in reliance on the statements of fact contained in the documents we have examined, we are of the opinion that (i) the Shares are duly authorized and, when issued and sold against payment therefor in the manner contemplated by the Registration Statement and the Prospectus, will be validly issued, fully paid and nonassessable, (ii) the Warrants, when issued, delivered and paid for in in the manner contemplated by the Registration Statement and the Prospectus, will each constitute a valid, legally binding obligation of the Company, enforceable against the Company in accordance with its terms, and (iii) the Warrant Shares are duly authorized and, when issued by the Company upon the exercise and in accordance with the terms of the Warrants, will be validly issued, fully paid and nonassessable.</w:t>
      </w:r>
    </w:p>
    <w:p>
      <w:pPr>
        <w:spacing w:after="0" w:line="19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opinion rendered herein is limited to the Corporation Code of the State of Nevada and the federal laws of the United States.</w:t>
      </w:r>
    </w:p>
    <w:p>
      <w:pPr>
        <w:spacing w:after="0" w:line="223" w:lineRule="exact"/>
        <w:rPr>
          <w:sz w:val="20"/>
          <w:szCs w:val="20"/>
          <w:color w:val="auto"/>
        </w:rPr>
      </w:pPr>
    </w:p>
    <w:p>
      <w:pPr>
        <w:jc w:val="both"/>
        <w:ind w:firstLine="810"/>
        <w:spacing w:after="0" w:line="259" w:lineRule="auto"/>
        <w:rPr>
          <w:sz w:val="20"/>
          <w:szCs w:val="20"/>
          <w:color w:val="auto"/>
        </w:rPr>
      </w:pPr>
      <w:r>
        <w:rPr>
          <w:rFonts w:ascii="Times New Roman" w:cs="Times New Roman" w:eastAsia="Times New Roman" w:hAnsi="Times New Roman"/>
          <w:sz w:val="18"/>
          <w:szCs w:val="18"/>
          <w:color w:val="auto"/>
        </w:rPr>
        <w:t>We hereby consent to the reference to us under the caption “</w:t>
      </w:r>
      <w:r>
        <w:rPr>
          <w:rFonts w:ascii="Times New Roman" w:cs="Times New Roman" w:eastAsia="Times New Roman" w:hAnsi="Times New Roman"/>
          <w:sz w:val="18"/>
          <w:szCs w:val="18"/>
          <w:i w:val="1"/>
          <w:iCs w:val="1"/>
          <w:color w:val="auto"/>
        </w:rPr>
        <w:t>Legal Matters</w:t>
      </w:r>
      <w:r>
        <w:rPr>
          <w:rFonts w:ascii="Times New Roman" w:cs="Times New Roman" w:eastAsia="Times New Roman" w:hAnsi="Times New Roman"/>
          <w:sz w:val="18"/>
          <w:szCs w:val="18"/>
          <w:color w:val="auto"/>
        </w:rPr>
        <w:t>” in the prospectus forming a part of the Registration Statement and to the filing of this opinion letter as an exhibit to the Registration Statement, and any amendments thereto. In giving this consent, we do not admit that we are included in the category of persons whose consent is required under Section 7 of the Securities Act of 1933, as amended, or the rules and regulations of the Commission promulgated thereunder.</w:t>
      </w:r>
    </w:p>
    <w:p>
      <w:pPr>
        <w:spacing w:after="0" w:line="189" w:lineRule="exact"/>
        <w:rPr>
          <w:sz w:val="20"/>
          <w:szCs w:val="20"/>
          <w:color w:val="auto"/>
        </w:rPr>
      </w:pPr>
    </w:p>
    <w:p>
      <w:pPr>
        <w:jc w:val="both"/>
        <w:ind w:firstLine="810"/>
        <w:spacing w:after="0" w:line="262" w:lineRule="auto"/>
        <w:rPr>
          <w:sz w:val="20"/>
          <w:szCs w:val="20"/>
          <w:color w:val="auto"/>
        </w:rPr>
      </w:pPr>
      <w:r>
        <w:rPr>
          <w:rFonts w:ascii="Times New Roman" w:cs="Times New Roman" w:eastAsia="Times New Roman" w:hAnsi="Times New Roman"/>
          <w:sz w:val="18"/>
          <w:szCs w:val="18"/>
          <w:color w:val="auto"/>
        </w:rPr>
        <w:t>This opinion letter is given to you solely for use in connection with the offer and sale of the Securities while the Registration Statement is in effect and is not to be relied upon for any other purpose. Our opinion is expressly limited to the matters set forth above, and we render no opinion, whether by implication or otherwise, as to any other matters relating to the Company, the Securities or the Registration Statement.</w:t>
      </w:r>
    </w:p>
    <w:p>
      <w:pPr>
        <w:spacing w:after="0" w:line="200" w:lineRule="exact"/>
        <w:rPr>
          <w:sz w:val="20"/>
          <w:szCs w:val="20"/>
          <w:color w:val="auto"/>
        </w:rPr>
      </w:pPr>
    </w:p>
    <w:p>
      <w:pPr>
        <w:spacing w:after="0" w:line="20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Disclosure Law Group,</w:t>
      </w:r>
    </w:p>
    <w:p>
      <w:pPr>
        <w:spacing w:after="0" w:line="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 Professional Corporation</w:t>
      </w:r>
    </w:p>
    <w:p>
      <w:pPr>
        <w:spacing w:after="0" w:line="21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u w:val="single" w:color="auto"/>
          <w:color w:val="auto"/>
        </w:rPr>
        <w:t>/s/ Daniel W. Rumsey Esq.</w:t>
      </w:r>
    </w:p>
    <w:p>
      <w:pPr>
        <w:spacing w:after="0" w:line="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Daniel W. Rumsey, Esq.</w:t>
      </w:r>
    </w:p>
    <w:p>
      <w:pPr>
        <w:sectPr>
          <w:pgSz w:w="11900" w:h="16838" w:orient="portrait"/>
          <w:cols w:equalWidth="0" w:num="1">
            <w:col w:w="11420"/>
          </w:cols>
          <w:pgMar w:left="240" w:top="339" w:right="239" w:bottom="209" w:gutter="0" w:footer="0" w:header="0"/>
        </w:sectPr>
      </w:pPr>
    </w:p>
    <w:bookmarkStart w:id="220" w:name="page221"/>
    <w:bookmarkEnd w:id="2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use, in the Prospectus constituting a part of this Registration Statement (No. 333-221009) on Form S-1/A, Pre-Effective Amendment No. 1, of our report dated June 29, 2017 (which report expresses an unqualified opinion and includes an explanatory paragraph expressing substantial doubt about the Company’s ability to continue as a going concern) relating to the consolidated financial statements of VistaGen Therapeutics, Inc., which is contained in Part II of the Registration Statement.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OUM &amp; CO.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513080</wp:posOffset>
            </wp:positionV>
            <wp:extent cx="72466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1)"/>
      <w:numFmt w:val="decimal"/>
      <w:start w:val="1"/>
    </w:lvl>
  </w:abstractNum>
  <w:abstractNum w:abstractNumId="1">
    <w:nsid w:val="613EFDC5"/>
    <w:multiLevelType w:val="hybridMultilevel"/>
    <w:lvl w:ilvl="0">
      <w:lvlJc w:val="left"/>
      <w:lvlText w:val="(%1)"/>
      <w:numFmt w:val="decimal"/>
      <w:start w:val="1"/>
    </w:lvl>
  </w:abstractNum>
  <w:abstractNum w:abstractNumId="2">
    <w:nsid w:val="BF72B14"/>
    <w:multiLevelType w:val="hybridMultilevel"/>
    <w:lvl w:ilvl="0">
      <w:lvlJc w:val="left"/>
      <w:lvlText w:val="●"/>
      <w:numFmt w:val="bullet"/>
      <w:start w:val="1"/>
    </w:lvl>
  </w:abstractNum>
  <w:abstractNum w:abstractNumId="3">
    <w:nsid w:val="11447B73"/>
    <w:multiLevelType w:val="hybridMultilevel"/>
    <w:lvl w:ilvl="0">
      <w:lvlJc w:val="left"/>
      <w:lvlText w:val="●"/>
      <w:numFmt w:val="bullet"/>
      <w:start w:val="1"/>
    </w:lvl>
  </w:abstractNum>
  <w:abstractNum w:abstractNumId="4">
    <w:nsid w:val="42963E5A"/>
    <w:multiLevelType w:val="hybridMultilevel"/>
    <w:lvl w:ilvl="0">
      <w:lvlJc w:val="left"/>
      <w:lvlText w:val="●"/>
      <w:numFmt w:val="bullet"/>
      <w:start w:val="1"/>
    </w:lvl>
  </w:abstractNum>
  <w:abstractNum w:abstractNumId="5">
    <w:nsid w:val="A0382C5"/>
    <w:multiLevelType w:val="hybridMultilevel"/>
    <w:lvl w:ilvl="0">
      <w:lvlJc w:val="left"/>
      <w:lvlText w:val="(%1)"/>
      <w:numFmt w:val="decimal"/>
      <w:start w:val="1"/>
    </w:lvl>
  </w:abstractNum>
  <w:abstractNum w:abstractNumId="6">
    <w:nsid w:val="8F2B15E"/>
    <w:multiLevelType w:val="hybridMultilevel"/>
    <w:lvl w:ilvl="0">
      <w:lvlJc w:val="left"/>
      <w:lvlText w:val="●"/>
      <w:numFmt w:val="bullet"/>
      <w:start w:val="1"/>
    </w:lvl>
  </w:abstractNum>
  <w:abstractNum w:abstractNumId="7">
    <w:nsid w:val="1A32234B"/>
    <w:multiLevelType w:val="hybridMultilevel"/>
    <w:lvl w:ilvl="0">
      <w:lvlJc w:val="left"/>
      <w:lvlText w:val="●"/>
      <w:numFmt w:val="bullet"/>
      <w:start w:val="1"/>
    </w:lvl>
  </w:abstractNum>
  <w:abstractNum w:abstractNumId="8">
    <w:nsid w:val="3B0FD379"/>
    <w:multiLevelType w:val="hybridMultilevel"/>
    <w:lvl w:ilvl="0">
      <w:lvlJc w:val="left"/>
      <w:lvlText w:val="●"/>
      <w:numFmt w:val="bullet"/>
      <w:start w:val="1"/>
    </w:lvl>
  </w:abstractNum>
  <w:abstractNum w:abstractNumId="9">
    <w:nsid w:val="68EB2F63"/>
    <w:multiLevelType w:val="hybridMultilevel"/>
    <w:lvl w:ilvl="0">
      <w:lvlJc w:val="left"/>
      <w:lvlText w:val="●"/>
      <w:numFmt w:val="bullet"/>
      <w:start w:val="1"/>
    </w:lvl>
  </w:abstractNum>
  <w:abstractNum w:abstractNumId="10">
    <w:nsid w:val="4962813B"/>
    <w:multiLevelType w:val="hybridMultilevel"/>
    <w:lvl w:ilvl="0">
      <w:lvlJc w:val="left"/>
      <w:lvlText w:val="●"/>
      <w:numFmt w:val="bullet"/>
      <w:start w:val="1"/>
    </w:lvl>
  </w:abstractNum>
  <w:abstractNum w:abstractNumId="11">
    <w:nsid w:val="60B6DF70"/>
    <w:multiLevelType w:val="hybridMultilevel"/>
    <w:lvl w:ilvl="0">
      <w:lvlJc w:val="left"/>
      <w:lvlText w:val="●"/>
      <w:numFmt w:val="bullet"/>
      <w:start w:val="1"/>
    </w:lvl>
  </w:abstractNum>
  <w:abstractNum w:abstractNumId="12">
    <w:nsid w:val="6A5EE64"/>
    <w:multiLevelType w:val="hybridMultilevel"/>
    <w:lvl w:ilvl="0">
      <w:lvlJc w:val="left"/>
      <w:lvlText w:val="●"/>
      <w:numFmt w:val="bullet"/>
      <w:start w:val="1"/>
    </w:lvl>
  </w:abstractNum>
  <w:abstractNum w:abstractNumId="13">
    <w:nsid w:val="14330624"/>
    <w:multiLevelType w:val="hybridMultilevel"/>
    <w:lvl w:ilvl="0">
      <w:lvlJc w:val="left"/>
      <w:lvlText w:val="●"/>
      <w:numFmt w:val="bullet"/>
      <w:start w:val="1"/>
    </w:lvl>
  </w:abstractNum>
  <w:abstractNum w:abstractNumId="14">
    <w:nsid w:val="7FFFCA11"/>
    <w:multiLevelType w:val="hybridMultilevel"/>
    <w:lvl w:ilvl="0">
      <w:lvlJc w:val="left"/>
      <w:lvlText w:val="●"/>
      <w:numFmt w:val="bullet"/>
      <w:start w:val="1"/>
    </w:lvl>
  </w:abstractNum>
  <w:abstractNum w:abstractNumId="15">
    <w:nsid w:val="1A27709E"/>
    <w:multiLevelType w:val="hybridMultilevel"/>
    <w:lvl w:ilvl="0">
      <w:lvlJc w:val="left"/>
      <w:lvlText w:val="●"/>
      <w:numFmt w:val="bullet"/>
      <w:start w:val="1"/>
    </w:lvl>
  </w:abstractNum>
  <w:abstractNum w:abstractNumId="16">
    <w:nsid w:val="71EA1109"/>
    <w:multiLevelType w:val="hybridMultilevel"/>
    <w:lvl w:ilvl="0">
      <w:lvlJc w:val="left"/>
      <w:lvlText w:val="●"/>
      <w:numFmt w:val="bullet"/>
      <w:start w:val="1"/>
    </w:lvl>
  </w:abstractNum>
  <w:abstractNum w:abstractNumId="17">
    <w:nsid w:val="100F59DC"/>
    <w:multiLevelType w:val="hybridMultilevel"/>
    <w:lvl w:ilvl="0">
      <w:lvlJc w:val="left"/>
      <w:lvlText w:val="●"/>
      <w:numFmt w:val="bullet"/>
      <w:start w:val="1"/>
    </w:lvl>
  </w:abstractNum>
  <w:abstractNum w:abstractNumId="18">
    <w:nsid w:val="7FB7E0AA"/>
    <w:multiLevelType w:val="hybridMultilevel"/>
    <w:lvl w:ilvl="0">
      <w:lvlJc w:val="left"/>
      <w:lvlText w:val="●"/>
      <w:numFmt w:val="bullet"/>
      <w:start w:val="1"/>
    </w:lvl>
  </w:abstractNum>
  <w:abstractNum w:abstractNumId="19">
    <w:nsid w:val="6EB5BD4"/>
    <w:multiLevelType w:val="hybridMultilevel"/>
    <w:lvl w:ilvl="0">
      <w:lvlJc w:val="left"/>
      <w:lvlText w:val="●"/>
      <w:numFmt w:val="bullet"/>
      <w:start w:val="1"/>
    </w:lvl>
  </w:abstractNum>
  <w:abstractNum w:abstractNumId="20">
    <w:nsid w:val="6F6DD9AC"/>
    <w:multiLevelType w:val="hybridMultilevel"/>
    <w:lvl w:ilvl="0">
      <w:lvlJc w:val="left"/>
      <w:lvlText w:val="●"/>
      <w:numFmt w:val="bullet"/>
      <w:start w:val="1"/>
    </w:lvl>
  </w:abstractNum>
  <w:abstractNum w:abstractNumId="21">
    <w:nsid w:val="94211F2"/>
    <w:multiLevelType w:val="hybridMultilevel"/>
    <w:lvl w:ilvl="0">
      <w:lvlJc w:val="left"/>
      <w:lvlText w:val="●"/>
      <w:numFmt w:val="bullet"/>
      <w:start w:val="1"/>
    </w:lvl>
  </w:abstractNum>
  <w:abstractNum w:abstractNumId="22">
    <w:nsid w:val="885E1B"/>
    <w:multiLevelType w:val="hybridMultilevel"/>
    <w:lvl w:ilvl="0">
      <w:lvlJc w:val="left"/>
      <w:lvlText w:val="●"/>
      <w:numFmt w:val="bullet"/>
      <w:start w:val="1"/>
    </w:lvl>
  </w:abstractNum>
  <w:abstractNum w:abstractNumId="23">
    <w:nsid w:val="76272110"/>
    <w:multiLevelType w:val="hybridMultilevel"/>
    <w:lvl w:ilvl="0">
      <w:lvlJc w:val="left"/>
      <w:lvlText w:val="●"/>
      <w:numFmt w:val="bullet"/>
      <w:start w:val="1"/>
    </w:lvl>
  </w:abstractNum>
  <w:abstractNum w:abstractNumId="24">
    <w:nsid w:val="4C04A8AF"/>
    <w:multiLevelType w:val="hybridMultilevel"/>
    <w:lvl w:ilvl="0">
      <w:lvlJc w:val="left"/>
      <w:lvlText w:val="●"/>
      <w:numFmt w:val="bullet"/>
      <w:start w:val="1"/>
    </w:lvl>
  </w:abstractNum>
  <w:abstractNum w:abstractNumId="25">
    <w:nsid w:val="1716703B"/>
    <w:multiLevelType w:val="hybridMultilevel"/>
    <w:lvl w:ilvl="0">
      <w:lvlJc w:val="left"/>
      <w:lvlText w:val="●"/>
      <w:numFmt w:val="bullet"/>
      <w:start w:val="1"/>
    </w:lvl>
  </w:abstractNum>
  <w:abstractNum w:abstractNumId="26">
    <w:nsid w:val="14E17E33"/>
    <w:multiLevelType w:val="hybridMultilevel"/>
    <w:lvl w:ilvl="0">
      <w:lvlJc w:val="left"/>
      <w:lvlText w:val="●"/>
      <w:numFmt w:val="bullet"/>
      <w:start w:val="1"/>
    </w:lvl>
  </w:abstractNum>
  <w:abstractNum w:abstractNumId="27">
    <w:nsid w:val="3222E7CD"/>
    <w:multiLevelType w:val="hybridMultilevel"/>
    <w:lvl w:ilvl="0">
      <w:lvlJc w:val="left"/>
      <w:lvlText w:val="●"/>
      <w:numFmt w:val="bullet"/>
      <w:start w:val="1"/>
    </w:lvl>
  </w:abstractNum>
  <w:abstractNum w:abstractNumId="28">
    <w:nsid w:val="74DE0EE3"/>
    <w:multiLevelType w:val="hybridMultilevel"/>
    <w:lvl w:ilvl="0">
      <w:lvlJc w:val="left"/>
      <w:lvlText w:val="●"/>
      <w:numFmt w:val="bullet"/>
      <w:start w:val="1"/>
    </w:lvl>
  </w:abstractNum>
  <w:abstractNum w:abstractNumId="29">
    <w:nsid w:val="68EBC550"/>
    <w:multiLevelType w:val="hybridMultilevel"/>
    <w:lvl w:ilvl="0">
      <w:lvlJc w:val="left"/>
      <w:lvlText w:val="●"/>
      <w:numFmt w:val="bullet"/>
      <w:start w:val="1"/>
    </w:lvl>
  </w:abstractNum>
  <w:abstractNum w:abstractNumId="30">
    <w:nsid w:val="2DF6D648"/>
    <w:multiLevelType w:val="hybridMultilevel"/>
    <w:lvl w:ilvl="0">
      <w:lvlJc w:val="left"/>
      <w:lvlText w:val="●"/>
      <w:numFmt w:val="bullet"/>
      <w:start w:val="1"/>
    </w:lvl>
  </w:abstractNum>
  <w:abstractNum w:abstractNumId="31">
    <w:nsid w:val="46B7D447"/>
    <w:multiLevelType w:val="hybridMultilevel"/>
    <w:lvl w:ilvl="0">
      <w:lvlJc w:val="left"/>
      <w:lvlText w:val="●"/>
      <w:numFmt w:val="bullet"/>
      <w:start w:val="1"/>
    </w:lvl>
  </w:abstractNum>
  <w:abstractNum w:abstractNumId="32">
    <w:nsid w:val="4A2AC315"/>
    <w:multiLevelType w:val="hybridMultilevel"/>
    <w:lvl w:ilvl="0">
      <w:lvlJc w:val="left"/>
      <w:lvlText w:val="(%1)"/>
      <w:numFmt w:val="decimal"/>
      <w:start w:val="1"/>
    </w:lvl>
  </w:abstractNum>
  <w:abstractNum w:abstractNumId="33">
    <w:nsid w:val="39EE015C"/>
    <w:multiLevelType w:val="hybridMultilevel"/>
    <w:lvl w:ilvl="0">
      <w:lvlJc w:val="left"/>
      <w:lvlText w:val="●"/>
      <w:numFmt w:val="bullet"/>
      <w:start w:val="1"/>
    </w:lvl>
  </w:abstractNum>
  <w:abstractNum w:abstractNumId="34">
    <w:nsid w:val="57FC4FBB"/>
    <w:multiLevelType w:val="hybridMultilevel"/>
    <w:lvl w:ilvl="0">
      <w:lvlJc w:val="left"/>
      <w:lvlText w:val="●"/>
      <w:numFmt w:val="bullet"/>
      <w:start w:val="1"/>
    </w:lvl>
  </w:abstractNum>
  <w:abstractNum w:abstractNumId="35">
    <w:nsid w:val="CC1016F"/>
    <w:multiLevelType w:val="hybridMultilevel"/>
    <w:lvl w:ilvl="0">
      <w:lvlJc w:val="left"/>
      <w:lvlText w:val="●"/>
      <w:numFmt w:val="bullet"/>
      <w:start w:val="1"/>
    </w:lvl>
  </w:abstractNum>
  <w:abstractNum w:abstractNumId="36">
    <w:nsid w:val="43F18422"/>
    <w:multiLevelType w:val="hybridMultilevel"/>
    <w:lvl w:ilvl="0">
      <w:lvlJc w:val="left"/>
      <w:lvlText w:val="%1."/>
      <w:numFmt w:val="decimal"/>
      <w:start w:val="1"/>
    </w:lvl>
  </w:abstractNum>
  <w:abstractNum w:abstractNumId="37">
    <w:nsid w:val="60EF0119"/>
    <w:multiLevelType w:val="hybridMultilevel"/>
    <w:lvl w:ilvl="0">
      <w:lvlJc w:val="left"/>
      <w:lvlText w:val="●"/>
      <w:numFmt w:val="bullet"/>
      <w:start w:val="1"/>
    </w:lvl>
  </w:abstractNum>
  <w:abstractNum w:abstractNumId="38">
    <w:nsid w:val="26F324BA"/>
    <w:multiLevelType w:val="hybridMultilevel"/>
    <w:lvl w:ilvl="0">
      <w:lvlJc w:val="left"/>
      <w:lvlText w:val="%1."/>
      <w:numFmt w:val="decimal"/>
      <w:start w:val="1"/>
    </w:lvl>
  </w:abstractNum>
  <w:abstractNum w:abstractNumId="39">
    <w:nsid w:val="7F01579B"/>
    <w:multiLevelType w:val="hybridMultilevel"/>
    <w:lvl w:ilvl="0">
      <w:lvlJc w:val="left"/>
      <w:lvlText w:val="%1."/>
      <w:numFmt w:val="decimal"/>
      <w:start w:val="1"/>
    </w:lvl>
  </w:abstractNum>
  <w:abstractNum w:abstractNumId="40">
    <w:nsid w:val="49DA307D"/>
    <w:multiLevelType w:val="hybridMultilevel"/>
    <w:lvl w:ilvl="0">
      <w:lvlJc w:val="left"/>
      <w:lvlText w:val="●"/>
      <w:numFmt w:val="bullet"/>
      <w:start w:val="1"/>
    </w:lvl>
  </w:abstractNum>
  <w:abstractNum w:abstractNumId="41">
    <w:nsid w:val="7055A5F5"/>
    <w:multiLevelType w:val="hybridMultilevel"/>
    <w:lvl w:ilvl="0">
      <w:lvlJc w:val="left"/>
      <w:lvlText w:val="(%1)"/>
      <w:numFmt w:val="decimal"/>
      <w:start w:val="1"/>
    </w:lvl>
  </w:abstractNum>
  <w:abstractNum w:abstractNumId="42">
    <w:nsid w:val="5FB8370B"/>
    <w:multiLevelType w:val="hybridMultilevel"/>
    <w:lvl w:ilvl="0">
      <w:lvlJc w:val="left"/>
      <w:lvlText w:val="●"/>
      <w:numFmt w:val="bullet"/>
      <w:start w:val="1"/>
    </w:lvl>
  </w:abstractNum>
  <w:abstractNum w:abstractNumId="43">
    <w:nsid w:val="50801EE1"/>
    <w:multiLevelType w:val="hybridMultilevel"/>
    <w:lvl w:ilvl="0">
      <w:lvlJc w:val="left"/>
      <w:lvlText w:val="●"/>
      <w:numFmt w:val="bullet"/>
      <w:start w:val="1"/>
    </w:lvl>
  </w:abstractNum>
  <w:abstractNum w:abstractNumId="44">
    <w:nsid w:val="488AC1A"/>
    <w:multiLevelType w:val="hybridMultilevel"/>
    <w:lvl w:ilvl="0">
      <w:lvlJc w:val="left"/>
      <w:lvlText w:val="●"/>
      <w:numFmt w:val="bullet"/>
      <w:start w:val="1"/>
    </w:lvl>
  </w:abstractNum>
  <w:abstractNum w:abstractNumId="45">
    <w:nsid w:val="5FB8011C"/>
    <w:multiLevelType w:val="hybridMultilevel"/>
    <w:lvl w:ilvl="0">
      <w:lvlJc w:val="left"/>
      <w:lvlText w:val="(%1)"/>
      <w:numFmt w:val="decimal"/>
      <w:start w:val="1"/>
    </w:lvl>
  </w:abstractNum>
  <w:abstractNum w:abstractNumId="46">
    <w:nsid w:val="6AA78F7F"/>
    <w:multiLevelType w:val="hybridMultilevel"/>
    <w:lvl w:ilvl="0">
      <w:lvlJc w:val="left"/>
      <w:lvlText w:val="(%1)"/>
      <w:numFmt w:val="decimal"/>
      <w:start w:val="7"/>
    </w:lvl>
  </w:abstractNum>
  <w:abstractNum w:abstractNumId="47">
    <w:nsid w:val="7672BD23"/>
    <w:multiLevelType w:val="hybridMultilevel"/>
    <w:lvl w:ilvl="0">
      <w:lvlJc w:val="left"/>
      <w:lvlText w:val="(%1)"/>
      <w:numFmt w:val="decimal"/>
      <w:start w:val="1"/>
    </w:lvl>
  </w:abstractNum>
  <w:abstractNum w:abstractNumId="48">
    <w:nsid w:val="6FC75AF8"/>
    <w:multiLevelType w:val="hybridMultilevel"/>
    <w:lvl w:ilvl="0">
      <w:lvlJc w:val="left"/>
      <w:lvlText w:val="●"/>
      <w:numFmt w:val="bullet"/>
      <w:start w:val="1"/>
    </w:lvl>
  </w:abstractNum>
  <w:abstractNum w:abstractNumId="49">
    <w:nsid w:val="6A5F7029"/>
    <w:multiLevelType w:val="hybridMultilevel"/>
    <w:lvl w:ilvl="0">
      <w:lvlJc w:val="left"/>
      <w:lvlText w:val="●"/>
      <w:numFmt w:val="bullet"/>
      <w:start w:val="1"/>
    </w:lvl>
  </w:abstractNum>
  <w:abstractNum w:abstractNumId="50">
    <w:nsid w:val="7D5E18F8"/>
    <w:multiLevelType w:val="hybridMultilevel"/>
    <w:lvl w:ilvl="0">
      <w:lvlJc w:val="left"/>
      <w:lvlText w:val="●"/>
      <w:numFmt w:val="bullet"/>
      <w:start w:val="1"/>
    </w:lvl>
  </w:abstractNum>
  <w:abstractNum w:abstractNumId="51">
    <w:nsid w:val="5F3534A4"/>
    <w:multiLevelType w:val="hybridMultilevel"/>
    <w:lvl w:ilvl="0">
      <w:lvlJc w:val="left"/>
      <w:lvlText w:val="(%1)"/>
      <w:numFmt w:val="decimal"/>
      <w:start w:val="1"/>
    </w:lvl>
  </w:abstractNum>
  <w:abstractNum w:abstractNumId="52">
    <w:nsid w:val="73A1821B"/>
    <w:multiLevelType w:val="hybridMultilevel"/>
    <w:lvl w:ilvl="0">
      <w:lvlJc w:val="left"/>
      <w:lvlText w:val="●"/>
      <w:numFmt w:val="bullet"/>
      <w:start w:val="1"/>
    </w:lvl>
  </w:abstractNum>
  <w:abstractNum w:abstractNumId="53">
    <w:nsid w:val="7DE67713"/>
    <w:multiLevelType w:val="hybridMultilevel"/>
    <w:lvl w:ilvl="0">
      <w:lvlJc w:val="left"/>
      <w:lvlText w:val="(%1)"/>
      <w:numFmt w:val="decimal"/>
      <w:start w:val="1"/>
    </w:lvl>
  </w:abstractNum>
  <w:abstractNum w:abstractNumId="54">
    <w:nsid w:val="555C55B5"/>
    <w:multiLevelType w:val="hybridMultilevel"/>
    <w:lvl w:ilvl="0">
      <w:lvlJc w:val="left"/>
      <w:lvlText w:val="(%1)"/>
      <w:numFmt w:val="decimal"/>
      <w:start w:val="10"/>
    </w:lvl>
  </w:abstractNum>
  <w:abstractNum w:abstractNumId="55">
    <w:nsid w:val="3FA62ACA"/>
    <w:multiLevelType w:val="hybridMultilevel"/>
    <w:lvl w:ilvl="0">
      <w:lvlJc w:val="left"/>
      <w:lvlText w:val="●"/>
      <w:numFmt w:val="bullet"/>
      <w:start w:val="1"/>
    </w:lvl>
  </w:abstractNum>
  <w:abstractNum w:abstractNumId="56">
    <w:nsid w:val="14FCE74E"/>
    <w:multiLevelType w:val="hybridMultilevel"/>
    <w:lvl w:ilvl="0">
      <w:lvlJc w:val="left"/>
      <w:lvlText w:val="●"/>
      <w:numFmt w:val="bullet"/>
      <w:start w:val="1"/>
    </w:lvl>
  </w:abstractNum>
  <w:abstractNum w:abstractNumId="57">
    <w:nsid w:val="6A3DD3E8"/>
    <w:multiLevelType w:val="hybridMultilevel"/>
    <w:lvl w:ilvl="0">
      <w:lvlJc w:val="left"/>
      <w:lvlText w:val="●"/>
      <w:numFmt w:val="bullet"/>
      <w:start w:val="1"/>
    </w:lvl>
  </w:abstractNum>
  <w:abstractNum w:abstractNumId="58">
    <w:nsid w:val="71C91298"/>
    <w:multiLevelType w:val="hybridMultilevel"/>
    <w:lvl w:ilvl="0">
      <w:lvlJc w:val="left"/>
      <w:lvlText w:val="●"/>
      <w:numFmt w:val="bullet"/>
      <w:start w:val="1"/>
    </w:lvl>
  </w:abstractNum>
  <w:abstractNum w:abstractNumId="59">
    <w:nsid w:val="9DAF632"/>
    <w:multiLevelType w:val="hybridMultilevel"/>
    <w:lvl w:ilvl="0">
      <w:lvlJc w:val="left"/>
      <w:lvlText w:val="(%1)"/>
      <w:numFmt w:val="lowerRoman"/>
      <w:start w:val="2"/>
    </w:lvl>
  </w:abstractNum>
  <w:abstractNum w:abstractNumId="60">
    <w:nsid w:val="53299938"/>
    <w:multiLevelType w:val="hybridMultilevel"/>
    <w:lvl w:ilvl="0">
      <w:lvlJc w:val="left"/>
      <w:lvlText w:val="●"/>
      <w:numFmt w:val="bullet"/>
      <w:start w:val="1"/>
    </w:lvl>
  </w:abstractNum>
  <w:abstractNum w:abstractNumId="61">
    <w:nsid w:val="1FBFE8E0"/>
    <w:multiLevelType w:val="hybridMultilevel"/>
    <w:lvl w:ilvl="0">
      <w:lvlJc w:val="left"/>
      <w:lvlText w:val="(%1)"/>
      <w:numFmt w:val="lowerLetter"/>
      <w:start w:val="1"/>
    </w:lvl>
  </w:abstractNum>
  <w:abstractNum w:abstractNumId="62">
    <w:nsid w:val="5092CA79"/>
    <w:multiLevelType w:val="hybridMultilevel"/>
    <w:lvl w:ilvl="0">
      <w:lvlJc w:val="left"/>
      <w:lvlText w:val="(%1)"/>
      <w:numFmt w:val="lowerLetter"/>
      <w:start w:val="1"/>
    </w:lvl>
  </w:abstractNum>
  <w:abstractNum w:abstractNumId="63">
    <w:nsid w:val="1D545C4D"/>
    <w:multiLevelType w:val="hybridMultilevel"/>
    <w:lvl w:ilvl="0">
      <w:lvlJc w:val="left"/>
      <w:lvlText w:val="(%1)"/>
      <w:numFmt w:val="lowerLetter"/>
      <w:start w:val="1"/>
    </w:lvl>
  </w:abstractNum>
  <w:abstractNum w:abstractNumId="64">
    <w:nsid w:val="59ADEA3D"/>
    <w:multiLevelType w:val="hybridMultilevel"/>
    <w:lvl w:ilvl="0">
      <w:lvlJc w:val="left"/>
      <w:lvlText w:val="●"/>
      <w:numFmt w:val="bullet"/>
      <w:start w:val="1"/>
    </w:lvl>
  </w:abstractNum>
  <w:abstractNum w:abstractNumId="65">
    <w:nsid w:val="288F1A34"/>
    <w:multiLevelType w:val="hybridMultilevel"/>
    <w:lvl w:ilvl="0">
      <w:lvlJc w:val="left"/>
      <w:lvlText w:val="(%1)"/>
      <w:numFmt w:val="decimal"/>
      <w:start w:val="1"/>
    </w:lvl>
  </w:abstractNum>
  <w:abstractNum w:abstractNumId="66">
    <w:nsid w:val="2A155DBC"/>
    <w:multiLevelType w:val="hybridMultilevel"/>
    <w:lvl w:ilvl="0">
      <w:lvlJc w:val="left"/>
      <w:lvlText w:val="●"/>
      <w:numFmt w:val="bullet"/>
      <w:start w:val="1"/>
    </w:lvl>
  </w:abstractNum>
  <w:abstractNum w:abstractNumId="67">
    <w:nsid w:val="1D9F6E5F"/>
    <w:multiLevelType w:val="hybridMultilevel"/>
    <w:lvl w:ilvl="0">
      <w:lvlJc w:val="left"/>
      <w:lvlText w:val="(%1)"/>
      <w:numFmt w:val="lowerRoman"/>
      <w:start w:val="2"/>
    </w:lvl>
  </w:abstractNum>
  <w:abstractNum w:abstractNumId="68">
    <w:nsid w:val="97E1B4E"/>
    <w:multiLevelType w:val="hybridMultilevel"/>
    <w:lvl w:ilvl="0">
      <w:lvlJc w:val="left"/>
      <w:lvlText w:val="●"/>
      <w:numFmt w:val="bullet"/>
      <w:start w:val="1"/>
    </w:lvl>
  </w:abstractNum>
  <w:abstractNum w:abstractNumId="69">
    <w:nsid w:val="51088277"/>
    <w:multiLevelType w:val="hybridMultilevel"/>
    <w:lvl w:ilvl="0">
      <w:lvlJc w:val="left"/>
      <w:lvlText w:val="(%1)"/>
      <w:numFmt w:val="decimal"/>
      <w:start w:val="1"/>
    </w:lvl>
  </w:abstractNum>
  <w:abstractNum w:abstractNumId="70">
    <w:nsid w:val="1CA0C5FA"/>
    <w:multiLevelType w:val="hybridMultilevel"/>
    <w:lvl w:ilvl="0">
      <w:lvlJc w:val="left"/>
      <w:lvlText w:val="●"/>
      <w:numFmt w:val="bullet"/>
      <w:start w:val="1"/>
    </w:lvl>
  </w:abstractNum>
  <w:abstractNum w:abstractNumId="71">
    <w:nsid w:val="53584BCB"/>
    <w:multiLevelType w:val="hybridMultilevel"/>
    <w:lvl w:ilvl="0">
      <w:lvlJc w:val="left"/>
      <w:lvlText w:val="(%1)"/>
      <w:numFmt w:val="decimal"/>
      <w:start w:val="1"/>
    </w:lvl>
  </w:abstractNum>
  <w:abstractNum w:abstractNumId="72">
    <w:nsid w:val="415E286C"/>
    <w:multiLevelType w:val="hybridMultilevel"/>
    <w:lvl w:ilvl="0">
      <w:lvlJc w:val="left"/>
      <w:lvlText w:val="●"/>
      <w:numFmt w:val="bullet"/>
      <w:start w:val="1"/>
    </w:lvl>
  </w:abstractNum>
  <w:abstractNum w:abstractNumId="73">
    <w:nsid w:val="7C58FD05"/>
    <w:multiLevelType w:val="hybridMultilevel"/>
    <w:lvl w:ilvl="0">
      <w:lvlJc w:val="left"/>
      <w:lvlText w:val="●"/>
      <w:numFmt w:val="bullet"/>
      <w:start w:val="1"/>
    </w:lvl>
  </w:abstractNum>
  <w:abstractNum w:abstractNumId="74">
    <w:nsid w:val="23D86AAC"/>
    <w:multiLevelType w:val="hybridMultilevel"/>
    <w:lvl w:ilvl="0">
      <w:lvlJc w:val="left"/>
      <w:lvlText w:val="●"/>
      <w:numFmt w:val="bullet"/>
      <w:start w:val="1"/>
    </w:lvl>
  </w:abstractNum>
  <w:abstractNum w:abstractNumId="75">
    <w:nsid w:val="45E6D486"/>
    <w:multiLevelType w:val="hybridMultilevel"/>
    <w:lvl w:ilvl="0">
      <w:lvlJc w:val="left"/>
      <w:lvlText w:val="●"/>
      <w:numFmt w:val="bullet"/>
      <w:start w:val="1"/>
    </w:lvl>
  </w:abstractNum>
  <w:abstractNum w:abstractNumId="76">
    <w:nsid w:val="5C10FE21"/>
    <w:multiLevelType w:val="hybridMultilevel"/>
    <w:lvl w:ilvl="0">
      <w:lvlJc w:val="left"/>
      <w:lvlText w:val="(%1)"/>
      <w:numFmt w:val="decimal"/>
      <w:start w:val="1"/>
    </w:lvl>
  </w:abstractNum>
  <w:abstractNum w:abstractNumId="77">
    <w:nsid w:val="E7FFA2B"/>
    <w:multiLevelType w:val="hybridMultilevel"/>
    <w:lvl w:ilvl="0">
      <w:lvlJc w:val="left"/>
      <w:lvlText w:val="(%1)"/>
      <w:numFmt w:val="lowerLetter"/>
      <w:start w:val="1"/>
    </w:lvl>
  </w:abstractNum>
  <w:abstractNum w:abstractNumId="78">
    <w:nsid w:val="3C5991AA"/>
    <w:multiLevelType w:val="hybridMultilevel"/>
    <w:lvl w:ilvl="0">
      <w:lvlJc w:val="left"/>
      <w:lvlText w:val="(%1)"/>
      <w:numFmt w:val="decimal"/>
      <w:start w:val="1"/>
    </w:lvl>
  </w:abstractNum>
  <w:abstractNum w:abstractNumId="79">
    <w:nsid w:val="4BD8591A"/>
    <w:multiLevelType w:val="hybridMultilevel"/>
    <w:lvl w:ilvl="0">
      <w:lvlJc w:val="left"/>
      <w:lvlText w:val="*"/>
      <w:numFmt w:val="bullet"/>
      <w:start w:val="1"/>
    </w:lvl>
  </w:abstractNum>
  <w:abstractNum w:abstractNumId="80">
    <w:nsid w:val="78DF6A55"/>
    <w:multiLevelType w:val="hybridMultilevel"/>
    <w:lvl w:ilvl="0">
      <w:lvlJc w:val="left"/>
      <w:lvlText w:val="*"/>
      <w:numFmt w:val="bullet"/>
      <w:start w:val="1"/>
    </w:lvl>
  </w:abstractNum>
  <w:abstractNum w:abstractNumId="81">
    <w:nsid w:val="39B7AAA2"/>
    <w:multiLevelType w:val="hybridMultilevel"/>
    <w:lvl w:ilvl="0">
      <w:lvlJc w:val="left"/>
      <w:lvlText w:val="%1."/>
      <w:numFmt w:val="decimal"/>
      <w:start w:val="1"/>
    </w:lvl>
  </w:abstractNum>
  <w:abstractNum w:abstractNumId="82">
    <w:nsid w:val="2B0D8DBE"/>
    <w:multiLevelType w:val="hybridMultilevel"/>
    <w:lvl w:ilvl="0">
      <w:lvlJc w:val="left"/>
      <w:lvlText w:val="(%1)"/>
      <w:numFmt w:val="lowerLetter"/>
      <w:start w:val="1"/>
    </w:lvl>
  </w:abstractNum>
  <w:abstractNum w:abstractNumId="83">
    <w:nsid w:val="6C80EC70"/>
    <w:multiLevelType w:val="hybridMultilevel"/>
    <w:lvl w:ilvl="0">
      <w:lvlJc w:val="left"/>
      <w:lvlText w:val="%1."/>
      <w:numFmt w:val="decimal"/>
      <w:start w:val="2"/>
    </w:lvl>
  </w:abstractNum>
  <w:abstractNum w:abstractNumId="84">
    <w:nsid w:val="379E21B5"/>
    <w:multiLevelType w:val="hybridMultilevel"/>
    <w:lvl w:ilvl="0">
      <w:lvlJc w:val="left"/>
      <w:lvlText w:val="(%1)"/>
      <w:numFmt w:val="lowerLetter"/>
      <w:start w:val="1"/>
    </w:lvl>
  </w:abstractNum>
  <w:abstractNum w:abstractNumId="85">
    <w:nsid w:val="69E373"/>
    <w:multiLevelType w:val="hybridMultilevel"/>
    <w:lvl w:ilvl="0">
      <w:lvlJc w:val="left"/>
      <w:lvlText w:val="(%1)"/>
      <w:numFmt w:val="lowerLetter"/>
      <w:start w:val="2"/>
    </w:lvl>
  </w:abstractNum>
  <w:abstractNum w:abstractNumId="86">
    <w:nsid w:val="2C27173B"/>
    <w:multiLevelType w:val="hybridMultilevel"/>
    <w:lvl w:ilvl="0">
      <w:lvlJc w:val="left"/>
      <w:lvlText w:val="(%1)"/>
      <w:numFmt w:val="lowerLetter"/>
      <w:start w:val="3"/>
    </w:lvl>
  </w:abstractNum>
  <w:abstractNum w:abstractNumId="87">
    <w:nsid w:val="4C9B0904"/>
    <w:multiLevelType w:val="hybridMultilevel"/>
    <w:lvl w:ilvl="0">
      <w:lvlJc w:val="left"/>
      <w:lvlText w:val="(%1)"/>
      <w:numFmt w:val="lowerLetter"/>
      <w:start w:val="5"/>
    </w:lvl>
  </w:abstractNum>
  <w:abstractNum w:abstractNumId="88">
    <w:nsid w:val="6AA7B75C"/>
    <w:multiLevelType w:val="hybridMultilevel"/>
    <w:lvl w:ilvl="0">
      <w:lvlJc w:val="left"/>
      <w:lvlText w:val="(%1)"/>
      <w:numFmt w:val="lowerLetter"/>
      <w:start w:val="6"/>
    </w:lvl>
  </w:abstractNum>
  <w:abstractNum w:abstractNumId="89">
    <w:nsid w:val="1DF029D3"/>
    <w:multiLevelType w:val="hybridMultilevel"/>
    <w:lvl w:ilvl="0">
      <w:lvlJc w:val="left"/>
      <w:lvlText w:val="(%1)"/>
      <w:numFmt w:val="lowerLetter"/>
      <w:start w:val="10"/>
    </w:lvl>
  </w:abstractNum>
  <w:abstractNum w:abstractNumId="90">
    <w:nsid w:val="5675FF36"/>
    <w:multiLevelType w:val="hybridMultilevel"/>
    <w:lvl w:ilvl="0">
      <w:lvlJc w:val="left"/>
      <w:lvlText w:val="%1"/>
      <w:numFmt w:val="lowerLetter"/>
      <w:start w:val="1"/>
    </w:lvl>
    <w:lvl w:ilvl="1">
      <w:lvlJc w:val="left"/>
      <w:lvlText w:val="(%2)"/>
      <w:numFmt w:val="lowerLetter"/>
      <w:start w:val="11"/>
    </w:lvl>
  </w:abstractNum>
  <w:abstractNum w:abstractNumId="91">
    <w:nsid w:val="3DD15094"/>
    <w:multiLevelType w:val="hybridMultilevel"/>
    <w:lvl w:ilvl="0">
      <w:lvlJc w:val="left"/>
      <w:lvlText w:val="(%1)"/>
      <w:numFmt w:val="lowerLetter"/>
      <w:start w:val="9"/>
    </w:lvl>
    <w:lvl w:ilvl="1">
      <w:lvlJc w:val="left"/>
      <w:lvlText w:val="%2"/>
      <w:numFmt w:val="lowerLetter"/>
      <w:start w:val="1"/>
    </w:lvl>
  </w:abstractNum>
  <w:abstractNum w:abstractNumId="92">
    <w:nsid w:val="3DB012B3"/>
    <w:multiLevelType w:val="hybridMultilevel"/>
    <w:lvl w:ilvl="0">
      <w:lvlJc w:val="left"/>
      <w:lvlText w:val="(%1)"/>
      <w:numFmt w:val="lowerLetter"/>
      <w:start w:val="61"/>
    </w:lvl>
    <w:lvl w:ilvl="1">
      <w:lvlJc w:val="left"/>
      <w:lvlText w:val="(%2)"/>
      <w:numFmt w:val="lowerLetter"/>
      <w:start w:val="15"/>
    </w:lvl>
  </w:abstractNum>
  <w:abstractNum w:abstractNumId="93">
    <w:nsid w:val="2708C9AF"/>
    <w:multiLevelType w:val="hybridMultilevel"/>
    <w:lvl w:ilvl="0">
      <w:lvlJc w:val="left"/>
      <w:lvlText w:val="%1"/>
      <w:numFmt w:val="lowerLetter"/>
      <w:start w:val="1"/>
    </w:lvl>
    <w:lvl w:ilvl="1">
      <w:lvlJc w:val="left"/>
      <w:lvlText w:val="(%2)"/>
      <w:numFmt w:val="lowerLetter"/>
      <w:start w:val="17"/>
    </w:lvl>
  </w:abstractNum>
  <w:abstractNum w:abstractNumId="94">
    <w:nsid w:val="5B25ACE2"/>
    <w:multiLevelType w:val="hybridMultilevel"/>
    <w:lvl w:ilvl="0">
      <w:lvlJc w:val="left"/>
      <w:lvlText w:val="(%1)"/>
      <w:numFmt w:val="lowerLetter"/>
      <w:start w:val="35"/>
    </w:lvl>
    <w:lvl w:ilvl="1">
      <w:lvlJc w:val="left"/>
      <w:lvlText w:val="(%2)"/>
      <w:numFmt w:val="lowerLetter"/>
      <w:start w:val="18"/>
    </w:lvl>
  </w:abstractNum>
  <w:abstractNum w:abstractNumId="95">
    <w:nsid w:val="175DFCF0"/>
    <w:multiLevelType w:val="hybridMultilevel"/>
    <w:lvl w:ilvl="0">
      <w:lvlJc w:val="left"/>
      <w:lvlText w:val="(%1)"/>
      <w:numFmt w:val="lowerLetter"/>
      <w:start w:val="21"/>
    </w:lvl>
  </w:abstractNum>
  <w:abstractNum w:abstractNumId="96">
    <w:nsid w:val="4F97E3E4"/>
    <w:multiLevelType w:val="hybridMultilevel"/>
    <w:lvl w:ilvl="0">
      <w:lvlJc w:val="left"/>
      <w:lvlText w:val="(%1)"/>
      <w:numFmt w:val="lowerLetter"/>
      <w:start w:val="23"/>
    </w:lvl>
  </w:abstractNum>
  <w:abstractNum w:abstractNumId="97">
    <w:nsid w:val="53B0A9E"/>
    <w:multiLevelType w:val="hybridMultilevel"/>
    <w:lvl w:ilvl="0">
      <w:lvlJc w:val="left"/>
      <w:lvlText w:val="(%1)"/>
      <w:numFmt w:val="lowerLetter"/>
      <w:start w:val="27"/>
    </w:lvl>
  </w:abstractNum>
  <w:abstractNum w:abstractNumId="98">
    <w:nsid w:val="34FD6B4F"/>
    <w:multiLevelType w:val="hybridMultilevel"/>
    <w:lvl w:ilvl="0">
      <w:lvlJc w:val="left"/>
      <w:lvlText w:val="(%1)"/>
      <w:numFmt w:val="lowerLetter"/>
      <w:start w:val="28"/>
    </w:lvl>
  </w:abstractNum>
  <w:abstractNum w:abstractNumId="99">
    <w:nsid w:val="5915FF32"/>
    <w:multiLevelType w:val="hybridMultilevel"/>
    <w:lvl w:ilvl="0">
      <w:lvlJc w:val="left"/>
      <w:lvlText w:val="%1"/>
      <w:numFmt w:val="lowerLetter"/>
      <w:start w:val="1"/>
    </w:lvl>
    <w:lvl w:ilvl="1">
      <w:lvlJc w:val="left"/>
      <w:lvlText w:val="(%2)"/>
      <w:numFmt w:val="lowerLetter"/>
      <w:start w:val="36"/>
    </w:lvl>
  </w:abstractNum>
  <w:abstractNum w:abstractNumId="100">
    <w:nsid w:val="56438D15"/>
    <w:multiLevelType w:val="hybridMultilevel"/>
    <w:lvl w:ilvl="0">
      <w:lvlJc w:val="left"/>
      <w:lvlText w:val="(%1)"/>
      <w:numFmt w:val="lowerLetter"/>
      <w:start w:val="35"/>
    </w:lvl>
    <w:lvl w:ilvl="1">
      <w:lvlJc w:val="left"/>
      <w:lvlText w:val="%2"/>
      <w:numFmt w:val="lowerLetter"/>
      <w:start w:val="1"/>
    </w:lvl>
  </w:abstractNum>
  <w:abstractNum w:abstractNumId="101">
    <w:nsid w:val="519E3149"/>
    <w:multiLevelType w:val="hybridMultilevel"/>
    <w:lvl w:ilvl="0">
      <w:lvlJc w:val="left"/>
      <w:lvlText w:val="(%1)"/>
      <w:numFmt w:val="lowerLetter"/>
      <w:start w:val="22"/>
    </w:lvl>
    <w:lvl w:ilvl="1">
      <w:lvlJc w:val="left"/>
      <w:lvlText w:val="(%2)"/>
      <w:numFmt w:val="lowerLetter"/>
      <w:start w:val="39"/>
    </w:lvl>
  </w:abstractNum>
  <w:abstractNum w:abstractNumId="102">
    <w:nsid w:val="2C6E4AFD"/>
    <w:multiLevelType w:val="hybridMultilevel"/>
    <w:lvl w:ilvl="0">
      <w:lvlJc w:val="left"/>
      <w:lvlText w:val="(%1)"/>
      <w:numFmt w:val="lowerLetter"/>
      <w:start w:val="41"/>
    </w:lvl>
    <w:lvl w:ilvl="1">
      <w:lvlJc w:val="left"/>
      <w:lvlText w:val="(%2)"/>
      <w:numFmt w:val="lowerLetter"/>
      <w:start w:val="42"/>
    </w:lvl>
  </w:abstractNum>
  <w:abstractNum w:abstractNumId="103">
    <w:nsid w:val="17A1B582"/>
    <w:multiLevelType w:val="hybridMultilevel"/>
    <w:lvl w:ilvl="0">
      <w:lvlJc w:val="left"/>
      <w:lvlText w:val="(%1)"/>
      <w:numFmt w:val="lowerLetter"/>
      <w:start w:val="43"/>
    </w:lvl>
  </w:abstractNum>
  <w:abstractNum w:abstractNumId="104">
    <w:nsid w:val="4DF72E4E"/>
    <w:multiLevelType w:val="hybridMultilevel"/>
    <w:lvl w:ilvl="0">
      <w:lvlJc w:val="left"/>
      <w:lvlText w:val="%1."/>
      <w:numFmt w:val="decimal"/>
      <w:start w:val="3"/>
    </w:lvl>
  </w:abstractNum>
  <w:abstractNum w:abstractNumId="105">
    <w:nsid w:val="5046B5A9"/>
    <w:multiLevelType w:val="hybridMultilevel"/>
    <w:lvl w:ilvl="0">
      <w:lvlJc w:val="left"/>
      <w:lvlText w:val="(%1)"/>
      <w:numFmt w:val="lowerLetter"/>
      <w:start w:val="1"/>
    </w:lvl>
  </w:abstractNum>
  <w:abstractNum w:abstractNumId="106">
    <w:nsid w:val="5D888A08"/>
    <w:multiLevelType w:val="hybridMultilevel"/>
    <w:lvl w:ilvl="0">
      <w:lvlJc w:val="left"/>
      <w:lvlText w:val="(%1)"/>
      <w:numFmt w:val="lowerLetter"/>
      <w:start w:val="5"/>
    </w:lvl>
  </w:abstractNum>
  <w:abstractNum w:abstractNumId="107">
    <w:nsid w:val="2A082C70"/>
    <w:multiLevelType w:val="hybridMultilevel"/>
    <w:lvl w:ilvl="0">
      <w:lvlJc w:val="left"/>
      <w:lvlText w:val="%1"/>
      <w:numFmt w:val="lowerLetter"/>
      <w:start w:val="1"/>
    </w:lvl>
    <w:lvl w:ilvl="1">
      <w:lvlJc w:val="left"/>
      <w:lvlText w:val="(%2)"/>
      <w:numFmt w:val="lowerLetter"/>
      <w:start w:val="8"/>
    </w:lvl>
  </w:abstractNum>
  <w:abstractNum w:abstractNumId="108">
    <w:nsid w:val="5EC6AFD4"/>
    <w:multiLevelType w:val="hybridMultilevel"/>
    <w:lvl w:ilvl="0">
      <w:lvlJc w:val="left"/>
      <w:lvlText w:val="(%1)"/>
      <w:numFmt w:val="lowerLetter"/>
      <w:start w:val="9"/>
    </w:lvl>
    <w:lvl w:ilvl="1">
      <w:lvlJc w:val="left"/>
      <w:lvlText w:val="%2"/>
      <w:numFmt w:val="lowerLetter"/>
      <w:start w:val="1"/>
    </w:lvl>
  </w:abstractNum>
  <w:abstractNum w:abstractNumId="109">
    <w:nsid w:val="19E21BB2"/>
    <w:multiLevelType w:val="hybridMultilevel"/>
    <w:lvl w:ilvl="0">
      <w:lvlJc w:val="left"/>
      <w:lvlText w:val="%1."/>
      <w:numFmt w:val="decimal"/>
      <w:start w:val="4"/>
    </w:lvl>
  </w:abstractNum>
  <w:abstractNum w:abstractNumId="110">
    <w:nsid w:val="75E0858A"/>
    <w:multiLevelType w:val="hybridMultilevel"/>
    <w:lvl w:ilvl="0">
      <w:lvlJc w:val="left"/>
      <w:lvlText w:val="(%1)"/>
      <w:numFmt w:val="lowerLetter"/>
      <w:start w:val="1"/>
    </w:lvl>
    <w:lvl w:ilvl="1">
      <w:lvlJc w:val="left"/>
      <w:lvlText w:val="(%2)"/>
      <w:numFmt w:val="lowerRoman"/>
      <w:start w:val="1"/>
    </w:lvl>
  </w:abstractNum>
  <w:abstractNum w:abstractNumId="111">
    <w:nsid w:val="57A61A29"/>
    <w:multiLevelType w:val="hybridMultilevel"/>
    <w:lvl w:ilvl="0">
      <w:lvlJc w:val="left"/>
      <w:lvlText w:val="(%1)"/>
      <w:numFmt w:val="lowerRoman"/>
      <w:start w:val="5"/>
    </w:lvl>
  </w:abstractNum>
  <w:abstractNum w:abstractNumId="112">
    <w:nsid w:val="5399C654"/>
    <w:multiLevelType w:val="hybridMultilevel"/>
    <w:lvl w:ilvl="0">
      <w:lvlJc w:val="left"/>
      <w:lvlText w:val="%1"/>
      <w:numFmt w:val="lowerLetter"/>
      <w:start w:val="1"/>
    </w:lvl>
    <w:lvl w:ilvl="1">
      <w:lvlJc w:val="left"/>
      <w:lvlText w:val="(%2)"/>
      <w:numFmt w:val="lowerRoman"/>
      <w:start w:val="10"/>
    </w:lvl>
  </w:abstractNum>
  <w:abstractNum w:abstractNumId="113">
    <w:nsid w:val="20EE1348"/>
    <w:multiLevelType w:val="hybridMultilevel"/>
    <w:lvl w:ilvl="0">
      <w:lvlJc w:val="left"/>
      <w:lvlText w:val="(%1)"/>
      <w:numFmt w:val="lowerLetter"/>
      <w:start w:val="2"/>
    </w:lvl>
    <w:lvl w:ilvl="1">
      <w:lvlJc w:val="left"/>
      <w:lvlText w:val="%2"/>
      <w:numFmt w:val="lowerRoman"/>
      <w:start w:val="1"/>
    </w:lvl>
  </w:abstractNum>
  <w:abstractNum w:abstractNumId="114">
    <w:nsid w:val="4427069A"/>
    <w:multiLevelType w:val="hybridMultilevel"/>
    <w:lvl w:ilvl="0">
      <w:lvlJc w:val="left"/>
      <w:lvlText w:val="(%1)"/>
      <w:numFmt w:val="lowerLetter"/>
      <w:start w:val="4"/>
    </w:lvl>
  </w:abstractNum>
  <w:abstractNum w:abstractNumId="115">
    <w:nsid w:val="B37E80A"/>
    <w:multiLevelType w:val="hybridMultilevel"/>
    <w:lvl w:ilvl="0">
      <w:lvlJc w:val="left"/>
      <w:lvlText w:val="%1."/>
      <w:numFmt w:val="decimal"/>
      <w:start w:val="5"/>
    </w:lvl>
  </w:abstractNum>
  <w:abstractNum w:abstractNumId="116">
    <w:nsid w:val="2157F6BC"/>
    <w:multiLevelType w:val="hybridMultilevel"/>
    <w:lvl w:ilvl="0">
      <w:lvlJc w:val="left"/>
      <w:lvlText w:val="(%1)"/>
      <w:numFmt w:val="lowerLetter"/>
      <w:start w:val="1"/>
    </w:lvl>
  </w:abstractNum>
  <w:abstractNum w:abstractNumId="117">
    <w:nsid w:val="704E1DD5"/>
    <w:multiLevelType w:val="hybridMultilevel"/>
    <w:lvl w:ilvl="0">
      <w:lvlJc w:val="left"/>
      <w:lvlText w:val="(%1)"/>
      <w:numFmt w:val="lowerLetter"/>
      <w:start w:val="3"/>
    </w:lvl>
  </w:abstractNum>
  <w:abstractNum w:abstractNumId="118">
    <w:nsid w:val="57D2F10E"/>
    <w:multiLevelType w:val="hybridMultilevel"/>
    <w:lvl w:ilvl="0">
      <w:lvlJc w:val="left"/>
      <w:lvlText w:val="%1."/>
      <w:numFmt w:val="decimal"/>
      <w:start w:val="6"/>
    </w:lvl>
  </w:abstractNum>
  <w:abstractNum w:abstractNumId="119">
    <w:nsid w:val="BFFAE18"/>
    <w:multiLevelType w:val="hybridMultilevel"/>
    <w:lvl w:ilvl="0">
      <w:lvlJc w:val="left"/>
      <w:lvlText w:val="%1."/>
      <w:numFmt w:val="decimal"/>
      <w:start w:val="7"/>
    </w:lvl>
  </w:abstractNum>
  <w:abstractNum w:abstractNumId="120">
    <w:nsid w:val="E3E47A8"/>
    <w:multiLevelType w:val="hybridMultilevel"/>
    <w:lvl w:ilvl="0">
      <w:lvlJc w:val="left"/>
      <w:lvlText w:val="(%1)"/>
      <w:numFmt w:val="lowerLetter"/>
      <w:start w:val="1"/>
    </w:lvl>
  </w:abstractNum>
  <w:abstractNum w:abstractNumId="121">
    <w:nsid w:val="2E48F044"/>
    <w:multiLevelType w:val="hybridMultilevel"/>
    <w:lvl w:ilvl="0">
      <w:lvlJc w:val="left"/>
      <w:lvlText w:val="%1."/>
      <w:numFmt w:val="decimal"/>
      <w:start w:val="8"/>
    </w:lvl>
  </w:abstractNum>
  <w:abstractNum w:abstractNumId="122">
    <w:nsid w:val="49D0FEAC"/>
    <w:multiLevelType w:val="hybridMultilevel"/>
    <w:lvl w:ilvl="0">
      <w:lvlJc w:val="left"/>
      <w:lvlText w:val="%1."/>
      <w:numFmt w:val="decimal"/>
      <w:start w:val="9"/>
    </w:lvl>
  </w:abstractNum>
  <w:abstractNum w:abstractNumId="123">
    <w:nsid w:val="4BEE5A5B"/>
    <w:multiLevelType w:val="hybridMultilevel"/>
    <w:lvl w:ilvl="0">
      <w:lvlJc w:val="left"/>
      <w:lvlText w:val="(%1)"/>
      <w:numFmt w:val="lowerLetter"/>
      <w:start w:val="1"/>
    </w:lvl>
  </w:abstractNum>
  <w:abstractNum w:abstractNumId="124">
    <w:nsid w:val="5551B9F3"/>
    <w:multiLevelType w:val="hybridMultilevel"/>
    <w:lvl w:ilvl="0">
      <w:lvlJc w:val="left"/>
      <w:lvlText w:val="%1."/>
      <w:numFmt w:val="decimal"/>
      <w:start w:val="1"/>
    </w:lvl>
    <w:lvl w:ilvl="1">
      <w:lvlJc w:val="left"/>
      <w:lvlText w:val="(%2)"/>
      <w:numFmt w:val="lowerLetter"/>
      <w:start w:val="1"/>
    </w:lvl>
  </w:abstractNum>
  <w:abstractNum w:abstractNumId="125">
    <w:nsid w:val="24F6AB8E"/>
    <w:multiLevelType w:val="hybridMultilevel"/>
    <w:lvl w:ilvl="0">
      <w:lvlJc w:val="left"/>
      <w:lvlText w:val="1"/>
      <w:numFmt w:val="bullet"/>
      <w:start w:val="1"/>
    </w:lvl>
  </w:abstractNum>
  <w:abstractNum w:abstractNumId="126">
    <w:nsid w:val="634C574C"/>
    <w:multiLevelType w:val="hybridMultilevel"/>
    <w:lvl w:ilvl="0">
      <w:lvlJc w:val="left"/>
      <w:lvlText w:val="(%1)"/>
      <w:numFmt w:val="lowerLetter"/>
      <w:start w:val="2"/>
    </w:lvl>
  </w:abstractNum>
  <w:abstractNum w:abstractNumId="127">
    <w:nsid w:val="24E99DD7"/>
    <w:multiLevelType w:val="hybridMultilevel"/>
    <w:lvl w:ilvl="0">
      <w:lvlJc w:val="left"/>
      <w:lvlText w:val="(%1)"/>
      <w:numFmt w:val="lowerLetter"/>
      <w:start w:val="3"/>
    </w:lvl>
  </w:abstractNum>
  <w:abstractNum w:abstractNumId="128">
    <w:nsid w:val="2A31B62D"/>
    <w:multiLevelType w:val="hybridMultilevel"/>
    <w:lvl w:ilvl="0">
      <w:lvlJc w:val="left"/>
      <w:lvlText w:val="2"/>
      <w:numFmt w:val="bullet"/>
      <w:start w:val="1"/>
    </w:lvl>
  </w:abstractNum>
  <w:abstractNum w:abstractNumId="129">
    <w:nsid w:val="1849C29B"/>
    <w:multiLevelType w:val="hybridMultilevel"/>
    <w:lvl w:ilvl="0">
      <w:lvlJc w:val="left"/>
      <w:lvlText w:val="(%1)"/>
      <w:numFmt w:val="lowerLetter"/>
      <w:start w:val="4"/>
    </w:lvl>
  </w:abstractNum>
  <w:abstractNum w:abstractNumId="130">
    <w:nsid w:val="7DFF9D09"/>
    <w:multiLevelType w:val="hybridMultilevel"/>
    <w:lvl w:ilvl="0">
      <w:lvlJc w:val="left"/>
      <w:lvlText w:val="(%1)"/>
      <w:numFmt w:val="lowerLetter"/>
      <w:start w:val="26"/>
    </w:lvl>
  </w:abstractNum>
  <w:abstractNum w:abstractNumId="131">
    <w:nsid w:val="754342"/>
    <w:multiLevelType w:val="hybridMultilevel"/>
    <w:lvl w:ilvl="0">
      <w:lvlJc w:val="left"/>
      <w:lvlText w:val="%1"/>
      <w:numFmt w:val="lowerLetter"/>
      <w:start w:val="1"/>
    </w:lvl>
    <w:lvl w:ilvl="1">
      <w:lvlJc w:val="left"/>
      <w:lvlText w:val="(%2)"/>
      <w:numFmt w:val="lowerLetter"/>
      <w:start w:val="5"/>
    </w:lvl>
  </w:abstractNum>
  <w:abstractNum w:abstractNumId="132">
    <w:nsid w:val="69E7F3E5"/>
    <w:multiLevelType w:val="hybridMultilevel"/>
    <w:lvl w:ilvl="0">
      <w:lvlJc w:val="left"/>
      <w:lvlText w:val="(%1)"/>
      <w:numFmt w:val="lowerLetter"/>
      <w:start w:val="24"/>
    </w:lvl>
    <w:lvl w:ilvl="1">
      <w:lvlJc w:val="left"/>
      <w:lvlText w:val="%2"/>
      <w:numFmt w:val="lowerLetter"/>
      <w:start w:val="1"/>
    </w:lvl>
  </w:abstractNum>
  <w:abstractNum w:abstractNumId="133">
    <w:nsid w:val="2A6DE806"/>
    <w:multiLevelType w:val="hybridMultilevel"/>
    <w:lvl w:ilvl="0">
      <w:lvlJc w:val="left"/>
      <w:lvlText w:val="(%1)"/>
      <w:numFmt w:val="lowerLetter"/>
      <w:start w:val="7"/>
    </w:lvl>
  </w:abstractNum>
  <w:abstractNum w:abstractNumId="134">
    <w:nsid w:val="1816F8C4"/>
    <w:multiLevelType w:val="hybridMultilevel"/>
    <w:lvl w:ilvl="0">
      <w:lvlJc w:val="left"/>
      <w:lvlText w:val="%1"/>
      <w:numFmt w:val="decimal"/>
      <w:start w:val="1"/>
    </w:lvl>
    <w:lvl w:ilvl="1">
      <w:lvlJc w:val="left"/>
      <w:lvlText w:val="(%2)"/>
      <w:numFmt w:val="lowerLetter"/>
      <w:start w:val="8"/>
    </w:lvl>
  </w:abstractNum>
  <w:abstractNum w:abstractNumId="135">
    <w:nsid w:val="37DF2233"/>
    <w:multiLevelType w:val="hybridMultilevel"/>
    <w:lvl w:ilvl="0">
      <w:lvlJc w:val="left"/>
      <w:lvlText w:val="%1."/>
      <w:numFmt w:val="decimal"/>
      <w:start w:val="2"/>
    </w:lvl>
    <w:lvl w:ilvl="1">
      <w:lvlJc w:val="left"/>
      <w:lvlText w:val="(%2)"/>
      <w:numFmt w:val="lowerLetter"/>
      <w:start w:val="1"/>
    </w:lvl>
  </w:abstractNum>
  <w:abstractNum w:abstractNumId="136">
    <w:nsid w:val="7AB49DAF"/>
    <w:multiLevelType w:val="hybridMultilevel"/>
    <w:lvl w:ilvl="0">
      <w:lvlJc w:val="left"/>
      <w:lvlText w:val="%1."/>
      <w:numFmt w:val="decimal"/>
      <w:start w:val="4"/>
    </w:lvl>
    <w:lvl w:ilvl="1">
      <w:lvlJc w:val="left"/>
      <w:lvlText w:val="(%2)"/>
      <w:numFmt w:val="lowerLetter"/>
      <w:start w:val="1"/>
    </w:lvl>
  </w:abstractNum>
  <w:abstractNum w:abstractNumId="137">
    <w:nsid w:val="759F82CD"/>
    <w:multiLevelType w:val="hybridMultilevel"/>
    <w:lvl w:ilvl="0">
      <w:lvlJc w:val="left"/>
      <w:lvlText w:val="%1."/>
      <w:numFmt w:val="decimal"/>
      <w:start w:val="5"/>
    </w:lvl>
  </w:abstractNum>
  <w:abstractNum w:abstractNumId="138">
    <w:nsid w:val="61E74EA3"/>
    <w:multiLevelType w:val="hybridMultilevel"/>
    <w:lvl w:ilvl="0">
      <w:lvlJc w:val="left"/>
      <w:lvlText w:val="%1"/>
      <w:numFmt w:val="upperLetter"/>
      <w:start w:val="1"/>
    </w:lvl>
    <w:lvl w:ilvl="1">
      <w:lvlJc w:val="left"/>
      <w:lvlText w:val="%2."/>
      <w:numFmt w:val="decimal"/>
      <w:start w:val="7"/>
    </w:lvl>
    <w:lvl w:ilvl="2">
      <w:lvlJc w:val="left"/>
      <w:lvlText w:val="%3"/>
      <w:numFmt w:val="lowerRoman"/>
      <w:start w:val="1"/>
    </w:lvl>
    <w:lvl w:ilvl="3">
      <w:lvlJc w:val="left"/>
      <w:lvlText w:val="(%4)"/>
      <w:numFmt w:val="lowerLetter"/>
      <w:start w:val="1"/>
    </w:lvl>
  </w:abstractNum>
  <w:abstractNum w:abstractNumId="139">
    <w:nsid w:val="597B4D84"/>
    <w:multiLevelType w:val="hybridMultilevel"/>
    <w:lvl w:ilvl="0">
      <w:lvlJc w:val="left"/>
      <w:lvlText w:val="(%1)"/>
      <w:numFmt w:val="upperLetter"/>
      <w:start w:val="4"/>
    </w:lvl>
    <w:lvl w:ilvl="1">
      <w:lvlJc w:val="left"/>
      <w:lvlText w:val="%2"/>
      <w:numFmt w:val="decimal"/>
      <w:start w:val="1"/>
    </w:lvl>
    <w:lvl w:ilvl="2">
      <w:lvlJc w:val="left"/>
      <w:lvlText w:val="(%3)"/>
      <w:numFmt w:val="lowerRoman"/>
      <w:start w:val="1"/>
    </w:lvl>
    <w:lvl w:ilvl="3">
      <w:lvlJc w:val="left"/>
      <w:lvlText w:val="%4"/>
      <w:numFmt w:val="lowerLetter"/>
      <w:start w:val="1"/>
    </w:lvl>
  </w:abstractNum>
  <w:abstractNum w:abstractNumId="140">
    <w:nsid w:val="F819E7F"/>
    <w:multiLevelType w:val="hybridMultilevel"/>
    <w:lvl w:ilvl="0">
      <w:lvlJc w:val="left"/>
      <w:lvlText w:val="(%1)"/>
      <w:numFmt w:val="decimal"/>
      <w:start w:val="15"/>
    </w:lvl>
    <w:lvl w:ilvl="1">
      <w:lvlJc w:val="left"/>
      <w:lvlText w:val="%2."/>
      <w:numFmt w:val="decimal"/>
      <w:start w:val="9"/>
    </w:lvl>
  </w:abstractNum>
  <w:abstractNum w:abstractNumId="141">
    <w:nsid w:val="57C7D42D"/>
    <w:multiLevelType w:val="hybridMultilevel"/>
    <w:lvl w:ilvl="0">
      <w:lvlJc w:val="left"/>
      <w:lvlText w:val="%1."/>
      <w:numFmt w:val="decimal"/>
      <w:start w:val="12"/>
    </w:lvl>
  </w:abstractNum>
  <w:abstractNum w:abstractNumId="142">
    <w:nsid w:val="312167AD"/>
    <w:multiLevelType w:val="hybridMultilevel"/>
    <w:lvl w:ilvl="0">
      <w:lvlJc w:val="left"/>
      <w:lvlText w:val="%1."/>
      <w:numFmt w:val="decimal"/>
      <w:start w:val="17"/>
    </w:lvl>
    <w:lvl w:ilvl="1">
      <w:lvlJc w:val="left"/>
      <w:lvlText w:val="(%2)"/>
      <w:numFmt w:val="lowerLetter"/>
      <w:start w:val="1"/>
    </w:lvl>
  </w:abstractNum>
  <w:abstractNum w:abstractNumId="143">
    <w:nsid w:val="631B64D4"/>
    <w:multiLevelType w:val="hybridMultilevel"/>
    <w:lvl w:ilvl="0">
      <w:lvlJc w:val="left"/>
      <w:lvlText w:val="(%1)"/>
      <w:numFmt w:val="lowerLetter"/>
      <w:start w:val="6"/>
    </w:lvl>
  </w:abstractNum>
  <w:abstractNum w:abstractNumId="144">
    <w:nsid w:val="78B5E776"/>
    <w:multiLevelType w:val="hybridMultilevel"/>
    <w:lvl w:ilvl="0">
      <w:lvlJc w:val="left"/>
      <w:lvlText w:val="%1"/>
      <w:numFmt w:val="lowerLetter"/>
      <w:start w:val="1"/>
    </w:lvl>
    <w:lvl w:ilvl="1">
      <w:lvlJc w:val="left"/>
      <w:lvlText w:val="(%2)"/>
      <w:numFmt w:val="lowerLetter"/>
      <w:start w:val="13"/>
    </w:lvl>
  </w:abstractNum>
  <w:abstractNum w:abstractNumId="145">
    <w:nsid w:val="75486E47"/>
    <w:multiLevelType w:val="hybridMultilevel"/>
    <w:lvl w:ilvl="0">
      <w:lvlJc w:val="left"/>
      <w:lvlText w:val="(%1)"/>
      <w:numFmt w:val="lowerLetter"/>
      <w:start w:val="22"/>
    </w:lvl>
    <w:lvl w:ilvl="1">
      <w:lvlJc w:val="left"/>
      <w:lvlText w:val="%2"/>
      <w:numFmt w:val="lowerLetter"/>
      <w:start w:val="1"/>
    </w:lvl>
  </w:abstractNum>
  <w:abstractNum w:abstractNumId="146">
    <w:nsid w:val="6E534CDE"/>
    <w:multiLevelType w:val="hybridMultilevel"/>
    <w:lvl w:ilvl="0">
      <w:lvlJc w:val="left"/>
      <w:lvlText w:val="(%1)"/>
      <w:numFmt w:val="lowerLetter"/>
      <w:start w:val="16"/>
    </w:lvl>
  </w:abstractNum>
  <w:abstractNum w:abstractNumId="147">
    <w:nsid w:val="1A0DDE32"/>
    <w:multiLevelType w:val="hybridMultilevel"/>
    <w:lvl w:ilvl="0">
      <w:lvlJc w:val="left"/>
      <w:lvlText w:val="(%1)"/>
      <w:numFmt w:val="lowerLetter"/>
      <w:start w:val="26"/>
    </w:lvl>
  </w:abstractNum>
  <w:abstractNum w:abstractNumId="148">
    <w:nsid w:val="65968C1C"/>
    <w:multiLevelType w:val="hybridMultilevel"/>
    <w:lvl w:ilvl="0">
      <w:lvlJc w:val="left"/>
      <w:lvlText w:val="(%1)"/>
      <w:numFmt w:val="lowerLetter"/>
      <w:start w:val="27"/>
    </w:lvl>
  </w:abstractNum>
  <w:abstractNum w:abstractNumId="149">
    <w:nsid w:val="46263D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2" Type="http://schemas.openxmlformats.org/officeDocument/2006/relationships/image" Target="media/image212.png"/><Relationship Id="rId225"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png"/><Relationship Id="rId244" Type="http://schemas.openxmlformats.org/officeDocument/2006/relationships/image" Target="media/image229.png"/><Relationship Id="rId245" Type="http://schemas.openxmlformats.org/officeDocument/2006/relationships/image" Target="media/image230.png"/><Relationship Id="rId246" Type="http://schemas.openxmlformats.org/officeDocument/2006/relationships/image" Target="media/image231.png"/><Relationship Id="rId247" Type="http://schemas.openxmlformats.org/officeDocument/2006/relationships/image" Target="media/image232.png"/><Relationship Id="rId248" Type="http://schemas.openxmlformats.org/officeDocument/2006/relationships/image" Target="media/image233.png"/><Relationship Id="rId249" Type="http://schemas.openxmlformats.org/officeDocument/2006/relationships/image" Target="media/image234.png"/><Relationship Id="rId250" Type="http://schemas.openxmlformats.org/officeDocument/2006/relationships/image" Target="media/image235.png"/><Relationship Id="rId251" Type="http://schemas.openxmlformats.org/officeDocument/2006/relationships/image" Target="media/image236.png"/><Relationship Id="rId252" Type="http://schemas.openxmlformats.org/officeDocument/2006/relationships/image" Target="media/image237.png"/><Relationship Id="rId253" Type="http://schemas.openxmlformats.org/officeDocument/2006/relationships/image" Target="media/image238.png"/><Relationship Id="rId254" Type="http://schemas.openxmlformats.org/officeDocument/2006/relationships/image" Target="media/image239.png"/><Relationship Id="rId255" Type="http://schemas.openxmlformats.org/officeDocument/2006/relationships/image" Target="media/image240.png"/><Relationship Id="rId256" Type="http://schemas.openxmlformats.org/officeDocument/2006/relationships/image" Target="media/image241.png"/><Relationship Id="rId257" Type="http://schemas.openxmlformats.org/officeDocument/2006/relationships/image" Target="media/image242.png"/><Relationship Id="rId258" Type="http://schemas.openxmlformats.org/officeDocument/2006/relationships/image" Target="media/image243.png"/><Relationship Id="rId259" Type="http://schemas.openxmlformats.org/officeDocument/2006/relationships/image" Target="media/image244.png"/><Relationship Id="rId260" Type="http://schemas.openxmlformats.org/officeDocument/2006/relationships/image" Target="media/image245.png"/><Relationship Id="rId261" Type="http://schemas.openxmlformats.org/officeDocument/2006/relationships/image" Target="media/image246.png"/><Relationship Id="rId262" Type="http://schemas.openxmlformats.org/officeDocument/2006/relationships/image" Target="media/image247.png"/><Relationship Id="rId263" Type="http://schemas.openxmlformats.org/officeDocument/2006/relationships/image" Target="media/image248.png"/><Relationship Id="rId264" Type="http://schemas.openxmlformats.org/officeDocument/2006/relationships/image" Target="media/image249.png"/><Relationship Id="rId265" Type="http://schemas.openxmlformats.org/officeDocument/2006/relationships/image" Target="media/image250.png"/><Relationship Id="rId266" Type="http://schemas.openxmlformats.org/officeDocument/2006/relationships/image" Target="media/image251.png"/><Relationship Id="rId267" Type="http://schemas.openxmlformats.org/officeDocument/2006/relationships/image" Target="media/image252.png"/><Relationship Id="rId268" Type="http://schemas.openxmlformats.org/officeDocument/2006/relationships/image" Target="media/image253.png"/><Relationship Id="rId269" Type="http://schemas.openxmlformats.org/officeDocument/2006/relationships/image" Target="media/image254.png"/><Relationship Id="rId270" Type="http://schemas.openxmlformats.org/officeDocument/2006/relationships/image" Target="media/image255.png"/><Relationship Id="rId271" Type="http://schemas.openxmlformats.org/officeDocument/2006/relationships/image" Target="media/image256.png"/><Relationship Id="rId272" Type="http://schemas.openxmlformats.org/officeDocument/2006/relationships/image" Target="media/image257.png"/><Relationship Id="rId273" Type="http://schemas.openxmlformats.org/officeDocument/2006/relationships/image" Target="media/image258.png"/><Relationship Id="rId274" Type="http://schemas.openxmlformats.org/officeDocument/2006/relationships/image" Target="media/image259.png"/><Relationship Id="rId275" Type="http://schemas.openxmlformats.org/officeDocument/2006/relationships/image" Target="media/image260.png"/><Relationship Id="rId276" Type="http://schemas.openxmlformats.org/officeDocument/2006/relationships/image" Target="media/image261.png"/><Relationship Id="rId277" Type="http://schemas.openxmlformats.org/officeDocument/2006/relationships/image" Target="media/image262.png"/><Relationship Id="rId278" Type="http://schemas.openxmlformats.org/officeDocument/2006/relationships/image" Target="media/image263.jpeg"/><Relationship Id="rId279" Type="http://schemas.openxmlformats.org/officeDocument/2006/relationships/image" Target="media/image264.png"/><Relationship Id="rId280" Type="http://schemas.openxmlformats.org/officeDocument/2006/relationships/image" Target="media/image265.png"/><Relationship Id="rId193" Type="http://schemas.openxmlformats.org/officeDocument/2006/relationships/hyperlink" Target="http://www.sec.gov/Archives/edgar/data/1411685/000165495417008632/ex3-1.htm" TargetMode="External"/><Relationship Id="rId194" Type="http://schemas.openxmlformats.org/officeDocument/2006/relationships/hyperlink" Target="http://www.sec.gov/Archives/edgar/data/1411685/000141588912000308/ex10-03022012_120304.htm" TargetMode="External"/><Relationship Id="rId221" Type="http://schemas.openxmlformats.org/officeDocument/2006/relationships/hyperlink" Target="http://www.sec.gov/Archives/edgar/data/1411685/000165495417005976/ex10-122.htm" TargetMode="External"/><Relationship Id="rId223" Type="http://schemas.openxmlformats.org/officeDocument/2006/relationships/hyperlink" Target="http://www.sec.gov/Archives/edgar/data/1411685/000165495417008025/vsta_ex11.htm" TargetMode="External"/><Relationship Id="rId224" Type="http://schemas.openxmlformats.org/officeDocument/2006/relationships/hyperlink" Target="http://www.sec.gov/Archives/edgar/data/1411685/000165495417008025/ex4-1.htm" TargetMode="External"/><Relationship Id="rId226" Type="http://schemas.openxmlformats.org/officeDocument/2006/relationships/hyperlink" Target="http://www.sec.gov/Archives/edgar/data/1411685/000165495417008025/ex4-2.htm" TargetMode="External"/><Relationship Id="rId227" Type="http://schemas.openxmlformats.org/officeDocument/2006/relationships/hyperlink" Target="http://www.sec.gov/Archives/edgar/data/1411685/000141588911000362/ex21-1.htm" TargetMode="External"/><Relationship Id="rId230" Type="http://schemas.openxmlformats.org/officeDocument/2006/relationships/hyperlink" Target="http://www.sec.gov/Archives/edgar/data/1411685/000165495417009530/vtgns1_oct201700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2020-01-19T00:31:01Z</dcterms:created>
  <dcterms:modified xsi:type="dcterms:W3CDTF">2020-01-19T00:31:01Z</dcterms:modified>
</cp:coreProperties>
</file>