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294005</wp:posOffset>
            </wp:positionH>
            <wp:positionV relativeFrom="page">
              <wp:posOffset>706120</wp:posOffset>
            </wp:positionV>
            <wp:extent cx="6858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23, 2025</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228"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000-54014</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52" w:lineRule="exact"/>
        <w:rPr>
          <w:sz w:val="24"/>
          <w:szCs w:val="24"/>
          <w:color w:val="auto"/>
        </w:rPr>
      </w:pPr>
    </w:p>
    <w:p>
      <w:pPr>
        <w:sectPr>
          <w:pgSz w:w="11900" w:h="16838" w:orient="portrait"/>
          <w:cols w:equalWidth="0" w:num="3">
            <w:col w:w="4500" w:space="720"/>
            <w:col w:w="2980" w:space="720"/>
            <w:col w:w="2320"/>
          </w:cols>
          <w:pgMar w:left="320" w:top="1440" w:right="33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1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00" w:space="720"/>
            <w:col w:w="3200" w:space="720"/>
            <w:col w:w="2700"/>
          </w:cols>
          <w:pgMar w:left="320" w:top="1440" w:right="339" w:bottom="1440" w:gutter="0" w:footer="0" w:header="0"/>
          <w:type w:val="continuous"/>
        </w:sectPr>
      </w:pPr>
    </w:p>
    <w:p>
      <w:pPr>
        <w:spacing w:after="0" w:line="8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(650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440" w:right="339" w:bottom="1440" w:gutter="0" w:footer="0" w:header="0"/>
          <w:type w:val="continuous"/>
        </w:sectPr>
      </w:pPr>
    </w:p>
    <w:p>
      <w:pPr>
        <w:spacing w:after="0" w:line="19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Rule 14a-12 under the Exchange Act (17 CFR 240.14a -12)</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63"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2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VTGN</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6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020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right="30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June 25, 2025,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announced the appointment of Ms. Elissa Cote as the Company’s Chief Corporate Development Officer, effective June 23, 2025. A copy of the press release announcing Ms. Cote’s appointment is attached to this Current Report on Form 8-K as Exhibit 99.1.</w:t>
      </w:r>
    </w:p>
    <w:p>
      <w:pPr>
        <w:spacing w:after="0" w:line="20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Ms. Cote, age 50, brings seasoned leadership and broad experience across small to large-cap public biopharmaceutical companies, with a strong track record in strategic, transactional, and operational roles. Since 2022 and prior to joining the Company, Ms. Cote served as fractional Chief Business Officer and strategic advisor to several biopharmaceutical clients. From 2015 to 2022, Ms. Cote served in multiple senior-level roles at Mallinckrodt Pharmaceuticals and Sucampo Pharmaceuticals (acquired by Mallinckrodt Pharmaceuticals in 2018), including Chief Strategy and Business Development Officer, where she led business development, licensing transactions, and strategic divestitures aligned with the global enterprise strategy. Ms. Cote has also held leadership positions and roles of increasing responsibility MedImmune Inc., the global biologics division of AstraZeneca PLC. Earlier in her career, Ms. Cote was a management consultant with Accenture plc. Ms. Cote holds a Bachelor of Arts from Union College and a Corporate M&amp;A certification from Columbia Business School.</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Except as disclosed herein, there are no arrangements or understandings between Ms. Cote and any other person pursuant to which she was appointed as the Company’s Chief Corporate Development Officer, and Ms. Cote is not a participant in any related party transaction required to be reported pursuant to Item 404(a) of Regulation S-K.</w:t>
      </w:r>
    </w:p>
    <w:p>
      <w:pPr>
        <w:spacing w:after="0" w:line="2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 connection with her appointment, the Company and Ms. Cote entered into an Indemnification Agreement (the “</w:t>
      </w:r>
      <w:r>
        <w:rPr>
          <w:rFonts w:ascii="Times New Roman" w:cs="Times New Roman" w:eastAsia="Times New Roman" w:hAnsi="Times New Roman"/>
          <w:sz w:val="18"/>
          <w:szCs w:val="18"/>
          <w:i w:val="1"/>
          <w:iCs w:val="1"/>
          <w:color w:val="auto"/>
        </w:rPr>
        <w:t>Indemnification Agreement</w:t>
      </w:r>
      <w:r>
        <w:rPr>
          <w:rFonts w:ascii="Times New Roman" w:cs="Times New Roman" w:eastAsia="Times New Roman" w:hAnsi="Times New Roman"/>
          <w:sz w:val="18"/>
          <w:szCs w:val="18"/>
          <w:color w:val="auto"/>
        </w:rPr>
        <w:t>”), a copy of which is attached hereto as Exhibit 10.1. The Indemnification Agreement requires the Company to indemnify Ms. Cote to the fullest extent permitted under Nevada law against liability that may arise by reason of her service to the Company, and to advance certain expenses incurred as a result of any proceeding against her as to which she could be indemnified.</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Indemnification Agreement is not complete and is qualified in its entirety by reference to the full text of the Indemnification Agreement, which is attached as Exhibit 10.1 to this Current Report on Form 8-K and incorporated into this Item 5.02 by reference.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39" w:lineRule="exact"/>
        <w:rPr>
          <w:sz w:val="20"/>
          <w:szCs w:val="20"/>
          <w:color w:val="auto"/>
        </w:rPr>
      </w:pPr>
    </w:p>
    <w:p>
      <w:pPr>
        <w:ind w:left="100"/>
        <w:spacing w:after="0"/>
        <w:tabs>
          <w:tab w:leader="none" w:pos="57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ind w:left="380"/>
        <w:spacing w:after="0"/>
        <w:tabs>
          <w:tab w:leader="none" w:pos="11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FF"/>
        </w:rPr>
        <w:t>Indemnification Agreement by and between Vistagen Therapeutics, Inc. and Elissa Cote, dated June 23, 2025</w:t>
      </w:r>
    </w:p>
    <w:p>
      <w:pPr>
        <w:spacing w:after="0" w:line="50" w:lineRule="exact"/>
        <w:rPr>
          <w:sz w:val="20"/>
          <w:szCs w:val="20"/>
          <w:color w:val="auto"/>
        </w:rPr>
      </w:pPr>
    </w:p>
    <w:p>
      <w:pPr>
        <w:ind w:left="380"/>
        <w:spacing w:after="0"/>
        <w:tabs>
          <w:tab w:leader="none" w:pos="11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Vistagen Therapeutics, Inc., dated June 25, 2025</w:t>
      </w:r>
    </w:p>
    <w:p>
      <w:pPr>
        <w:spacing w:after="0" w:line="50" w:lineRule="exact"/>
        <w:rPr>
          <w:sz w:val="20"/>
          <w:szCs w:val="20"/>
          <w:color w:val="auto"/>
        </w:rPr>
      </w:pPr>
    </w:p>
    <w:p>
      <w:pPr>
        <w:ind w:left="400"/>
        <w:spacing w:after="0"/>
        <w:tabs>
          <w:tab w:leader="none" w:pos="11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10" w:lineRule="exact"/>
        <w:rPr>
          <w:sz w:val="20"/>
          <w:szCs w:val="20"/>
          <w:color w:val="auto"/>
        </w:rPr>
      </w:pPr>
    </w:p>
    <w:p>
      <w:pPr>
        <w:ind w:left="20"/>
        <w:spacing w:after="0"/>
        <w:tabs>
          <w:tab w:leader="none" w:pos="5560" w:val="left"/>
          <w:tab w:leader="none" w:pos="6020" w:val="left"/>
        </w:tabs>
        <w:rPr>
          <w:sz w:val="20"/>
          <w:szCs w:val="20"/>
          <w:color w:val="auto"/>
        </w:rPr>
      </w:pPr>
      <w:r>
        <w:rPr>
          <w:rFonts w:ascii="Times New Roman" w:cs="Times New Roman" w:eastAsia="Times New Roman" w:hAnsi="Times New Roman"/>
          <w:sz w:val="18"/>
          <w:szCs w:val="18"/>
          <w:color w:val="auto"/>
        </w:rPr>
        <w:t>Date: June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27305</wp:posOffset>
            </wp:positionV>
            <wp:extent cx="3317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4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Shawn K. Singh</w:t>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00"/>
          </w:cols>
          <w:pgMar w:left="320" w:top="11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15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67" w:lineRule="exact"/>
        <w:rPr>
          <w:sz w:val="20"/>
          <w:szCs w:val="20"/>
          <w:color w:val="auto"/>
        </w:rPr>
      </w:pPr>
    </w:p>
    <w:p>
      <w:pPr>
        <w:jc w:val="both"/>
        <w:ind w:firstLine="756"/>
        <w:spacing w:after="0" w:line="266" w:lineRule="auto"/>
        <w:rPr>
          <w:sz w:val="20"/>
          <w:szCs w:val="20"/>
          <w:color w:val="auto"/>
        </w:rPr>
      </w:pPr>
      <w:r>
        <w:rPr>
          <w:rFonts w:ascii="Times New Roman" w:cs="Times New Roman" w:eastAsia="Times New Roman" w:hAnsi="Times New Roman"/>
          <w:sz w:val="18"/>
          <w:szCs w:val="18"/>
          <w:color w:val="auto"/>
        </w:rPr>
        <w:t>THIS AGREEMENT is entered into, effective as of June 23, 2025 between Vistagen Therapeutics, Inc., a Nevada corporation (the "Company"), and Elissa Cote (“Indemnitee”).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it is essential to the Company to retain and attract as directors and officers the most capable persons available;</w:t>
      </w:r>
    </w:p>
    <w:p>
      <w:pPr>
        <w:spacing w:after="0" w:line="23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Indemnitee is an officer of the Company;</w:t>
      </w:r>
    </w:p>
    <w:p>
      <w:pPr>
        <w:spacing w:after="0" w:line="239" w:lineRule="exact"/>
        <w:rPr>
          <w:sz w:val="20"/>
          <w:szCs w:val="20"/>
          <w:color w:val="auto"/>
        </w:rPr>
      </w:pPr>
    </w:p>
    <w:p>
      <w:pPr>
        <w:jc w:val="both"/>
        <w:ind w:right="20" w:firstLine="756"/>
        <w:spacing w:after="0" w:line="266" w:lineRule="auto"/>
        <w:rPr>
          <w:sz w:val="20"/>
          <w:szCs w:val="20"/>
          <w:color w:val="auto"/>
        </w:rPr>
      </w:pPr>
      <w:r>
        <w:rPr>
          <w:rFonts w:ascii="Times New Roman" w:cs="Times New Roman" w:eastAsia="Times New Roman" w:hAnsi="Times New Roman"/>
          <w:sz w:val="18"/>
          <w:szCs w:val="18"/>
          <w:color w:val="auto"/>
        </w:rPr>
        <w:t>WHEREAS, both the Company and Indemnitee recognize the increased risk of litigation and other claims currently being asserted against directors and officers of corporations; and</w:t>
      </w:r>
    </w:p>
    <w:p>
      <w:pPr>
        <w:spacing w:after="0" w:line="189" w:lineRule="exact"/>
        <w:rPr>
          <w:sz w:val="20"/>
          <w:szCs w:val="20"/>
          <w:color w:val="auto"/>
        </w:rPr>
      </w:pPr>
    </w:p>
    <w:p>
      <w:pPr>
        <w:jc w:val="both"/>
        <w:ind w:firstLine="755"/>
        <w:spacing w:after="0" w:line="242" w:lineRule="auto"/>
        <w:rPr>
          <w:sz w:val="20"/>
          <w:szCs w:val="20"/>
          <w:color w:val="auto"/>
        </w:rPr>
      </w:pPr>
      <w:r>
        <w:rPr>
          <w:rFonts w:ascii="Times New Roman" w:cs="Times New Roman" w:eastAsia="Times New Roman" w:hAnsi="Times New Roman"/>
          <w:sz w:val="18"/>
          <w:szCs w:val="18"/>
          <w:color w:val="auto"/>
        </w:rPr>
        <w:t>WHEREAS, in recognition of lndemnitee's need for substantial protection against personal liability in order to enhance Indemnitee's continued and effective service to the Company, and in order to induce Indemnitee to provide services to the Company as an officer, the Company wishes to provide in this Agreement for the indemnification of and the advancing of expenses to Indemnitee to the fullest extent (whether partial or complete) permitted by law and as set forth in this Agreement, and, to the extent insurance is maintained, for the coverage of Indemnitee under the Company's directors' and officers' liability insurance policies.</w:t>
      </w:r>
    </w:p>
    <w:p>
      <w:pPr>
        <w:spacing w:after="0" w:line="198" w:lineRule="exact"/>
        <w:rPr>
          <w:sz w:val="20"/>
          <w:szCs w:val="20"/>
          <w:color w:val="auto"/>
        </w:rPr>
      </w:pPr>
    </w:p>
    <w:p>
      <w:pPr>
        <w:jc w:val="both"/>
        <w:ind w:right="20" w:firstLine="75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above premises and of lndemnitee's continuing to serve the Company directly or, at its request, with another enterprise, and intending to be legally bound hereby, the parties agree as follows:</w:t>
      </w:r>
    </w:p>
    <w:p>
      <w:pPr>
        <w:spacing w:after="0" w:line="18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Definitions:</w:t>
      </w:r>
    </w:p>
    <w:p>
      <w:pPr>
        <w:spacing w:after="0" w:line="23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Directors of the Company.</w:t>
      </w:r>
    </w:p>
    <w:p>
      <w:pPr>
        <w:spacing w:after="0" w:line="238" w:lineRule="exact"/>
        <w:rPr>
          <w:rFonts w:ascii="Times New Roman" w:cs="Times New Roman" w:eastAsia="Times New Roman" w:hAnsi="Times New Roman"/>
          <w:sz w:val="18"/>
          <w:szCs w:val="18"/>
          <w:color w:val="auto"/>
        </w:rPr>
      </w:pPr>
    </w:p>
    <w:p>
      <w:pPr>
        <w:jc w:val="both"/>
        <w:ind w:left="1300" w:hanging="320"/>
        <w:spacing w:after="0" w:line="236" w:lineRule="auto"/>
        <w:tabs>
          <w:tab w:leader="none" w:pos="129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shareholders of the Company in substantially the same proportions as their ownership of stock of the Company, is or becomes the "Beneficial Owner" (as defined in Rule 13d-3 under said Act), directly or indirectly, of securities of the Company representing 20% or more of the total voting power represented by the Company's then outstanding Voting Securities, or (ii) during any period of two consecutive years, individuals who at the beginning of such period constitute the Board and any new director whose election by the Board or nomination for election by the Company's shareholders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conve1ied into Voting Securities of the surviving entity) at least 80% of the total voting power represented by the Voting Securities of the Company or such surviving entity outstanding immediately after such merger or consolidation, or the shareholders of the Company approve a plan of complete liquidation of the Company or an agreement for the sale or disposition by the Company (in one transaction or a series of transactions) of all or substantially all of the Company's assets.</w:t>
      </w:r>
    </w:p>
    <w:p>
      <w:pPr>
        <w:spacing w:after="0" w:line="213"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7"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any expense, liability, or loss, including attorneys' fees, judgments, fines, ERISA excise taxes and penalties, amounts paid or to be paid in settlement, any interest, assessments, or other charges imposed thereon, and any federal, state, local, or foreign taxes imposed as a result of the actual or deemed receipt of any payments under this Agreement, paid or incurred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4" w:name="page5"/>
    <w:bookmarkEnd w:id="4"/>
    <w:p>
      <w:pPr>
        <w:ind w:left="968"/>
        <w:spacing w:after="0" w:line="266" w:lineRule="auto"/>
        <w:rPr>
          <w:sz w:val="20"/>
          <w:szCs w:val="20"/>
          <w:color w:val="auto"/>
        </w:rPr>
      </w:pPr>
      <w:r>
        <w:rPr>
          <w:rFonts w:ascii="Times New Roman" w:cs="Times New Roman" w:eastAsia="Times New Roman" w:hAnsi="Times New Roman"/>
          <w:sz w:val="18"/>
          <w:szCs w:val="18"/>
          <w:color w:val="auto"/>
        </w:rPr>
        <w:t>with investigating, defending, being a witness in, or participating in (including on appeal), or preparing for any of the foregoing in, any Proceeding relating to any Indemnifiable Event.</w:t>
      </w:r>
    </w:p>
    <w:p>
      <w:pPr>
        <w:spacing w:after="0" w:line="189" w:lineRule="exact"/>
        <w:rPr>
          <w:sz w:val="20"/>
          <w:szCs w:val="20"/>
          <w:color w:val="auto"/>
        </w:rPr>
      </w:pPr>
    </w:p>
    <w:p>
      <w:pPr>
        <w:jc w:val="both"/>
        <w:ind w:left="968" w:hanging="320"/>
        <w:spacing w:after="0" w:line="237" w:lineRule="auto"/>
        <w:tabs>
          <w:tab w:leader="none" w:pos="96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Indemnifiable Event</w:t>
      </w:r>
      <w:r>
        <w:rPr>
          <w:rFonts w:ascii="Times New Roman" w:cs="Times New Roman" w:eastAsia="Times New Roman" w:hAnsi="Times New Roman"/>
          <w:sz w:val="18"/>
          <w:szCs w:val="18"/>
          <w:color w:val="auto"/>
        </w:rPr>
        <w:t>: any event or occurrence that takes place either prior to or after the execution of this Agreement, related to the fact that Indemnitee is or was a director or officer of the Company, or while a director or officer is or was serving at the request of the Company as a director, officer, employee, trustee, agent,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or related to anything done or not done by Indemnitee in any such capacity, whether or not the basis of the Proceeding is alleged action in an official capacity as a director, officer, employee, or agent or in any other capacity while serving as a director, officer, employee, or agent of the Company, as described above.</w:t>
      </w:r>
    </w:p>
    <w:p>
      <w:pPr>
        <w:spacing w:after="0" w:line="214"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Counsel</w:t>
      </w:r>
      <w:r>
        <w:rPr>
          <w:rFonts w:ascii="Times New Roman" w:cs="Times New Roman" w:eastAsia="Times New Roman" w:hAnsi="Times New Roman"/>
          <w:sz w:val="18"/>
          <w:szCs w:val="18"/>
          <w:color w:val="auto"/>
        </w:rPr>
        <w:t>: the person or body appointed in connection with Section 3.</w:t>
      </w:r>
    </w:p>
    <w:p>
      <w:pPr>
        <w:spacing w:after="0" w:line="238" w:lineRule="exact"/>
        <w:rPr>
          <w:rFonts w:ascii="Times New Roman" w:cs="Times New Roman" w:eastAsia="Times New Roman" w:hAnsi="Times New Roman"/>
          <w:sz w:val="18"/>
          <w:szCs w:val="18"/>
          <w:color w:val="auto"/>
        </w:rPr>
      </w:pPr>
    </w:p>
    <w:p>
      <w:pPr>
        <w:jc w:val="both"/>
        <w:ind w:left="968" w:hanging="320"/>
        <w:spacing w:after="0" w:line="250" w:lineRule="auto"/>
        <w:tabs>
          <w:tab w:leader="none" w:pos="959"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any threatened, pending, or completed action, suit, or proceeding (including an action by or in the right of the Company), or any inquiry, hearing, or investigation, whether conducted by the Company or any other party, that Indemnitee in good faith believes might lead to the institution of any such action, suit, or proceeding, whether civil, criminal, administrative, investigative, or other.</w:t>
      </w:r>
    </w:p>
    <w:p>
      <w:pPr>
        <w:spacing w:after="0" w:line="20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Reviewing Party</w:t>
      </w:r>
      <w:r>
        <w:rPr>
          <w:rFonts w:ascii="Times New Roman" w:cs="Times New Roman" w:eastAsia="Times New Roman" w:hAnsi="Times New Roman"/>
          <w:sz w:val="18"/>
          <w:szCs w:val="18"/>
          <w:color w:val="auto"/>
        </w:rPr>
        <w:t>: the person or body appointed in accordance with Section 3.</w:t>
      </w:r>
    </w:p>
    <w:p>
      <w:pPr>
        <w:spacing w:after="0" w:line="238"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any securities of the Company that vote generally in the election of directors.</w:t>
      </w:r>
    </w:p>
    <w:p>
      <w:pPr>
        <w:spacing w:after="0" w:line="23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Indemnify</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968" w:right="20" w:hanging="320"/>
        <w:spacing w:after="0" w:line="237" w:lineRule="auto"/>
        <w:tabs>
          <w:tab w:leader="none" w:pos="96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Agreement</w:t>
      </w:r>
      <w:r>
        <w:rPr>
          <w:rFonts w:ascii="Times New Roman" w:cs="Times New Roman" w:eastAsia="Times New Roman" w:hAnsi="Times New Roman"/>
          <w:sz w:val="18"/>
          <w:szCs w:val="18"/>
          <w:color w:val="auto"/>
        </w:rPr>
        <w:t>. General Agreement. In the event Indemnitee was, is, or becomes a party to or witness or other participant in, or is threatened to be made a party to or witness or other participant in, a Proceeding by reason of (or arising in part out of) an Indemnifiable Event, the Company shall indemnify Indemnitee from and against any and all Expenses to the fullest extent permitted by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 including, without limitation, any indemnification provided by the Company's Articles of Incorporation, its Bylaws, vote of its shareholders or disinterested directors, or applicable law.</w:t>
      </w:r>
    </w:p>
    <w:p>
      <w:pPr>
        <w:spacing w:after="0" w:line="214" w:lineRule="exact"/>
        <w:rPr>
          <w:rFonts w:ascii="Times New Roman" w:cs="Times New Roman" w:eastAsia="Times New Roman" w:hAnsi="Times New Roman"/>
          <w:sz w:val="18"/>
          <w:szCs w:val="18"/>
          <w:color w:val="auto"/>
        </w:rPr>
      </w:pPr>
    </w:p>
    <w:p>
      <w:pPr>
        <w:jc w:val="both"/>
        <w:ind w:left="968" w:hanging="320"/>
        <w:spacing w:after="0" w:line="241" w:lineRule="auto"/>
        <w:tabs>
          <w:tab w:leader="none" w:pos="962"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Initiation of Proceeding</w:t>
      </w:r>
      <w:r>
        <w:rPr>
          <w:rFonts w:ascii="Times New Roman" w:cs="Times New Roman" w:eastAsia="Times New Roman" w:hAnsi="Times New Roman"/>
          <w:sz w:val="18"/>
          <w:szCs w:val="18"/>
          <w:color w:val="auto"/>
        </w:rPr>
        <w:t>. Notwithstanding anything in this Agreement to the contrary, Indemnitee shall not be entitled to indemnification pursuant to this Agreement in connection with any Proceeding initiated by Indemnitee against the Company or any director of the Company unless (i) the Company has joined in or the Board has consented to the initiation of such Proceeding; (ii) the Proceeding is one to enforce indemnification rights under Section 5; or (iii) the Proceeding is instituted after a Change in Control (other than a Change in Control approved by a majority of the directors on the Board who were directors immediately prior to such Change in Control) and Independent Counsel has approved its initiation.</w:t>
      </w:r>
    </w:p>
    <w:p>
      <w:pPr>
        <w:spacing w:after="0" w:line="210" w:lineRule="exact"/>
        <w:rPr>
          <w:rFonts w:ascii="Times New Roman" w:cs="Times New Roman" w:eastAsia="Times New Roman" w:hAnsi="Times New Roman"/>
          <w:sz w:val="18"/>
          <w:szCs w:val="18"/>
          <w:color w:val="auto"/>
        </w:rPr>
      </w:pPr>
    </w:p>
    <w:p>
      <w:pPr>
        <w:jc w:val="both"/>
        <w:ind w:left="968" w:hanging="320"/>
        <w:spacing w:after="0" w:line="239" w:lineRule="auto"/>
        <w:tabs>
          <w:tab w:leader="none" w:pos="96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 Advances</w:t>
      </w:r>
      <w:r>
        <w:rPr>
          <w:rFonts w:ascii="Times New Roman" w:cs="Times New Roman" w:eastAsia="Times New Roman" w:hAnsi="Times New Roman"/>
          <w:sz w:val="18"/>
          <w:szCs w:val="18"/>
          <w:color w:val="auto"/>
        </w:rPr>
        <w:t>. If so requested by Indemnitee, the Company shall advance (within ten business days of such request) any and all Expenses to Indemnitee (an "Expense Advance"); provided that, if and to the extent that the Reviewing Party determines that Indemnitee would not be permitted to be so indemnified under applicable law, the Company shall be entitled to be reimbursed by Indemnitee (who hereby agrees to reimburse the Company) for all such amounts theretofore paid. If Indemnitee has commenced or commences legal proceedings in a court of competent jurisdiction to secure a determination that Indemnitee should be indemnified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8"/>
          </w:cols>
          <w:pgMar w:left="652" w:top="1404" w:right="339" w:bottom="1440" w:gutter="0" w:footer="0" w:header="0"/>
        </w:sectPr>
      </w:pPr>
    </w:p>
    <w:bookmarkStart w:id="5" w:name="page6"/>
    <w:bookmarkEnd w:id="5"/>
    <w:p>
      <w:pPr>
        <w:jc w:val="both"/>
        <w:ind w:left="968"/>
        <w:spacing w:after="0" w:line="242" w:lineRule="auto"/>
        <w:rPr>
          <w:sz w:val="20"/>
          <w:szCs w:val="20"/>
          <w:color w:val="auto"/>
        </w:rPr>
      </w:pPr>
      <w:r>
        <w:rPr>
          <w:rFonts w:ascii="Times New Roman" w:cs="Times New Roman" w:eastAsia="Times New Roman" w:hAnsi="Times New Roman"/>
          <w:sz w:val="18"/>
          <w:szCs w:val="18"/>
          <w:color w:val="auto"/>
        </w:rPr>
        <w:t>applicable law, as provided in Section 4,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spacing w:after="0" w:line="212" w:lineRule="exact"/>
        <w:rPr>
          <w:sz w:val="20"/>
          <w:szCs w:val="20"/>
          <w:color w:val="auto"/>
        </w:rPr>
      </w:pPr>
    </w:p>
    <w:p>
      <w:pPr>
        <w:jc w:val="both"/>
        <w:ind w:left="968" w:hanging="320"/>
        <w:spacing w:after="0" w:line="242" w:lineRule="auto"/>
        <w:tabs>
          <w:tab w:leader="none" w:pos="96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Indemnification</w:t>
      </w:r>
      <w:r>
        <w:rPr>
          <w:rFonts w:ascii="Times New Roman" w:cs="Times New Roman" w:eastAsia="Times New Roman" w:hAnsi="Times New Roman"/>
          <w:sz w:val="18"/>
          <w:szCs w:val="18"/>
          <w:color w:val="auto"/>
        </w:rPr>
        <w:t>. Notwithstanding any other provision of this Agreement, to the extent that Indemnitee has been successful on the merits in defense of any Proceeding relating in whole or in part to an Indemnifiable Event or in defense of any issue or matter therein, Indemnitee shall be indemnified against all Expenses incurred in connection therewith.</w:t>
      </w:r>
    </w:p>
    <w:p>
      <w:pPr>
        <w:spacing w:after="0" w:line="210" w:lineRule="exact"/>
        <w:rPr>
          <w:rFonts w:ascii="Times New Roman" w:cs="Times New Roman" w:eastAsia="Times New Roman" w:hAnsi="Times New Roman"/>
          <w:sz w:val="18"/>
          <w:szCs w:val="18"/>
          <w:color w:val="auto"/>
        </w:rPr>
      </w:pPr>
    </w:p>
    <w:p>
      <w:pPr>
        <w:jc w:val="both"/>
        <w:ind w:left="968" w:hanging="320"/>
        <w:spacing w:after="0" w:line="250" w:lineRule="auto"/>
        <w:tabs>
          <w:tab w:leader="none" w:pos="96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Indemnification</w:t>
      </w:r>
      <w:r>
        <w:rPr>
          <w:rFonts w:ascii="Times New Roman" w:cs="Times New Roman" w:eastAsia="Times New Roman" w:hAnsi="Times New Roman"/>
          <w:sz w:val="18"/>
          <w:szCs w:val="18"/>
          <w:color w:val="auto"/>
        </w:rPr>
        <w:t>. If indemnitee is entitled under any provision of this Agreement to indemnification by the Company for some or a portion of Expenses, but not, however, for the total amount thereof, the Company shall nevertheless indemnify Indemnitee for the po1iion thereof to which Indemnitee is entitled.</w:t>
      </w:r>
    </w:p>
    <w:p>
      <w:pPr>
        <w:spacing w:after="0" w:line="203" w:lineRule="exact"/>
        <w:rPr>
          <w:rFonts w:ascii="Times New Roman" w:cs="Times New Roman" w:eastAsia="Times New Roman" w:hAnsi="Times New Roman"/>
          <w:sz w:val="18"/>
          <w:szCs w:val="18"/>
          <w:color w:val="auto"/>
        </w:rPr>
      </w:pPr>
    </w:p>
    <w:p>
      <w:pPr>
        <w:jc w:val="both"/>
        <w:ind w:left="968" w:hanging="320"/>
        <w:spacing w:after="0" w:line="245" w:lineRule="auto"/>
        <w:tabs>
          <w:tab w:leader="none" w:pos="95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Prohibited Indemnification</w:t>
      </w:r>
      <w:r>
        <w:rPr>
          <w:rFonts w:ascii="Times New Roman" w:cs="Times New Roman" w:eastAsia="Times New Roman" w:hAnsi="Times New Roman"/>
          <w:sz w:val="18"/>
          <w:szCs w:val="18"/>
          <w:color w:val="auto"/>
        </w:rPr>
        <w:t>. No indemnification pursuant to this Agreement shall be paid by the Company on account of any Proceeding in which final unappealed judgment beyond the right of appeal is rendered against Indemnitee for an accounting of profits made from the purchase or sale by Indemnitee of securities of the Company pursuant to the provisions of Section 16(b) of the Securities Exchange Act of 1934, as amended, or similar provisions of any federal, state, or local laws.</w:t>
      </w:r>
    </w:p>
    <w:p>
      <w:pPr>
        <w:spacing w:after="0" w:line="207" w:lineRule="exact"/>
        <w:rPr>
          <w:rFonts w:ascii="Times New Roman" w:cs="Times New Roman" w:eastAsia="Times New Roman" w:hAnsi="Times New Roman"/>
          <w:sz w:val="18"/>
          <w:szCs w:val="18"/>
          <w:color w:val="auto"/>
        </w:rPr>
      </w:pPr>
    </w:p>
    <w:p>
      <w:pPr>
        <w:jc w:val="both"/>
        <w:ind w:left="328" w:hanging="328"/>
        <w:spacing w:after="0" w:line="23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Reviewing Party</w:t>
      </w:r>
      <w:r>
        <w:rPr>
          <w:rFonts w:ascii="Times New Roman" w:cs="Times New Roman" w:eastAsia="Times New Roman" w:hAnsi="Times New Roman"/>
          <w:sz w:val="18"/>
          <w:szCs w:val="18"/>
          <w:color w:val="auto"/>
        </w:rPr>
        <w:t>. Prior to any Change in Control, the Reviewing Party shall be any appropriate person or body consisting of a member or members of the Board or any other person or body appointed by the Board who is not a party to the particular Proceeding with respect to which Indemnitee is seeking indemnification; after a Change in Control, the Reviewing Party shall be the Independent Counsel referred to below. With respect to all matters arising after a Change in Control (other than a Change in Control approved by a majority of the directors on the Board who were directors immediately prior to such Change in Control) concerning the rights of lndemnitee to indemnity payments and Expense Advances under this Agreement or any other agreement or under applicable law or the Company's Articles of Incorporation or Bylaws now or hereafter in effect relating to indemnification for Indemnifiable Events,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 whether and to what extent the Indemnitee should be permitted to be indemnified under applicable law.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spacing w:after="0" w:line="21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Process and Appeal</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left="968" w:hanging="320"/>
        <w:spacing w:after="0"/>
        <w:tabs>
          <w:tab w:leader="none" w:pos="96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Payment</w:t>
      </w:r>
      <w:r>
        <w:rPr>
          <w:rFonts w:ascii="Times New Roman" w:cs="Times New Roman" w:eastAsia="Times New Roman" w:hAnsi="Times New Roman"/>
          <w:sz w:val="18"/>
          <w:szCs w:val="18"/>
          <w:color w:val="auto"/>
        </w:rPr>
        <w:t>. Indemnitee shall be entitled to indemnification of Expenses, and shall receive payment thereof, from the Company in accordance with this Agreement as soon as practicable after Indemnitee has made written demand on the Company for indemnification, unless the Reviewing Party has given a written opinion to the Company that Indemnitee is not entitled to indemnification under applicable law.</w:t>
      </w:r>
    </w:p>
    <w:p>
      <w:pPr>
        <w:spacing w:after="0" w:line="211" w:lineRule="exact"/>
        <w:rPr>
          <w:rFonts w:ascii="Times New Roman" w:cs="Times New Roman" w:eastAsia="Times New Roman" w:hAnsi="Times New Roman"/>
          <w:sz w:val="18"/>
          <w:szCs w:val="18"/>
          <w:color w:val="auto"/>
        </w:rPr>
      </w:pPr>
    </w:p>
    <w:p>
      <w:pPr>
        <w:jc w:val="both"/>
        <w:ind w:left="968" w:hanging="320"/>
        <w:spacing w:after="0" w:line="250" w:lineRule="auto"/>
        <w:tabs>
          <w:tab w:leader="none" w:pos="96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Suit to Enforce Rights</w:t>
      </w:r>
      <w:r>
        <w:rPr>
          <w:rFonts w:ascii="Times New Roman" w:cs="Times New Roman" w:eastAsia="Times New Roman" w:hAnsi="Times New Roman"/>
          <w:sz w:val="18"/>
          <w:szCs w:val="18"/>
          <w:color w:val="auto"/>
        </w:rPr>
        <w:t>. Regardless of any action by the Reviewing Party, if Indemnitee has not received full indemnification within thirty days after making a demand in accordance with Section 4(a), Indemnitee shall have the right to enforce its indemnification rights under this Agreement by commencing litigation in any court in the State of California having subject matter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8"/>
          </w:cols>
          <w:pgMar w:left="652" w:top="1404" w:right="339" w:bottom="1440" w:gutter="0" w:footer="0" w:header="0"/>
        </w:sectPr>
      </w:pPr>
    </w:p>
    <w:bookmarkStart w:id="6" w:name="page7"/>
    <w:bookmarkEnd w:id="6"/>
    <w:p>
      <w:pPr>
        <w:jc w:val="both"/>
        <w:ind w:left="968"/>
        <w:spacing w:after="0" w:line="245" w:lineRule="auto"/>
        <w:rPr>
          <w:sz w:val="20"/>
          <w:szCs w:val="20"/>
          <w:color w:val="auto"/>
        </w:rPr>
      </w:pPr>
      <w:r>
        <w:rPr>
          <w:rFonts w:ascii="Times New Roman" w:cs="Times New Roman" w:eastAsia="Times New Roman" w:hAnsi="Times New Roman"/>
          <w:sz w:val="18"/>
          <w:szCs w:val="18"/>
          <w:color w:val="auto"/>
        </w:rPr>
        <w:t>thereof and in which venue is proper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shall be binding on the Company and Indemnitee. The remedy provided for in this Section 4 shall be in addition to any other remedies available to Indemnitee in law or equity.</w:t>
      </w:r>
    </w:p>
    <w:p>
      <w:pPr>
        <w:spacing w:after="0" w:line="208" w:lineRule="exact"/>
        <w:rPr>
          <w:sz w:val="20"/>
          <w:szCs w:val="20"/>
          <w:color w:val="auto"/>
        </w:rPr>
      </w:pPr>
    </w:p>
    <w:p>
      <w:pPr>
        <w:jc w:val="both"/>
        <w:ind w:left="968" w:hanging="320"/>
        <w:spacing w:after="0" w:line="236" w:lineRule="auto"/>
        <w:tabs>
          <w:tab w:leader="none" w:pos="96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Defense to Indemnification, Burden of Proof, and Presumptions</w:t>
      </w:r>
      <w:r>
        <w:rPr>
          <w:rFonts w:ascii="Times New Roman" w:cs="Times New Roman" w:eastAsia="Times New Roman" w:hAnsi="Times New Roman"/>
          <w:sz w:val="18"/>
          <w:szCs w:val="18"/>
          <w:color w:val="auto"/>
        </w:rPr>
        <w:t>. 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 In connection with any such action or any determination by the Reviewing Party or otherwise as to whether Indemnitee is entitled to be indemnified hereunder, the burden of proving such a defense or determination shall be on the Company. Neither the failure of the Reviewing Party or the Company (including its Board, independent legal counsel, or its shareholders) to have made a determination prior to the commencement of such action by Indemnitee that indemnification of the claimant is proper under the circumstances because he has met the standard of conduct set forth in applicable law, nor an actual determination by the Reviewing Party or Company (including its Board, independent legal counsel, or its shareholders) that the Indemnitee had not met such applicable standard of conduct, shall be a defense to the action or create a presumption that the Indemnitee has not met the applicable standard of conduct. 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spacing w:after="0" w:line="215" w:lineRule="exact"/>
        <w:rPr>
          <w:rFonts w:ascii="Times New Roman" w:cs="Times New Roman" w:eastAsia="Times New Roman" w:hAnsi="Times New Roman"/>
          <w:sz w:val="18"/>
          <w:szCs w:val="18"/>
          <w:color w:val="auto"/>
        </w:rPr>
      </w:pPr>
    </w:p>
    <w:p>
      <w:pPr>
        <w:ind w:left="328" w:hanging="328"/>
        <w:spacing w:after="0" w:line="266" w:lineRule="auto"/>
        <w:tabs>
          <w:tab w:leader="none" w:pos="3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Incurred in Enforcing Rights</w:t>
      </w:r>
      <w:r>
        <w:rPr>
          <w:rFonts w:ascii="Times New Roman" w:cs="Times New Roman" w:eastAsia="Times New Roman" w:hAnsi="Times New Roman"/>
          <w:sz w:val="18"/>
          <w:szCs w:val="18"/>
          <w:color w:val="auto"/>
        </w:rPr>
        <w:t>. The Company shall indemnify Indemnitee against any and all Expenses that are incurred by Indemnitee in connection with any action brought by Indemnitee for:</w:t>
      </w:r>
    </w:p>
    <w:p>
      <w:pPr>
        <w:spacing w:after="0" w:line="175" w:lineRule="exact"/>
        <w:rPr>
          <w:rFonts w:ascii="Times New Roman" w:cs="Times New Roman" w:eastAsia="Times New Roman" w:hAnsi="Times New Roman"/>
          <w:sz w:val="18"/>
          <w:szCs w:val="18"/>
          <w:color w:val="auto"/>
        </w:rPr>
      </w:pPr>
    </w:p>
    <w:p>
      <w:pPr>
        <w:ind w:left="968" w:hanging="320"/>
        <w:spacing w:after="0" w:line="266" w:lineRule="auto"/>
        <w:tabs>
          <w:tab w:leader="none" w:pos="96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of Expenses by the Company under this Agreement or any other agreement or under applicable law or the Company's Articles of Incorporation or Bylaws now or hereafter in effect relating to indemnification for Indemnifiable Events, and/or</w:t>
      </w:r>
    </w:p>
    <w:p>
      <w:pPr>
        <w:spacing w:after="0" w:line="189" w:lineRule="exact"/>
        <w:rPr>
          <w:sz w:val="20"/>
          <w:szCs w:val="20"/>
          <w:color w:val="auto"/>
        </w:rPr>
      </w:pPr>
    </w:p>
    <w:p>
      <w:pPr>
        <w:jc w:val="both"/>
        <w:ind w:left="968" w:hanging="320"/>
        <w:spacing w:after="0" w:line="250" w:lineRule="auto"/>
        <w:tabs>
          <w:tab w:leader="none" w:pos="102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under directors' and officers' liability insurance policies maintained by the Company, but only in the event that Indemnitee ultimately is determined to be entitled to such indemnification or insurance recovery, as the case may be. In addition, the Company shall, if so requested by Indemnitee, advance the foregoing Expenses to Indemnitee, subject to and in accordance with Section 2(c).</w:t>
      </w:r>
    </w:p>
    <w:p>
      <w:pPr>
        <w:spacing w:after="0" w:line="20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and Defense of Proceeding</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jc w:val="both"/>
        <w:ind w:left="968" w:hanging="320"/>
        <w:spacing w:after="0" w:line="250" w:lineRule="auto"/>
        <w:tabs>
          <w:tab w:leader="none" w:pos="96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 except as provided in Section 6(c).</w:t>
      </w:r>
    </w:p>
    <w:p>
      <w:pPr>
        <w:spacing w:after="0" w:line="203" w:lineRule="exact"/>
        <w:rPr>
          <w:rFonts w:ascii="Times New Roman" w:cs="Times New Roman" w:eastAsia="Times New Roman" w:hAnsi="Times New Roman"/>
          <w:sz w:val="18"/>
          <w:szCs w:val="18"/>
          <w:color w:val="auto"/>
        </w:rPr>
      </w:pPr>
    </w:p>
    <w:p>
      <w:pPr>
        <w:jc w:val="both"/>
        <w:ind w:left="968" w:hanging="320"/>
        <w:spacing w:after="0" w:line="238" w:lineRule="auto"/>
        <w:tabs>
          <w:tab w:leader="none" w:pos="96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Defense</w:t>
      </w:r>
      <w:r>
        <w:rPr>
          <w:rFonts w:ascii="Times New Roman" w:cs="Times New Roman" w:eastAsia="Times New Roman" w:hAnsi="Times New Roman"/>
          <w:sz w:val="18"/>
          <w:szCs w:val="18"/>
          <w:color w:val="auto"/>
        </w:rPr>
        <w:t>.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After notice from the Company to Indemnitee of its election to assume the defense of any Proceeding, the Company will not be liable to Indemnitee under this Agreement or otherwise for any Expenses subsequently incurred by Indemnitee in connection with the defense of such Proceeding other than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8"/>
          </w:cols>
          <w:pgMar w:left="652" w:top="1404" w:right="339" w:bottom="1440" w:gutter="0" w:footer="0" w:header="0"/>
        </w:sectPr>
      </w:pPr>
    </w:p>
    <w:bookmarkStart w:id="7" w:name="page8"/>
    <w:bookmarkEnd w:id="7"/>
    <w:p>
      <w:pPr>
        <w:jc w:val="both"/>
        <w:ind w:left="968"/>
        <w:spacing w:after="0" w:line="237" w:lineRule="auto"/>
        <w:rPr>
          <w:sz w:val="20"/>
          <w:szCs w:val="20"/>
          <w:color w:val="auto"/>
        </w:rPr>
      </w:pPr>
      <w:r>
        <w:rPr>
          <w:rFonts w:ascii="Times New Roman" w:cs="Times New Roman" w:eastAsia="Times New Roman" w:hAnsi="Times New Roman"/>
          <w:sz w:val="18"/>
          <w:szCs w:val="18"/>
          <w:color w:val="auto"/>
        </w:rPr>
        <w:t>costs of investigation or as otherwise provided below.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after a Change in Control (other than a Change in Control approved by a majority of the directors on the Board who were directors immediately prior to such Change in Control), (iii) the employment of counsel by Indemnitee has been approved by the Independent Counsel, or (iv) the Company shall not in fact have employed counsel to assume the defense of such Proceeding, in each of which case all Expenses of the Proceeding shall be borne by the Company. The Company shall not be entitled to assume the defense of any Proceeding brought by or on behalf of the Company or as to which Indemnitee shall have made the determination provided for in (ii) above.</w:t>
      </w:r>
    </w:p>
    <w:p>
      <w:pPr>
        <w:spacing w:after="0" w:line="212" w:lineRule="exact"/>
        <w:rPr>
          <w:sz w:val="20"/>
          <w:szCs w:val="20"/>
          <w:color w:val="auto"/>
        </w:rPr>
      </w:pPr>
    </w:p>
    <w:p>
      <w:pPr>
        <w:jc w:val="both"/>
        <w:ind w:left="968" w:hanging="320"/>
        <w:spacing w:after="0" w:line="238" w:lineRule="auto"/>
        <w:tabs>
          <w:tab w:leader="none" w:pos="96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Claims</w:t>
      </w:r>
      <w:r>
        <w:rPr>
          <w:rFonts w:ascii="Times New Roman" w:cs="Times New Roman" w:eastAsia="Times New Roman" w:hAnsi="Times New Roman"/>
          <w:sz w:val="18"/>
          <w:szCs w:val="18"/>
          <w:color w:val="auto"/>
        </w:rPr>
        <w:t>. The Company shall not be liable to indemnify Indemnitee under this Agreement or otherwise for any amounts paid in settlement of any Proceeding effected without the Company's written consent, provided, however, that if a Change in Control has occurred (other than a Change in Control approved by a majority of the directors on the Board who were directors immediately prior to such Change in Control), the Company shall be liable for indemnification of Indemnitee for amounts paid in settlement if the Independent Counsel has approved the settlement. The Company shall not settle any Proceeding in any manner that would impose any penalty or limitation on Indemnitee without Indemnitee's written consent.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spacing w:after="0" w:line="215" w:lineRule="exact"/>
        <w:rPr>
          <w:rFonts w:ascii="Times New Roman" w:cs="Times New Roman" w:eastAsia="Times New Roman" w:hAnsi="Times New Roman"/>
          <w:sz w:val="18"/>
          <w:szCs w:val="18"/>
          <w:color w:val="auto"/>
        </w:rPr>
      </w:pPr>
    </w:p>
    <w:p>
      <w:pPr>
        <w:jc w:val="both"/>
        <w:ind w:left="328" w:hanging="328"/>
        <w:spacing w:after="0" w:line="235"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Trust</w:t>
      </w:r>
      <w:r>
        <w:rPr>
          <w:rFonts w:ascii="Times New Roman" w:cs="Times New Roman" w:eastAsia="Times New Roman" w:hAnsi="Times New Roman"/>
          <w:sz w:val="18"/>
          <w:szCs w:val="18"/>
          <w:color w:val="auto"/>
        </w:rPr>
        <w:t>. In the event of a Change in Control (other than a Change in Control approved by a majority of the directors on the Board who were directors immediately prior to such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relating to an Indemnifiable Event. The amount or amounts to be deposited in the Trust pursuant to the foregoing funding obligation shall be determined by the Reviewing Party. The terms of the Trust shall provide that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Section 2(c)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Section 7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spacing w:after="0" w:line="213"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 The rights of Indemnitee hereunder shall be in addition to any other rights Indemnitee may have under the Company's Articles of Incorporation, Bylaws, applicable law, or otherwise. To the extent that a change in applicable law (whether by statute or judicial decision) permits greater indemnification by agreement than would be afforded currently under the Company's Articles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8"/>
          </w:cols>
          <w:pgMar w:left="652" w:top="1404" w:right="339" w:bottom="1440" w:gutter="0" w:footer="0" w:header="0"/>
        </w:sectPr>
      </w:pPr>
    </w:p>
    <w:bookmarkStart w:id="8" w:name="page9"/>
    <w:bookmarkEnd w:id="8"/>
    <w:p>
      <w:pPr>
        <w:ind w:left="328"/>
        <w:spacing w:after="0" w:line="266" w:lineRule="auto"/>
        <w:rPr>
          <w:sz w:val="20"/>
          <w:szCs w:val="20"/>
          <w:color w:val="auto"/>
        </w:rPr>
      </w:pPr>
      <w:r>
        <w:rPr>
          <w:rFonts w:ascii="Times New Roman" w:cs="Times New Roman" w:eastAsia="Times New Roman" w:hAnsi="Times New Roman"/>
          <w:sz w:val="18"/>
          <w:szCs w:val="18"/>
          <w:color w:val="auto"/>
        </w:rPr>
        <w:t>Incorporation, Bylaws, applicable law, or this Agreement, it is the intent of the parties that Indemnitee enjoy by this Agreement the greater benefits so afforded by such change.</w:t>
      </w:r>
    </w:p>
    <w:p>
      <w:pPr>
        <w:spacing w:after="0" w:line="189" w:lineRule="exact"/>
        <w:rPr>
          <w:sz w:val="20"/>
          <w:szCs w:val="20"/>
          <w:color w:val="auto"/>
        </w:rPr>
      </w:pPr>
    </w:p>
    <w:p>
      <w:pPr>
        <w:jc w:val="both"/>
        <w:ind w:left="328" w:hanging="328"/>
        <w:spacing w:after="0" w:line="250" w:lineRule="auto"/>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Insurance</w:t>
      </w:r>
      <w:r>
        <w:rPr>
          <w:rFonts w:ascii="Times New Roman" w:cs="Times New Roman" w:eastAsia="Times New Roman" w:hAnsi="Times New Roman"/>
          <w:sz w:val="18"/>
          <w:szCs w:val="18"/>
          <w:color w:val="auto"/>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203" w:lineRule="exact"/>
        <w:rPr>
          <w:rFonts w:ascii="Times New Roman" w:cs="Times New Roman" w:eastAsia="Times New Roman" w:hAnsi="Times New Roman"/>
          <w:sz w:val="18"/>
          <w:szCs w:val="18"/>
          <w:color w:val="auto"/>
        </w:rPr>
      </w:pPr>
    </w:p>
    <w:p>
      <w:pPr>
        <w:jc w:val="both"/>
        <w:ind w:left="328" w:hanging="328"/>
        <w:spacing w:after="0" w:line="238"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by state law under the circumstances. Any claim or cause of action of the Company or its affiliate shall be extinguished and deemed released unless asserted by the timely filing of a legal action within such period; provided, however, that if any shorter period of limitations is otherwise applicable to any such cause of action the shorter period shall govern.</w:t>
      </w:r>
    </w:p>
    <w:p>
      <w:pPr>
        <w:spacing w:after="0" w:line="212" w:lineRule="exact"/>
        <w:rPr>
          <w:rFonts w:ascii="Times New Roman" w:cs="Times New Roman" w:eastAsia="Times New Roman" w:hAnsi="Times New Roman"/>
          <w:sz w:val="18"/>
          <w:szCs w:val="18"/>
          <w:color w:val="auto"/>
        </w:rPr>
      </w:pPr>
    </w:p>
    <w:p>
      <w:pPr>
        <w:jc w:val="both"/>
        <w:ind w:left="328" w:hanging="328"/>
        <w:spacing w:after="0" w:line="242" w:lineRule="auto"/>
        <w:tabs>
          <w:tab w:leader="none" w:pos="31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this Agreement</w:t>
      </w:r>
      <w:r>
        <w:rPr>
          <w:rFonts w:ascii="Times New Roman" w:cs="Times New Roman" w:eastAsia="Times New Roman" w:hAnsi="Times New Roman"/>
          <w:sz w:val="18"/>
          <w:szCs w:val="18"/>
          <w:color w:val="auto"/>
        </w:rPr>
        <w:t>. No supplement, modification, or amendment of this Agreement shall be binding unless executed in writing by both of the parties hereto. No waiver of any of the provisions of this Agreement shall be binding unless in the form of a writing signed by the pa1iy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21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203" w:lineRule="exact"/>
        <w:rPr>
          <w:rFonts w:ascii="Times New Roman" w:cs="Times New Roman" w:eastAsia="Times New Roman" w:hAnsi="Times New Roman"/>
          <w:sz w:val="18"/>
          <w:szCs w:val="18"/>
          <w:color w:val="auto"/>
        </w:rPr>
      </w:pPr>
    </w:p>
    <w:p>
      <w:pPr>
        <w:jc w:val="both"/>
        <w:ind w:left="328" w:hanging="328"/>
        <w:spacing w:after="0" w:line="242"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Duplication of Payments</w:t>
      </w:r>
      <w:r>
        <w:rPr>
          <w:rFonts w:ascii="Times New Roman" w:cs="Times New Roman" w:eastAsia="Times New Roman" w:hAnsi="Times New Roman"/>
          <w:sz w:val="18"/>
          <w:szCs w:val="18"/>
          <w:color w:val="auto"/>
        </w:rPr>
        <w:t>. The Company shall not be liable under this Agreement to make any payment in connection with any claim made against Indemnitee to the extent Indemnitee has otherwise received payment (under any insurance policy, Bylaw, or otherwise) of the amounts otherwise Indemnifiable hereunder.</w:t>
      </w:r>
    </w:p>
    <w:p>
      <w:pPr>
        <w:spacing w:after="0" w:line="210" w:lineRule="exact"/>
        <w:rPr>
          <w:rFonts w:ascii="Times New Roman" w:cs="Times New Roman" w:eastAsia="Times New Roman" w:hAnsi="Times New Roman"/>
          <w:sz w:val="18"/>
          <w:szCs w:val="18"/>
          <w:color w:val="auto"/>
        </w:rPr>
      </w:pPr>
    </w:p>
    <w:p>
      <w:pPr>
        <w:jc w:val="both"/>
        <w:ind w:left="328" w:hanging="328"/>
        <w:spacing w:after="0" w:line="239"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The indemnification provided under this Agreement shall continue as to Indemnitee for any action taken or not taken while serving in an indemnified capacity pertaining to an Indemnifiable Event even though he may have ceased to serve in such capacity at the time of any Proceeding.</w:t>
      </w:r>
    </w:p>
    <w:p>
      <w:pPr>
        <w:spacing w:after="0" w:line="214" w:lineRule="exact"/>
        <w:rPr>
          <w:rFonts w:ascii="Times New Roman" w:cs="Times New Roman" w:eastAsia="Times New Roman" w:hAnsi="Times New Roman"/>
          <w:sz w:val="18"/>
          <w:szCs w:val="18"/>
          <w:color w:val="auto"/>
        </w:rPr>
      </w:pPr>
    </w:p>
    <w:p>
      <w:pPr>
        <w:jc w:val="both"/>
        <w:ind w:left="328" w:hanging="328"/>
        <w:spacing w:after="0" w:line="239"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spacing w:after="0" w:line="211" w:lineRule="exact"/>
        <w:rPr>
          <w:rFonts w:ascii="Times New Roman" w:cs="Times New Roman" w:eastAsia="Times New Roman" w:hAnsi="Times New Roman"/>
          <w:sz w:val="18"/>
          <w:szCs w:val="18"/>
          <w:color w:val="auto"/>
        </w:rPr>
      </w:pPr>
    </w:p>
    <w:p>
      <w:pPr>
        <w:ind w:left="328" w:hanging="328"/>
        <w:spacing w:after="0" w:line="266"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and enforced in accordance with the laws of the State of California applicable to contracts made and to be performed in such State without giving effect to the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8"/>
          </w:cols>
          <w:pgMar w:left="652" w:top="1404" w:right="339" w:bottom="1440" w:gutter="0" w:footer="0" w:header="0"/>
        </w:sectPr>
      </w:pPr>
    </w:p>
    <w:bookmarkStart w:id="9" w:name="page10"/>
    <w:bookmarkEnd w:id="9"/>
    <w:p>
      <w:pPr>
        <w:spacing w:after="0" w:line="207" w:lineRule="exact"/>
        <w:rPr>
          <w:sz w:val="20"/>
          <w:szCs w:val="20"/>
          <w:color w:val="auto"/>
        </w:rPr>
      </w:pPr>
    </w:p>
    <w:p>
      <w:pPr>
        <w:jc w:val="both"/>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spacing w:after="0" w:line="20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Vistagen Therapeutics, Inc. 343 Allerton Avenue</w:t>
      </w:r>
    </w:p>
    <w:p>
      <w:pPr>
        <w:spacing w:after="0" w:line="1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South San Francisco, CA 94080</w:t>
      </w:r>
    </w:p>
    <w:p>
      <w:pPr>
        <w:ind w:left="2060"/>
        <w:spacing w:after="0"/>
        <w:rPr>
          <w:sz w:val="20"/>
          <w:szCs w:val="20"/>
          <w:color w:val="auto"/>
        </w:rPr>
      </w:pPr>
      <w:r>
        <w:rPr>
          <w:rFonts w:ascii="Times New Roman" w:cs="Times New Roman" w:eastAsia="Times New Roman" w:hAnsi="Times New Roman"/>
          <w:sz w:val="18"/>
          <w:szCs w:val="18"/>
          <w:color w:val="auto"/>
        </w:rPr>
        <w:t>Attention: President and Chief Executive Officer</w:t>
      </w:r>
    </w:p>
    <w:p>
      <w:pPr>
        <w:spacing w:after="0" w:line="219"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and to Indemnitee at:</w:t>
      </w:r>
    </w:p>
    <w:p>
      <w:pPr>
        <w:spacing w:after="0" w:line="22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Elissa Cote</w:t>
      </w:r>
    </w:p>
    <w:p>
      <w:pPr>
        <w:spacing w:after="0" w:line="1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_______________</w:t>
      </w:r>
    </w:p>
    <w:p>
      <w:pPr>
        <w:ind w:left="20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9" w:lineRule="exact"/>
        <w:rPr>
          <w:sz w:val="20"/>
          <w:szCs w:val="20"/>
          <w:color w:val="auto"/>
        </w:rPr>
      </w:pPr>
    </w:p>
    <w:p>
      <w:pPr>
        <w:ind w:firstLine="756"/>
        <w:spacing w:after="0" w:line="266" w:lineRule="auto"/>
        <w:rPr>
          <w:sz w:val="20"/>
          <w:szCs w:val="20"/>
          <w:color w:val="auto"/>
        </w:rPr>
      </w:pPr>
      <w:r>
        <w:rPr>
          <w:rFonts w:ascii="Times New Roman" w:cs="Times New Roman" w:eastAsia="Times New Roman" w:hAnsi="Times New Roman"/>
          <w:sz w:val="18"/>
          <w:szCs w:val="18"/>
          <w:color w:val="auto"/>
        </w:rPr>
        <w:t>Notice of change of address shall be effective only when done in accordance with this Section. All notices complying with this Section shall be deemed to have been received on the date of delivery or on the third business day after mailing.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parties hereto have duly executed and delivered this Agreement as of the day specified above.</w:t>
      </w:r>
    </w:p>
    <w:p>
      <w:pPr>
        <w:sectPr>
          <w:pgSz w:w="11900" w:h="16838" w:orient="portrait"/>
          <w:cols w:equalWidth="0" w:num="1">
            <w:col w:w="9379"/>
          </w:cols>
          <w:pgMar w:left="1080" w:top="1440"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Shawn K. Singh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Shawn K. Singh</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Title: </w:t>
      </w:r>
      <w:r>
        <w:rPr>
          <w:rFonts w:ascii="Times New Roman" w:cs="Times New Roman" w:eastAsia="Times New Roman" w:hAnsi="Times New Roman"/>
          <w:sz w:val="17"/>
          <w:szCs w:val="17"/>
          <w:u w:val="single" w:color="auto"/>
          <w:color w:val="auto"/>
        </w:rPr>
        <w:t>President and Chief Executive Officer</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June 24,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INDEMNITEE</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Elissa Cote</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Elissa Cote</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u w:val="single" w:color="auto"/>
          <w:color w:val="auto"/>
        </w:rPr>
        <w:t>Chief Corporate Development Officer</w:t>
      </w:r>
    </w:p>
    <w:p>
      <w:pPr>
        <w:spacing w:after="0" w:line="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June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2">
            <w:col w:w="4040" w:space="720"/>
            <w:col w:w="4619"/>
          </w:cols>
          <w:pgMar w:left="1080" w:top="1440" w:right="1440" w:bottom="1440" w:gutter="0" w:footer="0" w:header="0"/>
          <w:type w:val="continuous"/>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17015"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01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Appoints Elissa Cote as Chief Corporate Development Officer</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Accomplished biopharma executive brings nearly 30 years of experience in business development, enterprise strategy, and global partnerships to her role</w:t>
      </w:r>
    </w:p>
    <w:p>
      <w:pPr>
        <w:spacing w:after="0" w:line="23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i w:val="1"/>
          <w:iCs w:val="1"/>
          <w:color w:val="auto"/>
        </w:rPr>
        <w:t>Ms. Cote to help drive the strategic positioning of Vistagen’s clinical-stage pipeline, which includes five novel intranasal pherine candidates targeting six highly prevalent and underserved disorders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 xml:space="preserve">SOUTH SAN FRANCISCO, Calif.--(BUSINESS WIRE)—June 25, 2025, </w:t>
      </w:r>
      <w:r>
        <w:rPr>
          <w:rFonts w:ascii="Times New Roman" w:cs="Times New Roman" w:eastAsia="Times New Roman" w:hAnsi="Times New Roman"/>
          <w:sz w:val="17"/>
          <w:szCs w:val="17"/>
          <w:color w:val="0000FF"/>
        </w:rPr>
        <w:t>Vistagen</w:t>
      </w:r>
      <w:r>
        <w:rPr>
          <w:rFonts w:ascii="Times New Roman" w:cs="Times New Roman" w:eastAsia="Times New Roman" w:hAnsi="Times New Roman"/>
          <w:sz w:val="17"/>
          <w:szCs w:val="17"/>
          <w:color w:val="auto"/>
        </w:rPr>
        <w:t xml:space="preserve"> (Nasdaq: VTGN), a late clinical-stage biopharmaceutical company pioneering neuroscience with nose-to-brain neurocircuitry to develop and commercialize a new class of intranasal product candidates called pherines, today announced the appointment of Elissa Cote as Chief Corporate Development Officer. In this role, Ms. Cote will lead the evaluation of strategic opportunities to advance Vistagen’s pherine platform toward potential commercial launches and cultivate prospective strategic partnerships for the Company.</w:t>
      </w:r>
    </w:p>
    <w:p>
      <w:pPr>
        <w:spacing w:after="0" w:line="19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“Elissa is a highly respected executive with a strong track record of driving growth, building partnerships, and developing commercial strategies for biotech and pharmaceutical companies,” said Shawn Singh, President and Chief Executive Officer. “We’re excited to welcome Elissa at such a pivotal moment for our business. Her deep strategic and transactional expertise strengthen our team, and she will play a key leadership role as we continue to advance our programs.”</w:t>
      </w:r>
    </w:p>
    <w:p>
      <w:pPr>
        <w:spacing w:after="0" w:line="208"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8"/>
          <w:szCs w:val="18"/>
          <w:color w:val="auto"/>
        </w:rPr>
        <w:t>Ms. Cote brings seasoned leadership and broad experience across small to large-cap public biopharmaceutical companies, with a strong track record in strategic, transactional, and operational roles. Her therapeutic expertise spans neuropsychiatry, central nervous system disorders, immunology, infectious diseases, and more. Since 2022 and prior to joining Vistagen, Ms. Cote served as fractional Chief Business Officer and strategic advisor to several biopharmaceutical clients. Prior to 2022, Ms. Cote served in multiple senior-level roles at Mallinckrodt Pharmaceuticals, including Chief Strategy and Business Development Officer, where she led business development, licensing transactions, and strategic divestitures aligned with the global enterprise strategy. Ms. Cote has also held leadership positions and roles of increasing responsibility at Sucampo Pharmaceuticals and MedImmune Inc., the global biologics division of AstraZeneca PLC. Earlier in her career, Ms. Cote was a management consultant with Accenture plc. Ms. Cote holds a Bachelor of Arts from Union College and a Corporate M&amp;A certification from Columbia Business School.</w:t>
      </w:r>
    </w:p>
    <w:p>
      <w:pPr>
        <w:spacing w:after="0" w:line="20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 am thrilled to join Vistagen as the company advances with clarity and purpose into its next phase of strategic growth,” said Ms. Cote. “It is a privilege to contribute to the advancement of this differentiated portfolio and support the delivery of innovative therapies to patients in need.”</w:t>
      </w:r>
    </w:p>
    <w:p>
      <w:pPr>
        <w:spacing w:after="0" w:line="18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Vistagen also announced today that the Compensation Committee of its Board of Directors granted Ms. Cote an incentive option to purchase up to an aggregate of 150,000 shares of Vistagen’s common stock in connection with her appointment as Chief Corporate Development Officer as an inducement material to Ms. Cote entering into employment with Vistagen in accordance with Nasdaq Listing Rule 5635(c)(4).</w:t>
      </w:r>
    </w:p>
    <w:p>
      <w:pPr>
        <w:spacing w:after="0" w:line="2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option will have an exercise price equal to the closing price of Vistagen’s common stock on June 23, 2025, and will vest as to 25% of the shares on the one-year anniversary of its grant, with the remainder of the shares vesting ratably, on a monthly basis, over 36 months thereafter.</w:t>
      </w:r>
    </w:p>
    <w:p>
      <w:pPr>
        <w:sectPr>
          <w:pgSz w:w="11900" w:h="16838" w:orient="portrait"/>
          <w:cols w:equalWidth="0" w:num="1">
            <w:col w:w="11240"/>
          </w:cols>
          <w:pgMar w:left="320" w:top="14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About Pherines</w:t>
      </w:r>
    </w:p>
    <w:p>
      <w:pPr>
        <w:spacing w:after="0" w:line="20"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Vistagen’s neuroscience pipeline currently consists of five investigational pherine product candidates, each with a novel mechanism of action (MOA) and positive clinical data in their targeted indications. Pherines are agonists on peripheral receptors on human nasal chemosensory neurons and are designed to rapidly activate nose-to-brain neurocircuits believed to regulate brain areas without requiring systemic absorption or uptake into the brain to achieve desired therapeutic benefits and differentiated safety.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20"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Headquartered in South San Francisco, CA, Vistagen (Nasdaq: VTGN) is a late clinical-stage biopharmaceutical company leveraging a deep understanding of nose-to-brain neurocircuitry to develop and commercialize a new class of intranasal product candidates called pherines. Pherines specifically and selectively bind as agonists on peripheral receptors on human nasal chemosensory neurons and are designed to rapidly activate olfactory bulb-to-brain neurocircuits believed to regulate brain areas involved in behavior and autonomic nervous system activity. They are designed to achieve therapeutic benefits without requiring absorption into the blood or uptake into the brain, giving them the potential to be a safer alternative to other pharmacological options if successfully developed and approved. Vistagen’s neuroscience pipeline also includes an oral prodrug with potential to treat certain neurological conditions involving the NMDA receptor.</w:t>
      </w:r>
    </w:p>
    <w:p>
      <w:pPr>
        <w:spacing w:after="0" w:line="21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Vistagen is passionate about developing transformative treatment options to improve the lives of individuals underserved by the current standard of care for multiple highly prevalent indications, including social anxiety disorder, major depressive disorder, and multiple women’s health conditions, including vasomotor symptoms (hot flashes) associated with menopause. Connect at www.Vistagen.com.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There can be no guarantee that any of Vistagen’s product candidates will successfully complete ongoing or future clinical trials within estimated timelines or at all, receive regulatory approval or be commercially successful, or that Vistagen will be able to successfully replicate the results of past studies of any of its product candidates. Other factors that may cause such a difference include, without limitation, risks and uncertainties relating to conducting and/or completing ongoing clinical trials; Vistagen’s prospects, if any, for strategic partnerships for any of its product candidates; submission of a new drug application (NDA) to the U.S. FDA for any of Vistagen's product candidate, including fasedienol; the ability of any clinical trial information submitted by Vistagen to the U.S. FDA to support a NDA; Vistagen's dependence on third-party collaborators for the development, regulatory approval, and/or commercialization of its product candidates and other aspects of its business, which are outside of Vistagen's full control; the scope and enforceability of Vistagen’s patents, including patents related to Vistagen’s pherine product candidates; market conditions; the impact of general economic, industry or political conditions in the United States or internationally; and other technical and unexpected hurdles in the development, manufacture and commercialization of Vistagen’s product candidates. These risks are more fully discussed in the section entitled “Risk Factors” in Vistagen’s Annual Report on Form 10-K for the fiscal year ended March 31, 2025, as well as discussions of potential risks, uncertainties, and other important factors in our other filings with the U.S. Securities and Exchange Commission (SEC). Vistagen’s SEC filings are available on the SEC’s website at </w:t>
      </w:r>
      <w:r>
        <w:rPr>
          <w:rFonts w:ascii="Times New Roman" w:cs="Times New Roman" w:eastAsia="Times New Roman" w:hAnsi="Times New Roman"/>
          <w:sz w:val="18"/>
          <w:szCs w:val="18"/>
          <w:i w:val="1"/>
          <w:iCs w:val="1"/>
          <w:color w:val="0000FF"/>
        </w:rPr>
        <w:t>www.sec.gov</w:t>
      </w:r>
      <w:r>
        <w:rPr>
          <w:rFonts w:ascii="Times New Roman" w:cs="Times New Roman" w:eastAsia="Times New Roman" w:hAnsi="Times New Roman"/>
          <w:sz w:val="18"/>
          <w:szCs w:val="18"/>
          <w:i w:val="1"/>
          <w:iCs w:val="1"/>
          <w:color w:val="auto"/>
        </w:rPr>
        <w:t>.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sectPr>
          <w:pgSz w:w="11900" w:h="16838" w:orient="portrait"/>
          <w:cols w:equalWidth="0" w:num="1">
            <w:col w:w="11220"/>
          </w:cols>
          <w:pgMar w:left="320" w:top="1400"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 xml:space="preserve">Investor Inquiries: </w:t>
      </w:r>
      <w:r>
        <w:rPr>
          <w:rFonts w:ascii="Times New Roman" w:cs="Times New Roman" w:eastAsia="Times New Roman" w:hAnsi="Times New Roman"/>
          <w:sz w:val="18"/>
          <w:szCs w:val="18"/>
          <w:color w:val="auto"/>
        </w:rPr>
        <w:t>Mark A. McPartland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markmcp@vistagen.com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Inquiries: </w:t>
      </w:r>
      <w:r>
        <w:rPr>
          <w:rFonts w:ascii="Times New Roman" w:cs="Times New Roman" w:eastAsia="Times New Roman" w:hAnsi="Times New Roman"/>
          <w:sz w:val="18"/>
          <w:szCs w:val="18"/>
          <w:color w:val="auto"/>
        </w:rPr>
        <w:t>Michelle P. Wellington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mwellington@vistagen.com</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Business Development Inquiries: </w:t>
      </w:r>
      <w:r>
        <w:rPr>
          <w:rFonts w:ascii="Times New Roman" w:cs="Times New Roman" w:eastAsia="Times New Roman" w:hAnsi="Times New Roman"/>
          <w:sz w:val="18"/>
          <w:szCs w:val="18"/>
          <w:color w:val="0000FF"/>
        </w:rPr>
        <w:t>BD@vistagen.com</w:t>
      </w:r>
    </w:p>
    <w:sectPr>
      <w:pgSz w:w="11900" w:h="16838" w:orient="portrait"/>
      <w:cols w:equalWidth="0" w:num="1">
        <w:col w:w="10139"/>
      </w:cols>
      <w:pgMar w:left="320" w:top="14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1"/>
    </w:lvl>
    <w:lvl w:ilvl="1">
      <w:lvlJc w:val="left"/>
      <w:lvlText w:val="(%2)"/>
      <w:numFmt w:val="lowerLetter"/>
      <w:start w:val="1"/>
    </w:lvl>
  </w:abstractNum>
  <w:abstractNum w:abstractNumId="1">
    <w:nsid w:val="79E2A9E3"/>
    <w:multiLevelType w:val="hybridMultilevel"/>
    <w:lvl w:ilvl="0">
      <w:lvlJc w:val="left"/>
      <w:lvlText w:val="%1"/>
      <w:numFmt w:val="decimal"/>
      <w:start w:val="1"/>
    </w:lvl>
    <w:lvl w:ilvl="1">
      <w:lvlJc w:val="left"/>
      <w:lvlText w:val="(%2)"/>
      <w:numFmt w:val="lowerLetter"/>
      <w:start w:val="4"/>
    </w:lvl>
  </w:abstractNum>
  <w:abstractNum w:abstractNumId="2">
    <w:nsid w:val="7545E146"/>
    <w:multiLevelType w:val="hybridMultilevel"/>
    <w:lvl w:ilvl="0">
      <w:lvlJc w:val="left"/>
      <w:lvlText w:val="%1."/>
      <w:numFmt w:val="decimal"/>
      <w:start w:val="2"/>
    </w:lvl>
    <w:lvl w:ilvl="1">
      <w:lvlJc w:val="left"/>
      <w:lvlText w:val="(%2)"/>
      <w:numFmt w:val="lowerLetter"/>
      <w:start w:val="1"/>
    </w:lvl>
  </w:abstractNum>
  <w:abstractNum w:abstractNumId="3">
    <w:nsid w:val="515F007C"/>
    <w:multiLevelType w:val="hybridMultilevel"/>
    <w:lvl w:ilvl="0">
      <w:lvlJc w:val="left"/>
      <w:lvlText w:val="%1"/>
      <w:numFmt w:val="decimal"/>
      <w:start w:val="1"/>
    </w:lvl>
    <w:lvl w:ilvl="1">
      <w:lvlJc w:val="left"/>
      <w:lvlText w:val="(%2)"/>
      <w:numFmt w:val="lowerLetter"/>
      <w:start w:val="4"/>
    </w:lvl>
  </w:abstractNum>
  <w:abstractNum w:abstractNumId="4">
    <w:nsid w:val="5BD062C2"/>
    <w:multiLevelType w:val="hybridMultilevel"/>
    <w:lvl w:ilvl="0">
      <w:lvlJc w:val="left"/>
      <w:lvlText w:val="%1."/>
      <w:numFmt w:val="decimal"/>
      <w:start w:val="3"/>
    </w:lvl>
    <w:lvl w:ilvl="1">
      <w:lvlJc w:val="left"/>
      <w:lvlText w:val="(%2)"/>
      <w:numFmt w:val="lowerLetter"/>
      <w:start w:val="1"/>
    </w:lvl>
  </w:abstractNum>
  <w:abstractNum w:abstractNumId="5">
    <w:nsid w:val="12200854"/>
    <w:multiLevelType w:val="hybridMultilevel"/>
    <w:lvl w:ilvl="0">
      <w:lvlJc w:val="left"/>
      <w:lvlText w:val="%1"/>
      <w:numFmt w:val="decimal"/>
      <w:start w:val="1"/>
    </w:lvl>
    <w:lvl w:ilvl="1">
      <w:lvlJc w:val="left"/>
      <w:lvlText w:val="(%2)"/>
      <w:numFmt w:val="lowerLetter"/>
      <w:start w:val="3"/>
    </w:lvl>
  </w:abstractNum>
  <w:abstractNum w:abstractNumId="6">
    <w:nsid w:val="4DB127F8"/>
    <w:multiLevelType w:val="hybridMultilevel"/>
    <w:lvl w:ilvl="0">
      <w:lvlJc w:val="left"/>
      <w:lvlText w:val="%1."/>
      <w:numFmt w:val="decimal"/>
      <w:start w:val="5"/>
    </w:lvl>
    <w:lvl w:ilvl="1">
      <w:lvlJc w:val="left"/>
      <w:lvlText w:val="(%2)"/>
      <w:numFmt w:val="lowerLetter"/>
      <w:start w:val="9"/>
    </w:lvl>
  </w:abstractNum>
  <w:abstractNum w:abstractNumId="7">
    <w:nsid w:val="216231B"/>
    <w:multiLevelType w:val="hybridMultilevel"/>
    <w:lvl w:ilvl="0">
      <w:lvlJc w:val="left"/>
      <w:lvlText w:val="%1"/>
      <w:numFmt w:val="decimal"/>
      <w:start w:val="1"/>
    </w:lvl>
    <w:lvl w:ilvl="1">
      <w:lvlJc w:val="left"/>
      <w:lvlText w:val="(%2)"/>
      <w:numFmt w:val="lowerLetter"/>
      <w:start w:val="35"/>
    </w:lvl>
  </w:abstractNum>
  <w:abstractNum w:abstractNumId="8">
    <w:nsid w:val="1F16E9E8"/>
    <w:multiLevelType w:val="hybridMultilevel"/>
    <w:lvl w:ilvl="0">
      <w:lvlJc w:val="left"/>
      <w:lvlText w:val="%1."/>
      <w:numFmt w:val="decimal"/>
      <w:start w:val="6"/>
    </w:lvl>
    <w:lvl w:ilvl="1">
      <w:lvlJc w:val="left"/>
      <w:lvlText w:val="(%2)"/>
      <w:numFmt w:val="lowerLetter"/>
      <w:start w:val="1"/>
    </w:lvl>
  </w:abstractNum>
  <w:abstractNum w:abstractNumId="9">
    <w:nsid w:val="1190CDE7"/>
    <w:multiLevelType w:val="hybridMultilevel"/>
    <w:lvl w:ilvl="0">
      <w:lvlJc w:val="left"/>
      <w:lvlText w:val="%1"/>
      <w:numFmt w:val="decimal"/>
      <w:start w:val="1"/>
    </w:lvl>
    <w:lvl w:ilvl="1">
      <w:lvlJc w:val="left"/>
      <w:lvlText w:val="(%2)"/>
      <w:numFmt w:val="lowerLetter"/>
      <w:start w:val="3"/>
    </w:lvl>
  </w:abstractNum>
  <w:abstractNum w:abstractNumId="10">
    <w:nsid w:val="66EF438D"/>
    <w:multiLevelType w:val="hybridMultilevel"/>
    <w:lvl w:ilvl="0">
      <w:lvlJc w:val="left"/>
      <w:lvlText w:val="%1."/>
      <w:numFmt w:val="decimal"/>
      <w:start w:val="7"/>
    </w:lvl>
    <w:lvl w:ilvl="1">
      <w:lvlJc w:val="left"/>
      <w:lvlText w:val="%2"/>
      <w:numFmt w:val="lowerLetter"/>
      <w:start w:val="1"/>
    </w:lvl>
  </w:abstractNum>
  <w:abstractNum w:abstractNumId="11">
    <w:nsid w:val="140E0F76"/>
    <w:multiLevelType w:val="hybridMultilevel"/>
    <w:lvl w:ilvl="0">
      <w:lvlJc w:val="left"/>
      <w:lvlText w:val="%1."/>
      <w:numFmt w:val="decimal"/>
      <w:start w:val="9"/>
    </w:lvl>
  </w:abstractNum>
  <w:abstractNum w:abstractNumId="12">
    <w:nsid w:val="3352255A"/>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2025-06-25T16:03:40Z</dcterms:created>
  <dcterms:modified xsi:type="dcterms:W3CDTF">2025-06-25T16:03:40Z</dcterms:modified>
</cp:coreProperties>
</file>