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On June 15, 2026,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financial results for its fiscal year ended March 31, 2026. A copy of the press release is being furnished as Exhibit 99.1 to this Current Report on Form 8-K.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Disclaimer</w:t>
      </w:r>
    </w:p>
    <w:p>
      <w:pPr>
        <w:spacing w:after="0" w:line="2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 Index</w:t>
            </w:r>
          </w:p>
        </w:tc>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52"/>
        </w:trPr>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6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4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Vistagen Therapeutics, Inc., dated June 15, 2026, furnished herewith</w:t>
            </w:r>
          </w:p>
        </w:tc>
      </w:tr>
      <w:tr>
        <w:trPr>
          <w:trHeight w:val="277"/>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960" w:type="dxa"/>
            <w:vAlign w:val="bottom"/>
          </w:tcPr>
          <w:p>
            <w:pPr>
              <w:spacing w:after="0"/>
              <w:rPr>
                <w:sz w:val="24"/>
                <w:szCs w:val="24"/>
                <w:color w:val="auto"/>
              </w:rPr>
            </w:pPr>
          </w:p>
        </w:tc>
      </w:tr>
      <w:tr>
        <w:trPr>
          <w:trHeight w:val="1033"/>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4269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Reports Fiscal Year 2026 Financial Results and Provides Corporate Update</w:t>
      </w:r>
    </w:p>
    <w:p>
      <w:pPr>
        <w:spacing w:after="0" w:line="233" w:lineRule="exact"/>
        <w:rPr>
          <w:sz w:val="20"/>
          <w:szCs w:val="20"/>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i w:val="1"/>
          <w:iCs w:val="1"/>
          <w:color w:val="auto"/>
        </w:rPr>
        <w:t>Completed randomized portion of PALISADE-4 Phase 3 trial of fasedienol for the acute treatment of social anxiety disorder; topline results expected this month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Completed randomized portion of fasedienol Phase 2 repeat dose study; topline results expected in third quarter 2026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Achieved minimum ICH E1 safety exposure recommendations across fasedienol clinical program</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Reported preliminary positive data from open-label extension portion of PALISADE-3 Phase 3 trial</w:t>
      </w:r>
    </w:p>
    <w:p>
      <w:pPr>
        <w:spacing w:after="0" w:line="220" w:lineRule="exact"/>
        <w:rPr>
          <w:sz w:val="20"/>
          <w:szCs w:val="20"/>
          <w:color w:val="auto"/>
        </w:rPr>
      </w:pPr>
    </w:p>
    <w:p>
      <w:pPr>
        <w:jc w:val="center"/>
        <w:ind w:left="340" w:right="260"/>
        <w:spacing w:after="0" w:line="272" w:lineRule="auto"/>
        <w:rPr>
          <w:sz w:val="20"/>
          <w:szCs w:val="20"/>
          <w:color w:val="auto"/>
        </w:rPr>
      </w:pPr>
      <w:r>
        <w:rPr>
          <w:rFonts w:ascii="Times New Roman" w:cs="Times New Roman" w:eastAsia="Times New Roman" w:hAnsi="Times New Roman"/>
          <w:sz w:val="21"/>
          <w:szCs w:val="21"/>
          <w:i w:val="1"/>
          <w:iCs w:val="1"/>
          <w:color w:val="auto"/>
        </w:rPr>
        <w:t>Received FDA “Study May Proceed” letter under refisolone Investigational New Drug (IND) application to support further clinical development in the U.S. for treatment of moderate to severe vasomotor symptoms (hot flashes) due to menopause</w:t>
      </w:r>
    </w:p>
    <w:p>
      <w:pPr>
        <w:spacing w:after="0" w:line="16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SOUTH SAN FRANCISCO, Calif - June 15, 2026 - Vistagen (Nasdaq: VTGN), a late clinical-stage biopharmaceutical company pioneering neuroscience with nose-to-brain neurocircuitry to develop and commercialize a new class of intranasal product candidates called pherines, today reported financial results for its fiscal year ended March 31, 2026, and provided a corporate update.</w:t>
      </w:r>
    </w:p>
    <w:p>
      <w:pPr>
        <w:spacing w:after="0" w:line="19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"We made meaningful progress in fiscal 2026, advancing three significant late-stage programs in our novel pherine pipeline for people living with social anxiety disorder, depression, and menopausal hot flashes," said Shawn Singh, President and Chief Executive Officer of Vistagen. "We expect topline results from the randomized portion of our PALISADE-4 Phase 3 trial later this month. If successful, we believe that PALISADE-4, together with the positive results from our PALISADE-2 Phase 3 trial and further evidence we plan to generate to support the clinical meaningfulness of the duration and magnitude of effect of fasedienol, could provide substantial evidence of effectiveness in support of a potential fasedienol NDA for the acute treatment of social anxiety disorder. We remain steadfast in our commitment to helping improve lives underserved by current treatment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Corporate and Program Highlights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Fasedienol for the Acute Treatment of Social Anxiety Disorder</w:t>
      </w:r>
    </w:p>
    <w:p>
      <w:pPr>
        <w:spacing w:after="0" w:line="247" w:lineRule="exact"/>
        <w:rPr>
          <w:sz w:val="20"/>
          <w:szCs w:val="20"/>
          <w:color w:val="auto"/>
        </w:rPr>
      </w:pPr>
    </w:p>
    <w:p>
      <w:pPr>
        <w:ind w:left="660" w:right="220" w:hanging="328"/>
        <w:spacing w:after="0" w:line="245"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20"/>
          <w:szCs w:val="20"/>
          <w:color w:val="auto"/>
        </w:rPr>
        <w:t>Completed the randomized portion of the PALISADE-4 Phase 3 trial evaluating fasedienol for the acute treatment of social anxiety disorder; topline results from the randomized portion of PALISADE-4 are expected in June 2026.</w:t>
      </w:r>
    </w:p>
    <w:p>
      <w:pPr>
        <w:spacing w:after="0" w:line="222" w:lineRule="exact"/>
        <w:rPr>
          <w:rFonts w:ascii="Arial" w:cs="Arial" w:eastAsia="Arial" w:hAnsi="Arial"/>
          <w:sz w:val="22"/>
          <w:szCs w:val="22"/>
          <w:color w:val="auto"/>
        </w:rPr>
      </w:pPr>
    </w:p>
    <w:p>
      <w:pPr>
        <w:ind w:left="660" w:right="80" w:hanging="328"/>
        <w:spacing w:after="0" w:line="234"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Refined the PALISADE-4 statistical analysis plan (SAP), incorporating baseline pre-dose Subjective Units of Distress Scale (SUDS) scores as a prespecified covariate in the primary efficacy analysis. While there is no guarantee the refinements to the PALISADE-4 SAP will result in a positive outcome for the study, the Company believes the refined SAP reflects established statistical principles supporting</w:t>
      </w:r>
    </w:p>
    <w:p>
      <w:pPr>
        <w:sectPr>
          <w:pgSz w:w="11900" w:h="16838" w:orient="portrait"/>
          <w:cols w:equalWidth="0" w:num="1">
            <w:col w:w="11240"/>
          </w:cols>
          <w:pgMar w:left="320" w:top="1440" w:right="339" w:bottom="1440" w:gutter="0" w:footer="0" w:header="0"/>
        </w:sectPr>
      </w:pPr>
    </w:p>
    <w:bookmarkStart w:id="4" w:name="page5"/>
    <w:bookmarkEnd w:id="4"/>
    <w:p>
      <w:pPr>
        <w:ind w:left="660" w:right="500"/>
        <w:spacing w:after="0" w:line="25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the use of baseline covariates in randomized clinical trials consistent with U.S. Food and Drug Administration (FDA) guidance regarding adjustments for covariates.</w:t>
      </w:r>
    </w:p>
    <w:p>
      <w:pPr>
        <w:spacing w:after="0" w:line="213" w:lineRule="exact"/>
        <w:rPr>
          <w:sz w:val="20"/>
          <w:szCs w:val="20"/>
          <w:color w:val="auto"/>
        </w:rPr>
      </w:pPr>
    </w:p>
    <w:p>
      <w:pPr>
        <w:ind w:left="1300" w:right="140" w:hanging="320"/>
        <w:spacing w:after="0" w:line="237" w:lineRule="auto"/>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Reported preliminary positive data from the ongoing open-label extension portion of the PALISADE-3 Phase 3 trial of fasedienol demonstrating fasedienol has been well-tolerated, with no new drug-related safety findings or trends identified, and a clinically relevant improvement over time on both the clinician-administered Liebowitz Social Anxiety Scale (LSAS) and the Social Phobia Inventory (SPIN) over the first four months of treatment.</w:t>
      </w:r>
    </w:p>
    <w:p>
      <w:pPr>
        <w:spacing w:after="0" w:line="216" w:lineRule="exact"/>
        <w:rPr>
          <w:rFonts w:ascii="Arial" w:cs="Arial" w:eastAsia="Arial" w:hAnsi="Arial"/>
          <w:sz w:val="22"/>
          <w:szCs w:val="22"/>
          <w:color w:val="auto"/>
        </w:rPr>
      </w:pPr>
    </w:p>
    <w:p>
      <w:pPr>
        <w:ind w:left="1300" w:right="60" w:hanging="320"/>
        <w:spacing w:after="0" w:line="252" w:lineRule="auto"/>
        <w:tabs>
          <w:tab w:leader="none" w:pos="129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Achieved minimum exposure recommendations outlined in the ICH E1 guideline, with more than 1,500 individuals exposed to fasedienol, including more than 400 subjects with six months of exposure and more than 100 subjects with twelve months of exposure. Although the Company believes the minimum ICH E1 recommendations have been met, it has not yet aligned with the FDA on the specific patient exposure requirements to support a potential fasedienol NDA submission.</w:t>
      </w:r>
    </w:p>
    <w:p>
      <w:pPr>
        <w:spacing w:after="0" w:line="205" w:lineRule="exact"/>
        <w:rPr>
          <w:rFonts w:ascii="Times New Roman" w:cs="Times New Roman" w:eastAsia="Times New Roman" w:hAnsi="Times New Roman"/>
          <w:sz w:val="21"/>
          <w:szCs w:val="21"/>
          <w:color w:val="auto"/>
        </w:rPr>
      </w:pPr>
    </w:p>
    <w:p>
      <w:pPr>
        <w:ind w:left="660" w:hanging="328"/>
        <w:spacing w:after="0" w:line="242"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Completed the randomized portion of the fasedienol Phase 2 repeat dose study, designed to incorporate FDA feedback to evaluate the effect of repeat dosing of fasedienol, potential dosing interval for repeat dose, as well as potential dose response and duration of effect; topline results from the randomized portion of the study expected in the third quarter of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Refisolone for Treatment of Vasomotor Symptoms (Hot Flashes) Due to Menopause</w:t>
      </w:r>
    </w:p>
    <w:p>
      <w:pPr>
        <w:spacing w:after="0" w:line="247" w:lineRule="exact"/>
        <w:rPr>
          <w:sz w:val="20"/>
          <w:szCs w:val="20"/>
          <w:color w:val="auto"/>
        </w:rPr>
      </w:pPr>
    </w:p>
    <w:p>
      <w:pPr>
        <w:ind w:left="660" w:right="440" w:hanging="328"/>
        <w:spacing w:after="0" w:line="242"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Received FDA “Study May Proceed” clearance under an Investigational New Drug (IND) application to support further clinical development of refisolone in the United States as a potential rapid-onset, hormone-free, and non-systemic treatment option for women experiencing moderate to severe vasomotor symptoms due to menopause.</w:t>
      </w:r>
    </w:p>
    <w:p>
      <w:pPr>
        <w:spacing w:after="0" w:line="212" w:lineRule="exact"/>
        <w:rPr>
          <w:rFonts w:ascii="Arial" w:cs="Arial" w:eastAsia="Arial" w:hAnsi="Arial"/>
          <w:sz w:val="22"/>
          <w:szCs w:val="22"/>
          <w:color w:val="auto"/>
        </w:rPr>
      </w:pPr>
    </w:p>
    <w:p>
      <w:pPr>
        <w:ind w:left="660" w:right="320" w:hanging="328"/>
        <w:spacing w:after="0" w:line="270"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Presented data at The Menopause Society 2025 Annual Meeting in Orlando, Florida, in October 2025, demonstrating refisolone’s potential as a rapidly-acting pherine product candidate for treating vasomotor symptoms (hot flashes) due to menopause.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A0A0A"/>
        </w:rPr>
        <w:t>Itruvone for Treatment of Major Depressive Disorder</w:t>
      </w:r>
    </w:p>
    <w:p>
      <w:pPr>
        <w:spacing w:after="0" w:line="260" w:lineRule="exact"/>
        <w:rPr>
          <w:sz w:val="20"/>
          <w:szCs w:val="20"/>
          <w:color w:val="auto"/>
        </w:rPr>
      </w:pPr>
    </w:p>
    <w:p>
      <w:pPr>
        <w:ind w:left="660" w:right="260" w:hanging="328"/>
        <w:spacing w:after="0" w:line="252"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Continued preparations for future clinical development activities designed to advance itruvone as a potential rapid-onset treatment for major depressive </w:t>
      </w:r>
      <w:r>
        <w:rPr>
          <w:rFonts w:ascii="Times New Roman" w:cs="Times New Roman" w:eastAsia="Times New Roman" w:hAnsi="Times New Roman"/>
          <w:sz w:val="21"/>
          <w:szCs w:val="21"/>
          <w:color w:val="auto"/>
        </w:rPr>
        <w:t>disorder</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Leadership and Corporate Updates</w:t>
      </w:r>
    </w:p>
    <w:p>
      <w:pPr>
        <w:spacing w:after="0" w:line="247" w:lineRule="exact"/>
        <w:rPr>
          <w:sz w:val="20"/>
          <w:szCs w:val="20"/>
          <w:color w:val="auto"/>
        </w:rPr>
      </w:pPr>
    </w:p>
    <w:p>
      <w:pPr>
        <w:ind w:left="660" w:right="380" w:hanging="328"/>
        <w:spacing w:after="0" w:line="24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Appointed Angel S. Angelov, M.D., MBA, as Chief Medical Officer, bringing significant neuroscience and clinical development expertise to Vistagen.</w:t>
      </w:r>
    </w:p>
    <w:p>
      <w:pPr>
        <w:spacing w:after="0" w:line="208" w:lineRule="exact"/>
        <w:rPr>
          <w:rFonts w:ascii="Times New Roman" w:cs="Times New Roman" w:eastAsia="Times New Roman" w:hAnsi="Times New Roman"/>
          <w:sz w:val="22"/>
          <w:szCs w:val="22"/>
          <w:color w:val="auto"/>
        </w:rPr>
      </w:pPr>
    </w:p>
    <w:p>
      <w:pPr>
        <w:ind w:left="660" w:right="200" w:hanging="328"/>
        <w:spacing w:after="0" w:line="24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Appointed Nick Tressler, MBA, as Chief Financial Officer, adding more than 20 years of financial leadership experience in the life sciences industry and expertise in corporate finance, operational execution, and strategic growth initiatives.</w:t>
      </w:r>
    </w:p>
    <w:p>
      <w:pPr>
        <w:spacing w:after="0" w:line="222" w:lineRule="exact"/>
        <w:rPr>
          <w:rFonts w:ascii="Times New Roman" w:cs="Times New Roman" w:eastAsia="Times New Roman" w:hAnsi="Times New Roman"/>
          <w:sz w:val="22"/>
          <w:szCs w:val="22"/>
          <w:color w:val="auto"/>
        </w:rPr>
      </w:pPr>
    </w:p>
    <w:p>
      <w:pPr>
        <w:ind w:left="660" w:right="60" w:hanging="328"/>
        <w:spacing w:after="0" w:line="245"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Appointed Elissa Cote as Chief Corporate Development Officer, adding nearly 30 years of business development, strategic planning, licensing, and partnership experience to support advancement of Vistagen's pherine pipeline and strategic initiatives.</w:t>
      </w:r>
    </w:p>
    <w:p>
      <w:pPr>
        <w:sectPr>
          <w:pgSz w:w="11900" w:h="16838" w:orient="portrait"/>
          <w:cols w:equalWidth="0" w:num="1">
            <w:col w:w="11220"/>
          </w:cols>
          <w:pgMar w:left="320" w:top="1413" w:right="359" w:bottom="1440" w:gutter="0" w:footer="0" w:header="0"/>
        </w:sectPr>
      </w:pPr>
    </w:p>
    <w:bookmarkStart w:id="5" w:name="page6"/>
    <w:bookmarkEnd w:id="5"/>
    <w:p>
      <w:pPr>
        <w:ind w:left="660" w:right="60" w:hanging="328"/>
        <w:spacing w:after="0" w:line="245"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Implemented targeted cost-management initiatives designed to prioritize capital allocation toward key clinical milestones and extend operating runway.</w:t>
      </w:r>
    </w:p>
    <w:p>
      <w:pPr>
        <w:spacing w:after="0" w:line="208" w:lineRule="exact"/>
        <w:rPr>
          <w:rFonts w:ascii="Times New Roman" w:cs="Times New Roman" w:eastAsia="Times New Roman" w:hAnsi="Times New Roman"/>
          <w:sz w:val="22"/>
          <w:szCs w:val="22"/>
          <w:color w:val="auto"/>
        </w:rPr>
      </w:pPr>
    </w:p>
    <w:p>
      <w:pPr>
        <w:ind w:left="660" w:right="520" w:hanging="328"/>
        <w:spacing w:after="0" w:line="245"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Received the Platinum Bell Seal for Workplace Mental Health from Mental Health America and earned Great Place To Work® Certification, reflecting Vistagen's commitment to employee well-being and workplace culture.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Results for Fiscal Year Ended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w:t>
      </w:r>
    </w:p>
    <w:p>
      <w:pPr>
        <w:spacing w:after="0" w:line="260" w:lineRule="exact"/>
        <w:rPr>
          <w:sz w:val="20"/>
          <w:szCs w:val="20"/>
          <w:color w:val="auto"/>
        </w:rPr>
      </w:pPr>
    </w:p>
    <w:p>
      <w:pPr>
        <w:ind w:left="660" w:right="4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Research and development expense was $55.0 million for the fiscal year ended March 31, 2026, compared with $39.4 million for the fiscal year ended March 31, 2025. The change was primarily attributable to activities supporting the U.S. registration-directed PALISADE Program for fasedienol, manufacturing and CMC activities, and development of the Company's pherine product candidates.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and Administrative Expense</w:t>
      </w:r>
    </w:p>
    <w:p>
      <w:pPr>
        <w:spacing w:after="0" w:line="247" w:lineRule="exact"/>
        <w:rPr>
          <w:sz w:val="20"/>
          <w:szCs w:val="20"/>
          <w:color w:val="auto"/>
        </w:rPr>
      </w:pPr>
    </w:p>
    <w:p>
      <w:pPr>
        <w:ind w:left="660" w:right="40" w:hanging="328"/>
        <w:spacing w:after="0" w:line="245"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General and administrative expense was $18.4 million for the fiscal year ended March 31, 2026, compared with $17.1 million for the fiscal year ended March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260" w:lineRule="exact"/>
        <w:rPr>
          <w:sz w:val="20"/>
          <w:szCs w:val="20"/>
          <w:color w:val="auto"/>
        </w:rPr>
      </w:pPr>
    </w:p>
    <w:p>
      <w:pPr>
        <w:ind w:left="660" w:right="260" w:hanging="328"/>
        <w:spacing w:after="0" w:line="245"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Net loss was $69.7 million for the fiscal year ended March 31, 2026, compared with $51.4 million for the fiscal year ended March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Position</w:t>
      </w:r>
    </w:p>
    <w:p>
      <w:pPr>
        <w:spacing w:after="0" w:line="260" w:lineRule="exact"/>
        <w:rPr>
          <w:sz w:val="20"/>
          <w:szCs w:val="20"/>
          <w:color w:val="auto"/>
        </w:rPr>
      </w:pPr>
    </w:p>
    <w:p>
      <w:pPr>
        <w:ind w:left="660" w:right="620" w:hanging="328"/>
        <w:spacing w:after="0" w:line="245"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Cash, cash equivalents, and marketable securities were $45.4 million as of March 31, 2026. Based on current operating plans, Vistagen believes its cash, cash equivalents, and marketable securities will be sufficient to fund operations into 2027.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Vistagen</w:t>
      </w:r>
    </w:p>
    <w:p>
      <w:pPr>
        <w:spacing w:after="0" w:line="23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in U.S. Phase 3 development for the acute treatment of social anxiety disorder, itruvone for treatment of major depressive disorder, and refisolone for treatment of vasomotor symptoms (hot flashes) due to menopause. Connect at </w:t>
      </w:r>
      <w:r>
        <w:rPr>
          <w:rFonts w:ascii="Times New Roman" w:cs="Times New Roman" w:eastAsia="Times New Roman" w:hAnsi="Times New Roman"/>
          <w:sz w:val="20"/>
          <w:szCs w:val="20"/>
          <w:color w:val="0000FF"/>
        </w:rPr>
        <w:t>www.Vistagen.com</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within the meaning of the federal securities laws, including, without limitation, Vistagen’s anticipated timing for the announcement of top-line results from the randomized portion of PALISADE-4 and its Phase</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2 repeat dose study; Vistagen’s beliefs about the significance of achieving minimum patient exposure recommendations referenced in the ICH E1 guidance; the favorable safety and tolerability data of fasedienol observed to date; statements regarding indication of favorable safety</w:t>
      </w:r>
    </w:p>
    <w:p>
      <w:pPr>
        <w:sectPr>
          <w:pgSz w:w="11900" w:h="16838" w:orient="portrait"/>
          <w:cols w:equalWidth="0" w:num="1">
            <w:col w:w="11220"/>
          </w:cols>
          <w:pgMar w:left="320" w:top="142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t>data and improvements observed over time by patients in the OLE portion of PALISADE-3; Vistagen’s belief that the Company is well-</w:t>
      </w:r>
    </w:p>
    <w:p>
      <w:pPr>
        <w:spacing w:after="0" w:line="8"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0"/>
          <w:szCs w:val="20"/>
          <w:color w:val="auto"/>
        </w:rPr>
        <w:t>positioned to execute its strategic objectives while maintaining financial discipline and flexibility; statements regarding the refinements to the PALISADE-4 SAP, and the ability of the refined PALISADE-4 SAP to result in a positive outcome for PALISADE-4; the continued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development of refisolone, itruvone, and Vistagen's other pherine product candidates; and Vistagen's belief that its cash, cash equivalents, and marketable securities will be sufficient to fund operations into 2027.</w:t>
      </w:r>
    </w:p>
    <w:p>
      <w:pPr>
        <w:spacing w:after="0" w:line="2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including those that are a part of the PALISADE Phase 3 program for fasedienol in social anxiety disorder, as currently expected or at all; Vistagen’s ability to ability to successfully employ cash preservation measures and/or secure adequate financing for its operations, including financing or collaborative support for continued clinical development of its product candidates;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and others are more fully discussed in the section entitled “Risk Factors” in Vistagen’s Annual Report on Form 10-K for the period ended March 31, 2026,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ectPr>
          <w:pgSz w:w="11900" w:h="16838" w:orient="portrait"/>
          <w:cols w:equalWidth="0" w:num="1">
            <w:col w:w="11240"/>
          </w:cols>
          <w:pgMar w:left="320" w:top="1426"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50" w:lineRule="exact"/>
        <w:rPr>
          <w:sz w:val="20"/>
          <w:szCs w:val="20"/>
          <w:color w:val="auto"/>
        </w:rPr>
      </w:pPr>
    </w:p>
    <w:p>
      <w:pPr>
        <w:ind w:left="300" w:right="1100" w:hanging="44"/>
        <w:spacing w:after="0" w:line="314" w:lineRule="auto"/>
        <w:rPr>
          <w:sz w:val="20"/>
          <w:szCs w:val="20"/>
          <w:color w:val="auto"/>
        </w:rPr>
      </w:pPr>
      <w:r>
        <w:rPr>
          <w:rFonts w:ascii="Times New Roman" w:cs="Times New Roman" w:eastAsia="Times New Roman" w:hAnsi="Times New Roman"/>
          <w:sz w:val="17"/>
          <w:szCs w:val="17"/>
          <w:color w:val="auto"/>
        </w:rPr>
        <w:t>Cash and cash equivalents Marketable securities</w:t>
      </w:r>
    </w:p>
    <w:p>
      <w:pPr>
        <w:spacing w:after="0" w:line="1" w:lineRule="exact"/>
        <w:rPr>
          <w:sz w:val="20"/>
          <w:szCs w:val="20"/>
          <w:color w:val="auto"/>
        </w:rPr>
      </w:pPr>
    </w:p>
    <w:p>
      <w:pPr>
        <w:ind w:left="20" w:firstLine="222"/>
        <w:spacing w:after="0" w:line="305"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295" w:lineRule="exact"/>
        <w:rPr>
          <w:sz w:val="20"/>
          <w:szCs w:val="20"/>
          <w:color w:val="auto"/>
        </w:rPr>
      </w:pPr>
    </w:p>
    <w:p>
      <w:pPr>
        <w:jc w:val="center"/>
        <w:ind w:left="-405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28575</wp:posOffset>
            </wp:positionV>
            <wp:extent cx="2014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43" w:lineRule="exact"/>
        <w:rPr>
          <w:sz w:val="20"/>
          <w:szCs w:val="20"/>
          <w:color w:val="auto"/>
        </w:rPr>
      </w:pPr>
    </w:p>
    <w:p>
      <w:pPr>
        <w:ind w:left="496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28575</wp:posOffset>
            </wp:positionV>
            <wp:extent cx="2014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28575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0"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2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67,131</w:t>
            </w:r>
          </w:p>
        </w:tc>
      </w:tr>
      <w:tr>
        <w:trPr>
          <w:trHeight w:val="257"/>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63"/>
        </w:trPr>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43"/>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82,076</w:t>
            </w:r>
          </w:p>
        </w:tc>
      </w:tr>
      <w:tr>
        <w:trPr>
          <w:trHeight w:val="256"/>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57"/>
        </w:trPr>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63"/>
        </w:trPr>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0"/>
        </w:trPr>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2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r>
      <w:tr>
        <w:trPr>
          <w:trHeight w:val="27"/>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-1191260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-864870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-530860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-205105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154305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420"/>
            <w:col w:w="7580"/>
          </w:cols>
          <w:pgMar w:left="320" w:top="1413" w:right="339" w:bottom="1440" w:gutter="0" w:footer="0" w:header="0"/>
        </w:sectPr>
      </w:pP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5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4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2026 and March 31, 2025; no</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8"/>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outstanding at March 31, 2026 and March 31, 2025</w:t>
            </w: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March 31, 2026 and March 31, 2025;</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39,624,839 and 29,001,481 shares issued at March 31, 2026 and March 31, 2025, respectively</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516,767</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481,956</w:t>
            </w: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March 31, 2026 and March 31, 2025</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(477,317)</w:t>
            </w:r>
          </w:p>
        </w:tc>
        <w:tc>
          <w:tcPr>
            <w:tcW w:w="2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(407,632)</w:t>
            </w:r>
          </w:p>
        </w:tc>
      </w:tr>
      <w:tr>
        <w:trPr>
          <w:trHeight w:val="250"/>
        </w:trPr>
        <w:tc>
          <w:tcPr>
            <w:tcW w:w="8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70,390</w:t>
            </w:r>
          </w:p>
        </w:tc>
      </w:tr>
      <w:tr>
        <w:trPr>
          <w:trHeight w:val="257"/>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48,564</w:t>
            </w:r>
          </w:p>
        </w:tc>
        <w:tc>
          <w:tcPr>
            <w:tcW w:w="2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84,341</w:t>
            </w:r>
          </w:p>
        </w:tc>
      </w:tr>
      <w:tr>
        <w:trPr>
          <w:trHeight w:val="20"/>
        </w:trPr>
        <w:tc>
          <w:tcPr>
            <w:tcW w:w="8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type w:val="continuous"/>
        </w:sectPr>
      </w:pPr>
    </w:p>
    <w:bookmarkStart w:id="8" w:name="page9"/>
    <w:bookmarkEnd w:id="8"/>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114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4"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21590</wp:posOffset>
            </wp:positionV>
            <wp:extent cx="21170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57"/>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39,375</w:t>
            </w: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r>
      <w:tr>
        <w:trPr>
          <w:trHeight w:val="250"/>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73,395</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56,459</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(69,685)</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(69,692)</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38,073,926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30,877,029</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Inquiries: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IR@vistagen.com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Inquiries: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media@vistagen.com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2026-06-15T15:40:37Z</dcterms:created>
  <dcterms:modified xsi:type="dcterms:W3CDTF">2026-06-15T15:40:37Z</dcterms:modified>
</cp:coreProperties>
</file>