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30, 2022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607"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20" w:space="720"/>
            <w:col w:w="3180" w:space="720"/>
            <w:col w:w="2700"/>
          </w:cols>
          <w:pgMar w:left="320" w:top="607"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607"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50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2"/>
              </w:rPr>
              <w:t>Trading Symbol(s)</w:t>
            </w:r>
          </w:p>
        </w:tc>
        <w:tc>
          <w:tcPr>
            <w:tcW w:w="42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40" w:type="dxa"/>
            <w:vAlign w:val="bottom"/>
          </w:tcPr>
          <w:p>
            <w:pPr>
              <w:jc w:val="center"/>
              <w:ind w:right="690"/>
              <w:spacing w:after="0"/>
              <w:rPr>
                <w:sz w:val="20"/>
                <w:szCs w:val="20"/>
                <w:color w:val="auto"/>
              </w:rPr>
            </w:pPr>
            <w:r>
              <w:rPr>
                <w:rFonts w:ascii="Arial" w:cs="Arial" w:eastAsia="Arial" w:hAnsi="Arial"/>
                <w:sz w:val="18"/>
                <w:szCs w:val="18"/>
                <w:color w:val="auto"/>
                <w:w w:val="89"/>
              </w:rPr>
              <w:t>Common Stock, par value $0.001 per share</w:t>
            </w:r>
          </w:p>
        </w:tc>
        <w:tc>
          <w:tcPr>
            <w:tcW w:w="2500" w:type="dxa"/>
            <w:vAlign w:val="bottom"/>
          </w:tcPr>
          <w:p>
            <w:pPr>
              <w:jc w:val="center"/>
              <w:ind w:right="270"/>
              <w:spacing w:after="0"/>
              <w:rPr>
                <w:sz w:val="20"/>
                <w:szCs w:val="20"/>
                <w:color w:val="auto"/>
              </w:rPr>
            </w:pPr>
            <w:r>
              <w:rPr>
                <w:rFonts w:ascii="Arial" w:cs="Arial" w:eastAsia="Arial" w:hAnsi="Arial"/>
                <w:sz w:val="18"/>
                <w:szCs w:val="18"/>
                <w:color w:val="auto"/>
                <w:w w:val="99"/>
              </w:rPr>
              <w:t>VTGN</w:t>
            </w:r>
          </w:p>
        </w:tc>
        <w:tc>
          <w:tcPr>
            <w:tcW w:w="4200" w:type="dxa"/>
            <w:vAlign w:val="bottom"/>
          </w:tcPr>
          <w:p>
            <w:pPr>
              <w:jc w:val="center"/>
              <w:ind w:left="3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November 30, 2022,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receipt of a “Study May Proceed” letter from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The letter greenlights a U.S. Phase 1 clinical trial under the Company’s newly filed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for clinical development of PH10 in the U.S. as a standalone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The small Phase 1 trial (n=12) will involve the Company’s newly optimized formulation of PH10 and is intended to both confirm the favorable safety profile of PH10 established in three previous clinical studies, including a published Phase 2A study for the treatment of MDD, and facilitate the Company’s plans for Phase 2B development of PH10 as a stand-alone treatment for MDD. A copy of the press release is attached to this Current Report on Form 8-K as Exhibit 99.1.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80" w:type="dxa"/>
            <w:vAlign w:val="bottom"/>
            <w:tcBorders>
              <w:bottom w:val="single" w:sz="8" w:color="auto"/>
            </w:tcBorders>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60" w:type="dxa"/>
            <w:vAlign w:val="bottom"/>
          </w:tcPr>
          <w:p>
            <w:pPr>
              <w:spacing w:after="0"/>
              <w:rPr>
                <w:sz w:val="14"/>
                <w:szCs w:val="14"/>
                <w:color w:val="auto"/>
              </w:rPr>
            </w:pPr>
          </w:p>
        </w:tc>
        <w:tc>
          <w:tcPr>
            <w:tcW w:w="320" w:type="dxa"/>
            <w:vAlign w:val="bottom"/>
            <w:tcBorders>
              <w:bottom w:val="single" w:sz="8" w:color="0000EE"/>
            </w:tcBorders>
          </w:tcPr>
          <w:p>
            <w:pPr>
              <w:jc w:val="cente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Pr>
          <w:p>
            <w:pPr>
              <w:spacing w:after="0" w:line="169" w:lineRule="exact"/>
              <w:rPr>
                <w:sz w:val="20"/>
                <w:szCs w:val="20"/>
                <w:color w:val="auto"/>
              </w:rPr>
            </w:pPr>
            <w:r>
              <w:rPr>
                <w:rFonts w:ascii="Arial" w:cs="Arial" w:eastAsia="Arial" w:hAnsi="Arial"/>
                <w:sz w:val="18"/>
                <w:szCs w:val="18"/>
                <w:color w:val="auto"/>
              </w:rPr>
              <w:t>Press Release issued by Vistagen Therapeutics, Inc., dated November 30, 2022.</w:t>
            </w:r>
          </w:p>
        </w:tc>
      </w:tr>
      <w:tr>
        <w:trPr>
          <w:trHeight w:val="237"/>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0"/>
                <w:szCs w:val="20"/>
                <w:color w:val="auto"/>
              </w:rPr>
            </w:pPr>
          </w:p>
        </w:tc>
        <w:tc>
          <w:tcPr>
            <w:tcW w:w="10000" w:type="dxa"/>
            <w:vAlign w:val="bottom"/>
            <w:gridSpan w:val="2"/>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30, 2022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580" w:right="6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66"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 xml:space="preserve">Vistagen Receives FDA </w:t>
      </w:r>
      <w:r>
        <w:rPr>
          <w:rFonts w:ascii="Arial" w:cs="Arial" w:eastAsia="Arial" w:hAnsi="Arial"/>
          <w:sz w:val="22"/>
          <w:szCs w:val="22"/>
          <w:color w:val="auto"/>
        </w:rPr>
        <w:t>“</w:t>
      </w:r>
      <w:r>
        <w:rPr>
          <w:rFonts w:ascii="Arial" w:cs="Arial" w:eastAsia="Arial" w:hAnsi="Arial"/>
          <w:sz w:val="22"/>
          <w:szCs w:val="22"/>
          <w:b w:val="1"/>
          <w:bCs w:val="1"/>
          <w:color w:val="auto"/>
        </w:rPr>
        <w:t>Study May Proceed</w:t>
      </w:r>
      <w:r>
        <w:rPr>
          <w:rFonts w:ascii="Arial" w:cs="Arial" w:eastAsia="Arial" w:hAnsi="Arial"/>
          <w:sz w:val="22"/>
          <w:szCs w:val="22"/>
          <w:color w:val="auto"/>
        </w:rPr>
        <w:t>”</w:t>
      </w:r>
      <w:r>
        <w:rPr>
          <w:rFonts w:ascii="Arial" w:cs="Arial" w:eastAsia="Arial" w:hAnsi="Arial"/>
          <w:sz w:val="22"/>
          <w:szCs w:val="22"/>
          <w:b w:val="1"/>
          <w:bCs w:val="1"/>
          <w:color w:val="auto"/>
        </w:rPr>
        <w:t xml:space="preserve"> Letter Under its Investigational New Drug Application for PH10 to Treat Major Depressive Disorder</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Vistagen to conduct small U.S. Phase 1 trial with newly optimized formulation of PH10 in Q1 2023 to confirm favorable safety profile from three previous clinical trials and to facilitate Phase 2B development of PH10 for major depressive disorder</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SOUTH SAN FRANCISCO, Calif. </w:t>
      </w:r>
      <w:r>
        <w:rPr>
          <w:rFonts w:ascii="Arial" w:cs="Arial" w:eastAsia="Arial" w:hAnsi="Arial"/>
          <w:sz w:val="17"/>
          <w:szCs w:val="17"/>
          <w:color w:val="auto"/>
        </w:rPr>
        <w:t>–</w:t>
      </w:r>
      <w:r>
        <w:rPr>
          <w:rFonts w:ascii="Arial" w:cs="Arial" w:eastAsia="Arial" w:hAnsi="Arial"/>
          <w:sz w:val="17"/>
          <w:szCs w:val="17"/>
          <w:b w:val="1"/>
          <w:bCs w:val="1"/>
          <w:color w:val="auto"/>
        </w:rPr>
        <w:t xml:space="preserve"> November 30, 2022 </w:t>
      </w:r>
      <w:r>
        <w:rPr>
          <w:rFonts w:ascii="Arial" w:cs="Arial" w:eastAsia="Arial" w:hAnsi="Arial"/>
          <w:sz w:val="17"/>
          <w:szCs w:val="17"/>
          <w:color w:val="auto"/>
        </w:rPr>
        <w:t>– Vista</w:t>
      </w:r>
      <w:r>
        <w:rPr>
          <w:rFonts w:ascii="Arial" w:cs="Arial" w:eastAsia="Arial" w:hAnsi="Arial"/>
          <w:sz w:val="17"/>
          <w:szCs w:val="17"/>
          <w:u w:val="single" w:color="auto"/>
          <w:color w:val="auto"/>
        </w:rPr>
        <w:t>gen,</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 aiming to</w:t>
      </w:r>
      <w:r>
        <w:rPr>
          <w:rFonts w:ascii="Arial" w:cs="Arial" w:eastAsia="Arial" w:hAnsi="Arial"/>
          <w:sz w:val="17"/>
          <w:szCs w:val="17"/>
          <w:b w:val="1"/>
          <w:bCs w:val="1"/>
          <w:color w:val="auto"/>
        </w:rPr>
        <w:t xml:space="preserve"> </w:t>
      </w:r>
      <w:r>
        <w:rPr>
          <w:rFonts w:ascii="Arial" w:cs="Arial" w:eastAsia="Arial" w:hAnsi="Arial"/>
          <w:sz w:val="17"/>
          <w:szCs w:val="17"/>
          <w:color w:val="auto"/>
        </w:rPr>
        <w:t>transform the treatment landscape for individuals living with anxiety, depression and other central nervous system (CNS) disorders, today announced receipt of a “Study May Proceed” letter from the U.S. Food and Drug Administration (FDA). The letter greenlights a U.S. Phase 1 clinical trial under Vistagen’s newly filed Investigational New Drug (IND) application for clinical development of PH10 in the U.S. as a standalone treatment for major depressive disorder (MDD). The small Phase 1 trial (n=12) will involve the Company’s newly optimized formulation of PH10 and is intended to both confirm the favorable safety profile of PH10 established in three previous clinical studies conducted in Mexico, including a published Phase 2A study for the treatment of MDD, and facilitate Vistagen’s plans for Phase 2B development of PH10 as a stand-alone treatment for MDD.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“People living with major depressive disorder urgently need new and differentiated therapies – we are committed to addressing that need. The FDA’s clearance to advance our clinical program for PH10 in the U.S. is another important milestone for our company,” stated Shawn Singh, Chief Executive Officer of Vistagen. “With our newly optimized formulation and manufacturing process for PH10 in place, the FDA’s greenlight will now enable us to first confirm its favorable safety profile in a small Phase 1 study next quarter and then seek consensus with the FDA regarding our Phase 2B development plan for PH10 in major depressive disorder.”</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At a 6.4 μg dose administered intranasally twice daily for 8 weeks, PH10 significantly reduced depressive symptoms as early as one week based on the 17-item Hamilton Depression Scale (HAM-D-17) scores compared to placebo (p = 0.022) in a small (n=30) exploratory randomized, double-blind, placebo-controlled parallel design Phase 2A study in MDD. PH10 was well-tolerated and did not cause psychological side effects (such as dissociation or hallucinations) or other safety concerns that may be associated with other approved pharmacological therapies for MDD. More information about the PH10 Phase 2A study in MDD can be found in the peer-reviewed article, A Placebo Controlled Trial of PH10: Test of a New Rapidly Acting Intranasally Administered Antidepressant, published in the November-December 2019 edition of the </w:t>
      </w:r>
      <w:r>
        <w:rPr>
          <w:rFonts w:ascii="Arial" w:cs="Arial" w:eastAsia="Arial" w:hAnsi="Arial"/>
          <w:sz w:val="16"/>
          <w:szCs w:val="16"/>
          <w:i w:val="1"/>
          <w:iCs w:val="1"/>
          <w:color w:val="auto"/>
        </w:rPr>
        <w:t>British Journal of Pharmaceutical and Medical Research</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PH10</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PH10 is an investigational pherine nasal spray designed with a potential rapid-onset mechanism of action (MOA) that is fundamentally differentiated from the MOA of all currently approved treatments for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(ADs) and rapid-onset ketamine-based therapy (KBT), including both intravenous ketamine and intranasal ketamine (esketamine), we believe PH10 does not require systemic uptake to produce rapid-onset of antidepressant effects and does not cause the side effects and safety concerns potentially associated with rapid-onset KBT.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odorless and tasteless investigational neuroactive steroids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project,</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w:t>
      </w:r>
      <w:r>
        <w:rPr>
          <w:rFonts w:ascii="Arial" w:cs="Arial" w:eastAsia="Arial" w:hAnsi="Arial"/>
          <w:sz w:val="16"/>
          <w:szCs w:val="16"/>
          <w:i w:val="1"/>
          <w:iCs w:val="1"/>
          <w:color w:val="auto"/>
        </w:rPr>
        <w:t>strategy,</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strive,</w:t>
      </w:r>
      <w:r>
        <w:rPr>
          <w:rFonts w:ascii="Arial" w:cs="Arial" w:eastAsia="Arial" w:hAnsi="Arial"/>
          <w:sz w:val="16"/>
          <w:szCs w:val="16"/>
          <w:color w:val="auto"/>
        </w:rPr>
        <w:t>” “</w:t>
      </w:r>
      <w:r>
        <w:rPr>
          <w:rFonts w:ascii="Arial" w:cs="Arial" w:eastAsia="Arial" w:hAnsi="Arial"/>
          <w:sz w:val="16"/>
          <w:szCs w:val="16"/>
          <w:i w:val="1"/>
          <w:iCs w:val="1"/>
          <w:color w:val="auto"/>
        </w:rPr>
        <w:t>goal,</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likely,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xml:space="preserve">” </w:t>
      </w:r>
      <w:r>
        <w:rPr>
          <w:rFonts w:ascii="Arial" w:cs="Arial" w:eastAsia="Arial" w:hAnsi="Arial"/>
          <w:sz w:val="16"/>
          <w:szCs w:val="16"/>
          <w:i w:val="1"/>
          <w:iCs w:val="1"/>
          <w:color w:val="auto"/>
        </w:rPr>
        <w:t>and variations of these terms and similar expressions, or the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6"/>
          <w:szCs w:val="16"/>
          <w:color w:val="auto"/>
        </w:rPr>
        <w:t>’</w:t>
      </w:r>
      <w:r>
        <w:rPr>
          <w:rFonts w:ascii="Arial" w:cs="Arial" w:eastAsia="Arial" w:hAnsi="Arial"/>
          <w:sz w:val="16"/>
          <w:szCs w:val="16"/>
          <w:i w:val="1"/>
          <w:iCs w:val="1"/>
          <w:color w:val="auto"/>
        </w:rPr>
        <w:t>s drug candidates will successfully complete ongoing or future clinical trials, receive regulatory approval or be commercially successful. Other factors that may cause such a difference include, without limitation, risks and uncertainties relating to the Company</w:t>
      </w:r>
      <w:r>
        <w:rPr>
          <w:rFonts w:ascii="Arial" w:cs="Arial" w:eastAsia="Arial" w:hAnsi="Arial"/>
          <w:sz w:val="16"/>
          <w:szCs w:val="16"/>
          <w:color w:val="auto"/>
        </w:rPr>
        <w:t>’</w:t>
      </w:r>
      <w:r>
        <w:rPr>
          <w:rFonts w:ascii="Arial" w:cs="Arial" w:eastAsia="Arial" w:hAnsi="Arial"/>
          <w:sz w:val="16"/>
          <w:szCs w:val="16"/>
          <w:i w:val="1"/>
          <w:iCs w:val="1"/>
          <w:color w:val="auto"/>
        </w:rPr>
        <w:t>s ongoing clinical studies of PH94B, PH10 and AV-101; delays in launching, conducting and/or completing ongoing and planned clinical trials, including delays or other adverse effects due to the COVID-19 pandemic; fluctuating costs of materials and other resources required to conduct the Company</w:t>
      </w:r>
      <w:r>
        <w:rPr>
          <w:rFonts w:ascii="Arial" w:cs="Arial" w:eastAsia="Arial" w:hAnsi="Arial"/>
          <w:sz w:val="16"/>
          <w:szCs w:val="16"/>
          <w:color w:val="auto"/>
        </w:rPr>
        <w:t>’</w:t>
      </w:r>
      <w:r>
        <w:rPr>
          <w:rFonts w:ascii="Arial" w:cs="Arial" w:eastAsia="Arial" w:hAnsi="Arial"/>
          <w:sz w:val="16"/>
          <w:szCs w:val="16"/>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6"/>
          <w:szCs w:val="16"/>
          <w:color w:val="auto"/>
        </w:rPr>
        <w:t>’</w:t>
      </w:r>
      <w:r>
        <w:rPr>
          <w:rFonts w:ascii="Arial" w:cs="Arial" w:eastAsia="Arial" w:hAnsi="Arial"/>
          <w:sz w:val="16"/>
          <w:szCs w:val="16"/>
          <w:i w:val="1"/>
          <w:iCs w:val="1"/>
          <w:color w:val="auto"/>
        </w:rPr>
        <w:t>s CNS drug candidates. These risks are more fully discussed in the section entitled "Risk Factors"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Annual Report on Form 10-K for the fiscal year ended March 31, 2022 and in the Company</w:t>
      </w:r>
      <w:r>
        <w:rPr>
          <w:rFonts w:ascii="Arial" w:cs="Arial" w:eastAsia="Arial" w:hAnsi="Arial"/>
          <w:sz w:val="16"/>
          <w:szCs w:val="16"/>
          <w:color w:val="auto"/>
        </w:rPr>
        <w:t>’</w:t>
      </w:r>
      <w:r>
        <w:rPr>
          <w:rFonts w:ascii="Arial" w:cs="Arial" w:eastAsia="Arial" w:hAnsi="Arial"/>
          <w:sz w:val="16"/>
          <w:szCs w:val="16"/>
          <w:i w:val="1"/>
          <w:iCs w:val="1"/>
          <w:color w:val="auto"/>
        </w:rPr>
        <w:t>s most recent Quarterly Report on Form 10-Q for the quarter ended September 30, 2022, as well as discussions of potential risks, uncertainties, and other important factors in our other filings with the U.S. Securities and Exchange Commission (SEC). The Company</w:t>
      </w:r>
      <w:r>
        <w:rPr>
          <w:rFonts w:ascii="Arial" w:cs="Arial" w:eastAsia="Arial" w:hAnsi="Arial"/>
          <w:sz w:val="16"/>
          <w:szCs w:val="16"/>
          <w:color w:val="auto"/>
        </w:rPr>
        <w:t>’</w:t>
      </w:r>
      <w:r>
        <w:rPr>
          <w:rFonts w:ascii="Arial" w:cs="Arial" w:eastAsia="Arial" w:hAnsi="Arial"/>
          <w:sz w:val="16"/>
          <w:szCs w:val="16"/>
          <w:i w:val="1"/>
          <w:iCs w:val="1"/>
          <w:color w:val="auto"/>
        </w:rPr>
        <w:t>s SEC filings are available on the SEC</w:t>
      </w:r>
      <w:r>
        <w:rPr>
          <w:rFonts w:ascii="Arial" w:cs="Arial" w:eastAsia="Arial" w:hAnsi="Arial"/>
          <w:sz w:val="16"/>
          <w:szCs w:val="16"/>
          <w:color w:val="auto"/>
        </w:rPr>
        <w:t>’</w:t>
      </w:r>
      <w:r>
        <w:rPr>
          <w:rFonts w:ascii="Arial" w:cs="Arial" w:eastAsia="Arial" w:hAnsi="Arial"/>
          <w:sz w:val="16"/>
          <w:szCs w:val="16"/>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6"/>
          <w:szCs w:val="16"/>
          <w:color w:val="auto"/>
        </w:rPr>
        <w:t>’</w:t>
      </w:r>
      <w:r>
        <w:rPr>
          <w:rFonts w:ascii="Arial" w:cs="Arial" w:eastAsia="Arial" w:hAnsi="Arial"/>
          <w:sz w:val="16"/>
          <w:szCs w:val="16"/>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Flather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mflather@vistagen.com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nhitchings@skdknick.com</w:t>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2022-12-01T05:35:27Z</dcterms:created>
  <dcterms:modified xsi:type="dcterms:W3CDTF">2022-12-01T05:35:27Z</dcterms:modified>
</cp:coreProperties>
</file>