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7,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445" w:right="339" w:bottom="1440" w:gutter="0" w:footer="0" w:header="0"/>
        </w:sectPr>
      </w:pPr>
    </w:p>
    <w:p>
      <w:pPr>
        <w:spacing w:after="0" w:line="207"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102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54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4360" w:space="720"/>
            <w:col w:w="3000" w:space="720"/>
            <w:col w:w="2440"/>
          </w:cols>
          <w:pgMar w:left="320" w:top="445"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445"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225" w:lineRule="exact"/>
        <w:rPr>
          <w:rFonts w:ascii="MS PGothic" w:cs="MS PGothic" w:eastAsia="MS PGothic" w:hAnsi="MS PGothic"/>
          <w:sz w:val="18"/>
          <w:szCs w:val="18"/>
          <w:color w:val="auto"/>
        </w:rPr>
      </w:pPr>
    </w:p>
    <w:p>
      <w:pPr>
        <w:ind w:right="2940" w:firstLine="8"/>
        <w:spacing w:after="0" w:line="500" w:lineRule="auto"/>
        <w:tabs>
          <w:tab w:leader="none" w:pos="2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380" w:type="dxa"/>
            <w:vAlign w:val="bottom"/>
          </w:tcPr>
          <w:p>
            <w:pPr>
              <w:jc w:val="center"/>
              <w:ind w:left="130"/>
              <w:spacing w:after="0"/>
              <w:rPr>
                <w:sz w:val="20"/>
                <w:szCs w:val="20"/>
                <w:color w:val="auto"/>
              </w:rPr>
            </w:pPr>
            <w:r>
              <w:rPr>
                <w:rFonts w:ascii="Arial" w:cs="Arial" w:eastAsia="Arial" w:hAnsi="Arial"/>
                <w:sz w:val="18"/>
                <w:szCs w:val="18"/>
                <w:color w:val="auto"/>
                <w:w w:val="89"/>
              </w:rPr>
              <w:t>Common Stock, par value $0.001 per share</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VTGN</w:t>
            </w:r>
          </w:p>
        </w:tc>
        <w:tc>
          <w:tcPr>
            <w:tcW w:w="4460" w:type="dxa"/>
            <w:vAlign w:val="bottom"/>
          </w:tcPr>
          <w:p>
            <w:pPr>
              <w:jc w:val="center"/>
              <w:ind w:right="13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ind w:right="1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7, 2023, 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announced that Jerrold D. Dotson, CPA, Vice President and Chief Financial Officer (principal financial and accounting officer), intends to retire from the Company on or about August 31, 2023. Mr. Dotson’s retirement is not the result of any disagreement between Mr. Dotson and the Company on any matter relating to the Company’s operations, policies or practices. He will continue to serve in his current role until the earlier of his retirement date or the appointment date of his successor.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of the Company has identified a potential successor for Mr. Dotson, subject to the completion of certain customary onboarding activities. The Company will announce Mr. Dotson’s successor upon appointment.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80" w:type="dxa"/>
            <w:vAlign w:val="bottom"/>
          </w:tcPr>
          <w:p>
            <w:pPr>
              <w:spacing w:after="0"/>
              <w:rPr>
                <w:sz w:val="20"/>
                <w:szCs w:val="20"/>
                <w:color w:val="auto"/>
              </w:rPr>
            </w:pPr>
          </w:p>
        </w:tc>
        <w:tc>
          <w:tcPr>
            <w:tcW w:w="9680" w:type="dxa"/>
            <w:vAlign w:val="bottom"/>
            <w:tcBorders>
              <w:bottom w:val="single" w:sz="8" w:color="auto"/>
            </w:tcBorders>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480" w:type="dxa"/>
            <w:vAlign w:val="bottom"/>
          </w:tcPr>
          <w:p>
            <w:pPr>
              <w:jc w:val="right"/>
              <w:ind w:right="510"/>
              <w:spacing w:after="0"/>
              <w:rPr>
                <w:sz w:val="20"/>
                <w:szCs w:val="20"/>
                <w:color w:val="auto"/>
              </w:rPr>
            </w:pPr>
            <w:r>
              <w:rPr>
                <w:rFonts w:ascii="Arial" w:cs="Arial" w:eastAsia="Arial" w:hAnsi="Arial"/>
                <w:sz w:val="18"/>
                <w:szCs w:val="18"/>
                <w:color w:val="auto"/>
              </w:rPr>
              <w:t>104</w:t>
            </w:r>
          </w:p>
        </w:tc>
        <w:tc>
          <w:tcPr>
            <w:tcW w:w="9760" w:type="dxa"/>
            <w:vAlign w:val="bottom"/>
            <w:gridSpan w:val="2"/>
          </w:tcPr>
          <w:p>
            <w:pPr>
              <w:ind w:left="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6400" w:type="dxa"/>
            <w:vAlign w:val="bottom"/>
            <w:gridSpan w:val="2"/>
          </w:tcPr>
          <w:p>
            <w:pPr>
              <w:ind w:left="2140"/>
              <w:spacing w:after="0"/>
              <w:rPr>
                <w:sz w:val="20"/>
                <w:szCs w:val="20"/>
                <w:color w:val="auto"/>
              </w:rPr>
            </w:pPr>
            <w:r>
              <w:rPr>
                <w:rFonts w:ascii="Arial" w:cs="Arial" w:eastAsia="Arial" w:hAnsi="Arial"/>
                <w:sz w:val="18"/>
                <w:szCs w:val="18"/>
                <w:color w:val="auto"/>
              </w:rPr>
              <w:t>Vistagen Therapeutics,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July 7, 2023</w:t>
            </w:r>
          </w:p>
        </w:tc>
        <w:tc>
          <w:tcPr>
            <w:tcW w:w="6400" w:type="dxa"/>
            <w:vAlign w:val="bottom"/>
            <w:gridSpan w:val="2"/>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0920"/>
      </w:cols>
      <w:pgMar w:left="320" w:top="58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2023-07-07T15:36:39Z</dcterms:created>
  <dcterms:modified xsi:type="dcterms:W3CDTF">2023-07-07T15:36:39Z</dcterms:modified>
</cp:coreProperties>
</file>