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HorizontalLine"/>
        <w:pBdr>
          <w:bottom w:val="single" w:sz="24" w:space="0" w:color="808080"/>
        </w:pBdr>
        <w:rPr/>
      </w:pPr>
      <w:r>
        <w:rPr/>
      </w:r>
      <w:bookmarkStart w:id="0" w:name="form8k-01102013_040102.htm"/>
      <w:bookmarkStart w:id="1" w:name="ksform8k01102013_040102"/>
      <w:bookmarkStart w:id="2" w:name="form8k-01102013_040102.htm"/>
      <w:bookmarkStart w:id="3" w:name="ksform8k01102013_040102"/>
      <w:bookmarkEnd w:id="2"/>
      <w:bookmarkEnd w:id="3"/>
    </w:p>
    <w:p>
      <w:pPr>
        <w:pStyle w:val="HorizontalLine"/>
        <w:pBdr>
          <w:bottom w:val="single" w:sz="6" w:space="0" w:color="808080"/>
        </w:pBdr>
        <w:rPr/>
      </w:pPr>
      <w:r>
        <w:rPr/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jc w:val="center"/>
        <w:rPr>
          <w:rFonts w:ascii="Times New Roman" w:hAnsi="Times New Roman"/>
          <w:b/>
          <w:sz w:val="17"/>
        </w:rPr>
      </w:pPr>
      <w:r>
        <w:rPr>
          <w:rFonts w:ascii="Times New Roman" w:hAnsi="Times New Roman"/>
          <w:b/>
          <w:sz w:val="17"/>
        </w:rPr>
        <w:t>UNITED STATES</w:t>
      </w:r>
    </w:p>
    <w:p>
      <w:pPr>
        <w:pStyle w:val="TextBody"/>
        <w:spacing w:before="0" w:after="0"/>
        <w:ind w:left="0" w:right="0" w:hanging="0"/>
        <w:jc w:val="center"/>
        <w:rPr>
          <w:rFonts w:ascii="Times New Roman" w:hAnsi="Times New Roman"/>
          <w:b/>
          <w:sz w:val="17"/>
        </w:rPr>
      </w:pPr>
      <w:r>
        <w:rPr>
          <w:rFonts w:ascii="Times New Roman" w:hAnsi="Times New Roman"/>
          <w:b/>
          <w:sz w:val="17"/>
        </w:rPr>
        <w:t>SECURITIES AND EXCHANGE COMMISSION</w:t>
      </w:r>
    </w:p>
    <w:p>
      <w:pPr>
        <w:pStyle w:val="TextBody"/>
        <w:spacing w:before="0" w:after="0"/>
        <w:ind w:left="0" w:right="0" w:hanging="0"/>
        <w:jc w:val="center"/>
        <w:rPr>
          <w:rFonts w:ascii="Times New Roman" w:hAnsi="Times New Roman"/>
          <w:b/>
          <w:sz w:val="17"/>
        </w:rPr>
      </w:pPr>
      <w:r>
        <w:rPr>
          <w:rFonts w:ascii="Times New Roman" w:hAnsi="Times New Roman"/>
          <w:b/>
          <w:sz w:val="17"/>
        </w:rPr>
        <w:t>Washington, DC 20549</w:t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ind w:left="0" w:right="0" w:hanging="0"/>
        <w:jc w:val="center"/>
        <w:rPr>
          <w:rFonts w:ascii="Times New Roman" w:hAnsi="Times New Roman"/>
          <w:b/>
          <w:sz w:val="17"/>
        </w:rPr>
      </w:pPr>
      <w:r>
        <w:rPr>
          <w:rFonts w:ascii="Times New Roman" w:hAnsi="Times New Roman"/>
          <w:b/>
          <w:sz w:val="17"/>
        </w:rPr>
        <w:t>FORM 8-K</w:t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ind w:left="0" w:right="0" w:hanging="0"/>
        <w:jc w:val="center"/>
        <w:rPr>
          <w:rFonts w:ascii="Times New Roman" w:hAnsi="Times New Roman"/>
          <w:b/>
          <w:sz w:val="17"/>
        </w:rPr>
      </w:pPr>
      <w:r>
        <w:rPr>
          <w:rFonts w:ascii="Times New Roman" w:hAnsi="Times New Roman"/>
          <w:b/>
          <w:sz w:val="17"/>
        </w:rPr>
        <w:t>CURRENT REPORT</w:t>
      </w:r>
    </w:p>
    <w:p>
      <w:pPr>
        <w:pStyle w:val="TextBody"/>
        <w:spacing w:before="0" w:after="0"/>
        <w:ind w:left="0" w:right="0" w:hanging="0"/>
        <w:jc w:val="center"/>
        <w:rPr>
          <w:rFonts w:ascii="Times New Roman" w:hAnsi="Times New Roman"/>
          <w:b/>
          <w:sz w:val="17"/>
        </w:rPr>
      </w:pPr>
      <w:r>
        <w:rPr>
          <w:rFonts w:ascii="Times New Roman" w:hAnsi="Times New Roman"/>
          <w:b/>
          <w:sz w:val="17"/>
        </w:rPr>
        <w:t>Pursuant to Section 13 or 15(d) of the</w:t>
      </w:r>
    </w:p>
    <w:p>
      <w:pPr>
        <w:pStyle w:val="TextBody"/>
        <w:spacing w:before="0" w:after="0"/>
        <w:ind w:left="0" w:right="0" w:hanging="0"/>
        <w:jc w:val="center"/>
        <w:rPr>
          <w:rFonts w:ascii="Times New Roman" w:hAnsi="Times New Roman"/>
          <w:b/>
          <w:sz w:val="17"/>
        </w:rPr>
      </w:pPr>
      <w:r>
        <w:rPr>
          <w:rFonts w:ascii="Times New Roman" w:hAnsi="Times New Roman"/>
          <w:b/>
          <w:sz w:val="17"/>
        </w:rPr>
        <w:t>Securities Exchange Act of 1934</w:t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ind w:left="0" w:right="0" w:hanging="0"/>
        <w:jc w:val="center"/>
        <w:rPr/>
      </w:pPr>
      <w:r>
        <w:rPr>
          <w:rFonts w:ascii="Times New Roman" w:hAnsi="Times New Roman"/>
          <w:sz w:val="17"/>
        </w:rPr>
        <w:t>Date of report (Date of earliest event reported):  </w:t>
      </w:r>
      <w:r>
        <w:rPr>
          <w:rFonts w:ascii="Times New Roman" w:hAnsi="Times New Roman"/>
          <w:sz w:val="17"/>
          <w:u w:val="single"/>
        </w:rPr>
        <w:t>January 6, 2013</w:t>
      </w:r>
      <w:r>
        <w:rPr/>
        <w:t xml:space="preserve"> </w:t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ind w:left="0" w:right="0" w:hanging="0"/>
        <w:jc w:val="center"/>
        <w:rPr/>
      </w:pPr>
      <w:r>
        <w:rPr>
          <w:rFonts w:ascii="Times New Roman" w:hAnsi="Times New Roman"/>
          <w:sz w:val="17"/>
        </w:rPr>
        <w:t>Commission File Number:  </w:t>
      </w:r>
      <w:r>
        <w:rPr>
          <w:rFonts w:ascii="Times New Roman" w:hAnsi="Times New Roman"/>
          <w:sz w:val="17"/>
          <w:u w:val="single"/>
        </w:rPr>
        <w:t xml:space="preserve">000-54014 </w:t>
      </w:r>
    </w:p>
    <w:p>
      <w:pPr>
        <w:pStyle w:val="TextBody"/>
        <w:spacing w:before="0" w:after="0"/>
        <w:ind w:left="0" w:right="0" w:hanging="0"/>
        <w:rPr/>
      </w:pPr>
      <w:r>
        <w:rPr/>
      </w:r>
    </w:p>
    <w:p>
      <w:pPr>
        <w:pStyle w:val="TextBody"/>
        <w:spacing w:before="0" w:after="0"/>
        <w:ind w:left="0" w:right="0" w:hanging="0"/>
        <w:jc w:val="center"/>
        <w:rPr/>
      </w:pPr>
      <w:r>
        <w:rPr>
          <w:rFonts w:ascii="Times New Roman" w:hAnsi="Times New Roman"/>
          <w:b/>
          <w:sz w:val="24"/>
        </w:rPr>
        <w:t>VistaGen Therapeutics, Inc.</w:t>
      </w:r>
      <w:r>
        <w:rPr/>
        <w:br/>
      </w:r>
      <w:r>
        <w:rPr>
          <w:rFonts w:ascii="Times New Roman" w:hAnsi="Times New Roman"/>
          <w:sz w:val="17"/>
        </w:rPr>
        <w:t>(Exact name of small business issuer as specified in its charter)</w:t>
      </w:r>
      <w:r>
        <w:rPr/>
        <w:t xml:space="preserve"> </w:t>
      </w:r>
    </w:p>
    <w:p>
      <w:pPr>
        <w:pStyle w:val="TextBody"/>
        <w:spacing w:before="0" w:after="0"/>
        <w:ind w:left="0" w:right="0" w:hanging="0"/>
        <w:jc w:val="center"/>
        <w:rPr/>
      </w:pPr>
      <w:r>
        <w:rPr/>
      </w:r>
    </w:p>
    <w:p>
      <w:pPr>
        <w:pStyle w:val="TextBody"/>
        <w:spacing w:before="0" w:after="0"/>
        <w:ind w:left="0" w:right="0" w:hanging="0"/>
        <w:jc w:val="center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3175000" cy="296545"/>
                <wp:effectExtent l="0" t="0" r="0" b="0"/>
                <wp:wrapSquare wrapText="largest"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0" cy="29654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0"/>
                              <w:ind w:left="0" w:right="0" w:hanging="0"/>
                              <w:jc w:val="center"/>
                              <w:rPr/>
                            </w:pPr>
                            <w:r>
                              <w:rPr>
                                <w:rFonts w:ascii="times new roman" w:hAnsi="times new roman"/>
                                <w:sz w:val="17"/>
                                <w:u w:val="single"/>
                              </w:rPr>
                              <w:t>Nevada</w:t>
                            </w:r>
                            <w:r>
                              <w:rPr/>
                              <w:br/>
                            </w:r>
                            <w:r>
                              <w:rPr>
                                <w:rFonts w:ascii="times new roman" w:hAnsi="times new roman"/>
                                <w:sz w:val="17"/>
                              </w:rPr>
                              <w:t>(State or other jurisdiction of incorporation or organization)</w:t>
                            </w:r>
                            <w:r>
                              <w:rPr/>
                              <w:t xml:space="preserve">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49000</wp14:pctWidth>
                </wp14:sizeRelH>
              </wp:anchor>
            </w:drawing>
          </mc:Choice>
          <mc:Fallback>
            <w:pict>
              <v:rect style="position:absolute;rotation:0;width:250pt;height:23.3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0"/>
                        <w:ind w:left="0" w:right="0" w:hanging="0"/>
                        <w:jc w:val="center"/>
                        <w:rPr/>
                      </w:pPr>
                      <w:r>
                        <w:rPr>
                          <w:rFonts w:ascii="times new roman" w:hAnsi="times new roman"/>
                          <w:sz w:val="17"/>
                          <w:u w:val="single"/>
                        </w:rPr>
                        <w:t>Nevada</w:t>
                      </w:r>
                      <w:r>
                        <w:rPr/>
                        <w:br/>
                      </w:r>
                      <w:r>
                        <w:rPr>
                          <w:rFonts w:ascii="times new roman" w:hAnsi="times new roman"/>
                          <w:sz w:val="17"/>
                        </w:rPr>
                        <w:t>(State or other jurisdiction of incorporation or organization)</w:t>
                      </w:r>
                      <w:r>
                        <w:rPr/>
                        <w:t xml:space="preserve"> 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3175000" cy="296545"/>
                <wp:effectExtent l="0" t="0" r="0" b="0"/>
                <wp:wrapSquare wrapText="largest"/>
                <wp:docPr id="2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0" cy="29654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0"/>
                              <w:ind w:left="0" w:right="0" w:hanging="0"/>
                              <w:jc w:val="center"/>
                              <w:rPr/>
                            </w:pPr>
                            <w:r>
                              <w:rPr>
                                <w:rFonts w:ascii="times new roman" w:hAnsi="times new roman"/>
                                <w:sz w:val="17"/>
                                <w:u w:val="single"/>
                              </w:rPr>
                              <w:t>205093315</w:t>
                            </w:r>
                            <w:r>
                              <w:rPr/>
                              <w:br/>
                            </w:r>
                            <w:r>
                              <w:rPr>
                                <w:rFonts w:ascii="times new roman" w:hAnsi="times new roman"/>
                                <w:sz w:val="17"/>
                              </w:rPr>
                              <w:t>(IRS Employer Identification No.)</w:t>
                            </w:r>
                            <w:r>
                              <w:rPr/>
                              <w:t xml:space="preserve">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49000</wp14:pctWidth>
                </wp14:sizeRelH>
              </wp:anchor>
            </w:drawing>
          </mc:Choice>
          <mc:Fallback>
            <w:pict>
              <v:rect style="position:absolute;rotation:0;width:250pt;height:23.35pt;mso-wrap-distance-left:0pt;mso-wrap-distance-right:0pt;mso-wrap-distance-top:0pt;mso-wrap-distance-bottom:0pt;margin-top:0pt;mso-position-vertical:top;mso-position-vertical-relative:text;margin-left:25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0"/>
                        <w:ind w:left="0" w:right="0" w:hanging="0"/>
                        <w:jc w:val="center"/>
                        <w:rPr/>
                      </w:pPr>
                      <w:r>
                        <w:rPr>
                          <w:rFonts w:ascii="times new roman" w:hAnsi="times new roman"/>
                          <w:sz w:val="17"/>
                          <w:u w:val="single"/>
                        </w:rPr>
                        <w:t>205093315</w:t>
                      </w:r>
                      <w:r>
                        <w:rPr/>
                        <w:br/>
                      </w:r>
                      <w:r>
                        <w:rPr>
                          <w:rFonts w:ascii="times new roman" w:hAnsi="times new roman"/>
                          <w:sz w:val="17"/>
                        </w:rPr>
                        <w:t>(IRS Employer Identification No.)</w:t>
                      </w:r>
                      <w:r>
                        <w:rPr/>
                        <w:t xml:space="preserve"> 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TextBody"/>
        <w:spacing w:before="0" w:after="0"/>
        <w:ind w:left="0" w:right="0" w:hanging="0"/>
        <w:jc w:val="center"/>
        <w:rPr/>
      </w:pPr>
      <w:r>
        <w:rPr/>
      </w:r>
    </w:p>
    <w:p>
      <w:pPr>
        <w:pStyle w:val="TextBody"/>
        <w:spacing w:before="0" w:after="0"/>
        <w:ind w:left="0" w:right="0" w:hanging="0"/>
        <w:jc w:val="center"/>
        <w:rPr/>
      </w:pPr>
      <w:r>
        <w:rPr/>
      </w:r>
    </w:p>
    <w:p>
      <w:pPr>
        <w:pStyle w:val="TextBody"/>
        <w:spacing w:before="0" w:after="0"/>
        <w:ind w:left="0" w:right="0" w:hanging="0"/>
        <w:jc w:val="center"/>
        <w:rPr/>
      </w:pPr>
      <w:r>
        <w:rPr>
          <w:rFonts w:ascii="times new roman" w:hAnsi="times new roman"/>
          <w:sz w:val="17"/>
          <w:u w:val="single"/>
        </w:rPr>
        <w:t>384 Oyster Point Blvd, No. 8, South San Francisco, California 94080</w:t>
      </w:r>
      <w:r>
        <w:rPr/>
        <w:br/>
      </w:r>
      <w:r>
        <w:rPr>
          <w:rFonts w:ascii="Times New Roman" w:hAnsi="Times New Roman"/>
          <w:sz w:val="17"/>
        </w:rPr>
        <w:t>(Address of principal executive offices)</w:t>
      </w:r>
      <w:r>
        <w:rPr/>
        <w:t xml:space="preserve"> </w:t>
      </w:r>
    </w:p>
    <w:p>
      <w:pPr>
        <w:pStyle w:val="TextBody"/>
        <w:spacing w:before="0" w:after="0"/>
        <w:ind w:left="0" w:right="0" w:hanging="0"/>
        <w:jc w:val="center"/>
        <w:rPr/>
      </w:pPr>
      <w:r>
        <w:rPr/>
      </w:r>
    </w:p>
    <w:p>
      <w:pPr>
        <w:pStyle w:val="TextBody"/>
        <w:spacing w:before="0" w:after="0"/>
        <w:ind w:left="0" w:right="0" w:hanging="0"/>
        <w:jc w:val="center"/>
        <w:rPr/>
      </w:pPr>
      <w:r>
        <w:rPr>
          <w:rFonts w:ascii="times new roman" w:hAnsi="times new roman"/>
          <w:sz w:val="17"/>
          <w:u w:val="single"/>
        </w:rPr>
        <w:t>650-244-9990</w:t>
      </w:r>
      <w:r>
        <w:rPr/>
        <w:br/>
      </w:r>
      <w:r>
        <w:rPr>
          <w:rFonts w:ascii="Times New Roman" w:hAnsi="Times New Roman"/>
          <w:sz w:val="17"/>
        </w:rPr>
        <w:t>(Registrant's Telephone number)</w:t>
      </w:r>
      <w:r>
        <w:rPr/>
        <w:t xml:space="preserve"> </w:t>
      </w:r>
    </w:p>
    <w:p>
      <w:pPr>
        <w:pStyle w:val="TextBody"/>
        <w:spacing w:before="0" w:after="0"/>
        <w:ind w:left="0" w:right="0" w:hanging="0"/>
        <w:jc w:val="center"/>
        <w:rPr/>
      </w:pPr>
      <w:r>
        <w:rPr/>
      </w:r>
    </w:p>
    <w:p>
      <w:pPr>
        <w:pStyle w:val="TextBody"/>
        <w:spacing w:before="0" w:after="0"/>
        <w:ind w:left="0" w:right="0" w:hanging="0"/>
        <w:jc w:val="center"/>
        <w:rPr/>
      </w:pPr>
      <w:r>
        <w:rPr>
          <w:rFonts w:ascii="Times New Roman" w:hAnsi="Times New Roman"/>
          <w:sz w:val="17"/>
          <w:u w:val="single"/>
        </w:rPr>
        <w:t>Not Applicable</w:t>
      </w:r>
      <w:r>
        <w:rPr/>
        <w:br/>
      </w:r>
      <w:r>
        <w:rPr>
          <w:rFonts w:ascii="Times New Roman" w:hAnsi="Times New Roman"/>
          <w:sz w:val="17"/>
        </w:rPr>
        <w:t>(Former Name or Former Address, if Changed Since Last Report)</w:t>
      </w:r>
      <w:r>
        <w:rPr/>
        <w:t xml:space="preserve"> </w:t>
      </w:r>
    </w:p>
    <w:p>
      <w:pPr>
        <w:pStyle w:val="TextBody"/>
        <w:spacing w:before="0" w:after="0"/>
        <w:ind w:left="0" w:right="0" w:hanging="0"/>
        <w:jc w:val="center"/>
        <w:rPr/>
      </w:pPr>
      <w:r>
        <w:rPr/>
      </w:r>
    </w:p>
    <w:p>
      <w:pPr>
        <w:pStyle w:val="TextBody"/>
        <w:spacing w:before="0" w:after="0"/>
        <w:ind w:left="0" w:right="0" w:hanging="0"/>
        <w:jc w:val="center"/>
        <w:rPr/>
      </w:pPr>
      <w:r>
        <w:rPr/>
      </w:r>
    </w:p>
    <w:p>
      <w:pPr>
        <w:pStyle w:val="TextBody"/>
        <w:spacing w:before="0" w:after="0"/>
        <w:ind w:left="0" w:right="0" w:hanging="0"/>
        <w:jc w:val="both"/>
        <w:rPr/>
      </w:pPr>
      <w:r>
        <w:rPr>
          <w:rFonts w:ascii="Times New Roman" w:hAnsi="Times New Roman"/>
          <w:sz w:val="17"/>
        </w:rPr>
        <w:t>Check the appropriate box below if the Form 8-K filing is intended to simultaneously satisfy the filing obligation of the registrant under any of the following provisions (see General Instruction A.2. below):</w:t>
      </w:r>
      <w:r>
        <w:rPr/>
        <w:t xml:space="preserve"> </w:t>
      </w:r>
    </w:p>
    <w:p>
      <w:pPr>
        <w:pStyle w:val="TextBody"/>
        <w:spacing w:before="0" w:after="0"/>
        <w:ind w:left="0" w:right="0" w:hanging="0"/>
        <w:jc w:val="center"/>
        <w:rPr/>
      </w:pPr>
      <w:r>
        <w:rPr/>
      </w:r>
    </w:p>
    <w:p>
      <w:pPr>
        <w:pStyle w:val="TextBody"/>
        <w:spacing w:before="0" w:after="0"/>
        <w:ind w:left="0" w:right="0" w:hanging="0"/>
        <w:jc w:val="left"/>
        <w:rPr>
          <w:rFonts w:ascii="Times New Roman" w:hAnsi="Times New Roman"/>
          <w:sz w:val="17"/>
        </w:rPr>
      </w:pPr>
      <w:r>
        <w:rPr>
          <w:rFonts w:ascii="Times New Roman" w:hAnsi="Times New Roman"/>
          <w:sz w:val="17"/>
        </w:rPr>
        <w:t>[ ] Written communications pursuant to Rule 425 under the Securities Act (17 CFR 230.425)</w:t>
      </w:r>
    </w:p>
    <w:p>
      <w:pPr>
        <w:pStyle w:val="TextBody"/>
        <w:spacing w:before="0" w:after="0"/>
        <w:ind w:left="0" w:right="0" w:hanging="0"/>
        <w:jc w:val="center"/>
        <w:rPr/>
      </w:pPr>
      <w:r>
        <w:rPr/>
      </w:r>
    </w:p>
    <w:p>
      <w:pPr>
        <w:pStyle w:val="TextBody"/>
        <w:spacing w:before="0" w:after="0"/>
        <w:ind w:left="0" w:right="0" w:hanging="0"/>
        <w:jc w:val="left"/>
        <w:rPr>
          <w:rFonts w:ascii="Times New Roman" w:hAnsi="Times New Roman"/>
          <w:sz w:val="17"/>
        </w:rPr>
      </w:pPr>
      <w:r>
        <w:rPr>
          <w:rFonts w:ascii="Times New Roman" w:hAnsi="Times New Roman"/>
          <w:sz w:val="17"/>
        </w:rPr>
        <w:t>[ ] Soliciting material pursuant to Rule 14a-12 under the Exchange Act (17 CFR 240.14a-12)</w:t>
      </w:r>
    </w:p>
    <w:p>
      <w:pPr>
        <w:pStyle w:val="TextBody"/>
        <w:spacing w:before="0" w:after="0"/>
        <w:ind w:left="0" w:right="0" w:hanging="0"/>
        <w:jc w:val="center"/>
        <w:rPr/>
      </w:pPr>
      <w:r>
        <w:rPr/>
      </w:r>
    </w:p>
    <w:p>
      <w:pPr>
        <w:pStyle w:val="TextBody"/>
        <w:spacing w:before="0" w:after="0"/>
        <w:ind w:left="0" w:right="0" w:hanging="0"/>
        <w:jc w:val="left"/>
        <w:rPr>
          <w:rFonts w:ascii="Times New Roman" w:hAnsi="Times New Roman"/>
          <w:sz w:val="17"/>
        </w:rPr>
      </w:pPr>
      <w:r>
        <w:rPr>
          <w:rFonts w:ascii="Times New Roman" w:hAnsi="Times New Roman"/>
          <w:sz w:val="17"/>
        </w:rPr>
        <w:t>[ ] Pre-commencement communications pursuant to Rule 14d-2(b) under the Exchange Act (17 CFR 240.14d-2(b))</w:t>
      </w:r>
    </w:p>
    <w:p>
      <w:pPr>
        <w:pStyle w:val="TextBody"/>
        <w:spacing w:before="0" w:after="0"/>
        <w:ind w:left="0" w:right="0" w:hanging="0"/>
        <w:jc w:val="center"/>
        <w:rPr/>
      </w:pPr>
      <w:r>
        <w:rPr/>
      </w:r>
    </w:p>
    <w:p>
      <w:pPr>
        <w:pStyle w:val="TextBody"/>
        <w:spacing w:before="0" w:after="0"/>
        <w:ind w:left="0" w:right="0" w:hanging="0"/>
        <w:jc w:val="left"/>
        <w:rPr>
          <w:rFonts w:ascii="Times New Roman" w:hAnsi="Times New Roman"/>
          <w:sz w:val="17"/>
        </w:rPr>
      </w:pPr>
      <w:r>
        <w:rPr>
          <w:rFonts w:ascii="Times New Roman" w:hAnsi="Times New Roman"/>
          <w:sz w:val="17"/>
        </w:rPr>
        <w:t>[ ] Pre-commencement communications pursuant to Rule 13e-4(c) under the Exchange Act (17 CFR 240.13e-4(c))</w:t>
      </w:r>
    </w:p>
    <w:p>
      <w:pPr>
        <w:pStyle w:val="TextBody"/>
        <w:spacing w:before="0" w:after="0"/>
        <w:jc w:val="center"/>
        <w:rPr/>
      </w:pPr>
      <w:r>
        <w:rPr/>
      </w:r>
    </w:p>
    <w:p>
      <w:pPr>
        <w:pStyle w:val="HorizontalLine"/>
        <w:pBdr>
          <w:bottom w:val="single" w:sz="6" w:space="0" w:color="808080"/>
        </w:pBdr>
        <w:jc w:val="center"/>
        <w:rPr/>
      </w:pPr>
      <w:r>
        <w:rPr/>
      </w:r>
    </w:p>
    <w:p>
      <w:pPr>
        <w:pStyle w:val="HorizontalLine"/>
        <w:pBdr>
          <w:bottom w:val="single" w:sz="24" w:space="0" w:color="808080"/>
        </w:pBdr>
        <w:jc w:val="center"/>
        <w:rPr/>
      </w:pPr>
      <w:r>
        <w:rPr/>
      </w:r>
      <w:r>
        <w:br w:type="page"/>
      </w:r>
    </w:p>
    <w:p>
      <w:pPr>
        <w:pStyle w:val="TextBody"/>
        <w:jc w:val="left"/>
        <w:rPr>
          <w:rFonts w:ascii="Times New Roman" w:hAnsi="Times New Roman"/>
          <w:b/>
          <w:sz w:val="17"/>
        </w:rPr>
      </w:pPr>
      <w:r>
        <w:rPr>
          <w:rFonts w:ascii="Times New Roman" w:hAnsi="Times New Roman"/>
          <w:b/>
          <w:sz w:val="17"/>
        </w:rPr>
        <w:t>Item 5.02 Departure of Directors or Principal Officers; Election of Directors; Appointment of Principal Officers.</w:t>
      </w:r>
    </w:p>
    <w:p>
      <w:pPr>
        <w:pStyle w:val="TextBody"/>
        <w:jc w:val="left"/>
        <w:rPr>
          <w:rFonts w:ascii="Times New Roman" w:hAnsi="Times New Roman"/>
          <w:sz w:val="17"/>
        </w:rPr>
      </w:pPr>
      <w:r>
        <w:rPr>
          <w:rFonts w:ascii="Times New Roman" w:hAnsi="Times New Roman"/>
          <w:sz w:val="17"/>
        </w:rPr>
        <w:t xml:space="preserve">Effective January 6, 2013, Gregory A. Bonfiglio, a member of the Company's Board of Directors since 2007, resigned from his position as a Director and member of the Audit Committee to perform his new full-time responsibilities as managing principal of a recently-formed, privately-held hedge fund. </w:t>
      </w:r>
    </w:p>
    <w:p>
      <w:pPr>
        <w:pStyle w:val="HorizontalLine"/>
        <w:pBdr>
          <w:bottom w:val="single" w:sz="12" w:space="0" w:color="808080"/>
        </w:pBdr>
        <w:jc w:val="center"/>
        <w:rPr/>
      </w:pPr>
      <w:r>
        <w:rPr/>
      </w:r>
      <w:r>
        <w:br w:type="page"/>
      </w:r>
    </w:p>
    <w:p>
      <w:pPr>
        <w:pStyle w:val="TextBody"/>
        <w:spacing w:before="0" w:after="0"/>
        <w:ind w:left="0" w:right="0" w:hanging="0"/>
        <w:jc w:val="center"/>
        <w:rPr>
          <w:rFonts w:ascii="Times New Roman" w:hAnsi="Times New Roman"/>
          <w:b/>
          <w:sz w:val="17"/>
        </w:rPr>
      </w:pPr>
      <w:r>
        <w:rPr>
          <w:rFonts w:ascii="Times New Roman" w:hAnsi="Times New Roman"/>
          <w:b/>
          <w:sz w:val="17"/>
        </w:rPr>
        <w:t xml:space="preserve">SIGNATURES </w:t>
      </w:r>
    </w:p>
    <w:p>
      <w:pPr>
        <w:pStyle w:val="TextBody"/>
        <w:spacing w:before="0" w:after="0"/>
        <w:ind w:left="0" w:right="0" w:hanging="0"/>
        <w:jc w:val="center"/>
        <w:rPr/>
      </w:pPr>
      <w:r>
        <w:rPr/>
        <w:t> </w:t>
      </w:r>
    </w:p>
    <w:p>
      <w:pPr>
        <w:pStyle w:val="TextBody"/>
        <w:spacing w:before="0" w:after="0"/>
        <w:ind w:left="0" w:right="0" w:hanging="0"/>
        <w:jc w:val="both"/>
        <w:rPr>
          <w:rFonts w:ascii="Times New Roman" w:hAnsi="Times New Roman"/>
          <w:sz w:val="17"/>
        </w:rPr>
      </w:pPr>
      <w:r>
        <w:rPr>
          <w:rFonts w:ascii="Times New Roman" w:hAnsi="Times New Roman"/>
          <w:sz w:val="17"/>
        </w:rPr>
        <w:t xml:space="preserve">Pursuant to the requirements of the Securities Exchange Act of 1934, the registrant has duly caused this report to be signed on its behalf by the undersigned hereunto duly authorized. </w:t>
      </w:r>
    </w:p>
    <w:p>
      <w:pPr>
        <w:pStyle w:val="TextBody"/>
        <w:spacing w:before="0" w:after="0"/>
        <w:ind w:left="0" w:right="0" w:hanging="0"/>
        <w:jc w:val="center"/>
        <w:rPr/>
      </w:pPr>
      <w:r>
        <w:rPr/>
        <w:t> </w:t>
      </w:r>
    </w:p>
    <w:p>
      <w:pPr>
        <w:pStyle w:val="TextBody"/>
        <w:ind w:left="0" w:right="0" w:hanging="0"/>
        <w:jc w:val="center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3175000" cy="175260"/>
                <wp:effectExtent l="0" t="0" r="0" b="0"/>
                <wp:wrapSquare wrapText="largest"/>
                <wp:docPr id="3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0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49000</wp14:pctWidth>
                </wp14:sizeRelH>
              </wp:anchor>
            </w:drawing>
          </mc:Choice>
          <mc:Fallback>
            <w:pict>
              <v:rect style="position:absolute;rotation:0;width:250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3175000" cy="530225"/>
                <wp:effectExtent l="0" t="0" r="0" b="0"/>
                <wp:wrapSquare wrapText="largest"/>
                <wp:docPr id="4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0" cy="530225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4500" w:type="dxa"/>
                              <w:jc w:val="center"/>
                              <w:tblInd w:w="0" w:type="dxa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</w:tblPr>
                            <w:tblGrid>
                              <w:gridCol w:w="4500"/>
                            </w:tblGrid>
                            <w:tr>
                              <w:trPr/>
                              <w:tc>
                                <w:tcPr>
                                  <w:tcW w:w="4500" w:type="dxa"/>
                                  <w:tcBorders/>
                                  <w:shd w:fill="auto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spacing w:before="0" w:after="283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17"/>
                                    </w:rPr>
                                    <w:t>VistaGen Therapeutics, Inc.</w:t>
                                  </w:r>
                                  <w:r>
                                    <w:rPr/>
                                    <w:t xml:space="preserve"> 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49000</wp14:pctWidth>
                </wp14:sizeRelH>
              </wp:anchor>
            </w:drawing>
          </mc:Choice>
          <mc:Fallback>
            <w:pict>
              <v:rect style="position:absolute;rotation:0;width:250pt;height:41.75pt;mso-wrap-distance-left:0pt;mso-wrap-distance-right:0pt;mso-wrap-distance-top:0pt;mso-wrap-distance-bottom:0pt;margin-top:0pt;mso-position-vertical:top;mso-position-vertical-relative:text;margin-left:250pt;mso-position-horizontal:left;mso-position-horizontal-relative:text">
                <v:textbox>
                  <w:txbxContent>
                    <w:tbl>
                      <w:tblPr>
                        <w:tblW w:w="4500" w:type="dxa"/>
                        <w:jc w:val="center"/>
                        <w:tblInd w:w="0" w:type="dxa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</w:tblPr>
                      <w:tblGrid>
                        <w:gridCol w:w="4500"/>
                      </w:tblGrid>
                      <w:tr>
                        <w:trPr/>
                        <w:tc>
                          <w:tcPr>
                            <w:tcW w:w="4500" w:type="dxa"/>
                            <w:tcBorders/>
                            <w:shd w:fill="auto" w:val="clear"/>
                            <w:vAlign w:val="center"/>
                          </w:tcPr>
                          <w:p>
                            <w:pPr>
                              <w:pStyle w:val="TableContents"/>
                              <w:spacing w:before="0" w:after="283"/>
                              <w:jc w:val="left"/>
                              <w:rPr/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17"/>
                              </w:rPr>
                              <w:t>VistaGen Therapeutics, Inc.</w:t>
                            </w:r>
                            <w:r>
                              <w:rPr/>
                              <w:t xml:space="preserve"> </w:t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square" side="right"/>
              </v:rect>
            </w:pict>
          </mc:Fallback>
        </mc:AlternateContent>
      </w:r>
    </w:p>
    <w:p>
      <w:pPr>
        <w:pStyle w:val="HorizontalLine"/>
        <w:pBdr>
          <w:bottom w:val="single" w:sz="12" w:space="0" w:color="808080"/>
        </w:pBdr>
        <w:spacing w:before="0" w:after="283"/>
        <w:jc w:val="center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3175000" cy="121285"/>
                <wp:effectExtent l="0" t="0" r="0" b="0"/>
                <wp:wrapTopAndBottom/>
                <wp:docPr id="5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0" cy="12128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83"/>
                              <w:jc w:val="left"/>
                              <w:rPr>
                                <w:rFonts w:ascii="Times New Roman" w:hAnsi="Times New Roman"/>
                                <w:sz w:val="17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7"/>
                              </w:rPr>
                              <w:t xml:space="preserve">Date:  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17"/>
                              </w:rPr>
                              <w:t>January 10, 2013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49000</wp14:pctWidth>
                </wp14:sizeRelH>
              </wp:anchor>
            </w:drawing>
          </mc:Choice>
          <mc:Fallback>
            <w:pict>
              <v:rect style="position:absolute;rotation:0;width:250pt;height:9.5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83"/>
                        <w:jc w:val="left"/>
                        <w:rPr>
                          <w:rFonts w:ascii="Times New Roman" w:hAnsi="Times New Roman"/>
                          <w:sz w:val="17"/>
                        </w:rPr>
                      </w:pPr>
                      <w:r>
                        <w:rPr>
                          <w:rFonts w:ascii="Times New Roman" w:hAnsi="Times New Roman"/>
                          <w:sz w:val="17"/>
                        </w:rPr>
                        <w:t xml:space="preserve">Date:   </w:t>
                      </w:r>
                      <w:r>
                        <w:rPr>
                          <w:rFonts w:ascii="Times New Roman" w:hAnsi="Times New Roman"/>
                          <w:i/>
                          <w:sz w:val="17"/>
                        </w:rPr>
                        <w:t>January 10, 2013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olumn">
                  <wp:align>left</wp:align>
                </wp:positionH>
                <wp:positionV relativeFrom="line">
                  <wp:posOffset>635</wp:posOffset>
                </wp:positionV>
                <wp:extent cx="3175000" cy="1359535"/>
                <wp:effectExtent l="0" t="0" r="0" b="0"/>
                <wp:wrapTopAndBottom/>
                <wp:docPr id="6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0" cy="1359535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4500" w:type="dxa"/>
                              <w:jc w:val="center"/>
                              <w:tblInd w:w="0" w:type="dxa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</w:tblPr>
                            <w:tblGrid>
                              <w:gridCol w:w="843"/>
                              <w:gridCol w:w="3657"/>
                            </w:tblGrid>
                            <w:tr>
                              <w:trPr/>
                              <w:tc>
                                <w:tcPr>
                                  <w:tcW w:w="843" w:type="dxa"/>
                                  <w:vMerge w:val="restart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TableContents"/>
                                    <w:spacing w:before="0" w:after="283"/>
                                    <w:rPr>
                                      <w:rFonts w:ascii="Times New Roman" w:hAnsi="Times New Roman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7"/>
                                    </w:rPr>
                                    <w:t>By:</w:t>
                                  </w:r>
                                </w:p>
                              </w:tc>
                              <w:tc>
                                <w:tcPr>
                                  <w:tcW w:w="3657" w:type="dxa"/>
                                  <w:tcBorders/>
                                  <w:shd w:fill="auto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spacing w:before="0" w:after="283"/>
                                    <w:jc w:val="left"/>
                                    <w:rPr>
                                      <w:rFonts w:ascii="Times New Roman" w:hAnsi="Times New Roman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7"/>
                                    </w:rPr>
                                    <w:t>/s/ Shawn K. Singh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43" w:type="dxa"/>
                                  <w:vMerge w:val="continue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3657" w:type="dxa"/>
                                  <w:tcBorders/>
                                  <w:shd w:fill="auto" w:val="clear"/>
                                  <w:vAlign w:val="center"/>
                                </w:tcPr>
                                <w:p>
                                  <w:pPr>
                                    <w:pStyle w:val="HorizontalLine"/>
                                    <w:pBdr>
                                      <w:bottom w:val="double" w:sz="2" w:space="0" w:color="808080"/>
                                    </w:pBdr>
                                    <w:spacing w:before="0" w:after="283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43" w:type="dxa"/>
                                  <w:vMerge w:val="continue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3657" w:type="dxa"/>
                                  <w:tcBorders/>
                                  <w:shd w:fill="auto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spacing w:before="0" w:after="283"/>
                                    <w:jc w:val="left"/>
                                    <w:rPr>
                                      <w:rFonts w:ascii="Times New Roman" w:hAnsi="Times New Roman"/>
                                      <w:i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17"/>
                                    </w:rPr>
                                    <w:t>Name: Shawn K. Singh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43" w:type="dxa"/>
                                  <w:vMerge w:val="continue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3657" w:type="dxa"/>
                                  <w:tcBorders/>
                                  <w:shd w:fill="auto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spacing w:before="0" w:after="283"/>
                                    <w:jc w:val="left"/>
                                    <w:rPr>
                                      <w:rFonts w:ascii="Times New Roman" w:hAnsi="Times New Roman"/>
                                      <w:i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17"/>
                                    </w:rPr>
                                    <w:t>Title: Chief Executive Officer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spacing w:before="0" w:after="283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49000</wp14:pctWidth>
                </wp14:sizeRelH>
              </wp:anchor>
            </w:drawing>
          </mc:Choice>
          <mc:Fallback>
            <w:pict>
              <v:rect style="position:absolute;rotation:0;width:250pt;height:107.05pt;mso-wrap-distance-left:0pt;mso-wrap-distance-right:0pt;mso-wrap-distance-top:0pt;mso-wrap-distance-bottom:0pt;margin-top:0pt;mso-position-vertical:top;mso-position-vertical-relative:text;margin-left:250pt;mso-position-horizontal:left;mso-position-horizontal-relative:text">
                <v:textbox>
                  <w:txbxContent>
                    <w:tbl>
                      <w:tblPr>
                        <w:tblW w:w="4500" w:type="dxa"/>
                        <w:jc w:val="center"/>
                        <w:tblInd w:w="0" w:type="dxa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</w:tblPr>
                      <w:tblGrid>
                        <w:gridCol w:w="843"/>
                        <w:gridCol w:w="3657"/>
                      </w:tblGrid>
                      <w:tr>
                        <w:trPr/>
                        <w:tc>
                          <w:tcPr>
                            <w:tcW w:w="843" w:type="dxa"/>
                            <w:vMerge w:val="restart"/>
                            <w:tcBorders/>
                            <w:shd w:fill="auto" w:val="clear"/>
                          </w:tcPr>
                          <w:p>
                            <w:pPr>
                              <w:pStyle w:val="TableContents"/>
                              <w:spacing w:before="0" w:after="283"/>
                              <w:rPr>
                                <w:rFonts w:ascii="Times New Roman" w:hAnsi="Times New Roman"/>
                                <w:sz w:val="17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7"/>
                              </w:rPr>
                              <w:t>By:</w:t>
                            </w:r>
                          </w:p>
                        </w:tc>
                        <w:tc>
                          <w:tcPr>
                            <w:tcW w:w="3657" w:type="dxa"/>
                            <w:tcBorders/>
                            <w:shd w:fill="auto" w:val="clear"/>
                            <w:vAlign w:val="center"/>
                          </w:tcPr>
                          <w:p>
                            <w:pPr>
                              <w:pStyle w:val="TableContents"/>
                              <w:spacing w:before="0" w:after="283"/>
                              <w:jc w:val="left"/>
                              <w:rPr>
                                <w:rFonts w:ascii="Times New Roman" w:hAnsi="Times New Roman"/>
                                <w:sz w:val="17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7"/>
                              </w:rPr>
                              <w:t>/s/ Shawn K. Singh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43" w:type="dxa"/>
                            <w:vMerge w:val="continue"/>
                            <w:tcBorders/>
                            <w:shd w:fill="auto" w:val="clear"/>
                          </w:tcPr>
                          <w:p>
                            <w:pPr>
                              <w:pStyle w:val="Normal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3657" w:type="dxa"/>
                            <w:tcBorders/>
                            <w:shd w:fill="auto" w:val="clear"/>
                            <w:vAlign w:val="center"/>
                          </w:tcPr>
                          <w:p>
                            <w:pPr>
                              <w:pStyle w:val="HorizontalLine"/>
                              <w:pBdr>
                                <w:bottom w:val="double" w:sz="2" w:space="0" w:color="808080"/>
                              </w:pBdr>
                              <w:spacing w:before="0" w:after="283"/>
                              <w:rPr/>
                            </w:pPr>
                            <w:r>
                              <w:rPr/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43" w:type="dxa"/>
                            <w:vMerge w:val="continue"/>
                            <w:tcBorders/>
                            <w:shd w:fill="auto" w:val="clear"/>
                          </w:tcPr>
                          <w:p>
                            <w:pPr>
                              <w:pStyle w:val="Normal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3657" w:type="dxa"/>
                            <w:tcBorders/>
                            <w:shd w:fill="auto" w:val="clear"/>
                            <w:vAlign w:val="center"/>
                          </w:tcPr>
                          <w:p>
                            <w:pPr>
                              <w:pStyle w:val="TableContents"/>
                              <w:spacing w:before="0" w:after="283"/>
                              <w:jc w:val="left"/>
                              <w:rPr>
                                <w:rFonts w:ascii="Times New Roman" w:hAnsi="Times New Roman"/>
                                <w:i/>
                                <w:sz w:val="17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17"/>
                              </w:rPr>
                              <w:t>Name: Shawn K. Singh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43" w:type="dxa"/>
                            <w:vMerge w:val="continue"/>
                            <w:tcBorders/>
                            <w:shd w:fill="auto" w:val="clear"/>
                          </w:tcPr>
                          <w:p>
                            <w:pPr>
                              <w:pStyle w:val="Normal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3657" w:type="dxa"/>
                            <w:tcBorders/>
                            <w:shd w:fill="auto" w:val="clear"/>
                            <w:vAlign w:val="center"/>
                          </w:tcPr>
                          <w:p>
                            <w:pPr>
                              <w:pStyle w:val="TableContents"/>
                              <w:spacing w:before="0" w:after="283"/>
                              <w:jc w:val="left"/>
                              <w:rPr>
                                <w:rFonts w:ascii="Times New Roman" w:hAnsi="Times New Roman"/>
                                <w:i/>
                                <w:sz w:val="17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17"/>
                              </w:rPr>
                              <w:t>Title: Chief Executive Officer</w:t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spacing w:before="0" w:after="283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Times New Roman">
    <w:charset w:val="00"/>
    <w:family w:val="auto"/>
    <w:pitch w:val="default"/>
  </w:font>
  <w:font w:name="times new roman"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3</Pages>
  <Words>304</Words>
  <CharactersWithSpaces>2031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